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A1AB2" w14:textId="77777777" w:rsidR="00483094" w:rsidRPr="0009257C" w:rsidRDefault="00483094" w:rsidP="0009558C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D2322" w14:textId="005822A6" w:rsidR="00483094" w:rsidRPr="0009558C" w:rsidRDefault="0009558C" w:rsidP="0009558C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IMPORTÂNCIA DA VACINAÇÃO DURANTE AÇÕES COMUNITÁRIAS: Relato de experiência</w:t>
      </w:r>
    </w:p>
    <w:p w14:paraId="00A8E9CA" w14:textId="54D04B90" w:rsidR="00483094" w:rsidRPr="0009558C" w:rsidRDefault="0009558C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INTRODUÇÃO: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A atuação educativa do enfermeiro é indispensável para superar resistências e fortalecer a adesão às campanhas de vacinação, visto que a vacinação é uma medida preventiva de saúde pública que beneficia não apenas o indivíduo imunizado, mas </w:t>
      </w:r>
      <w:bookmarkStart w:id="0" w:name="_GoBack"/>
      <w:bookmarkEnd w:id="0"/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também a comunidade (LIMA; CRUZ, 2025). Por isso, as ações comunitárias tornam-se essenciais para intervir de forma direcionada com o objetivo de alcançar a cobertura vacinal desejada (DINIZ et al., 2025). </w:t>
      </w: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OBJETIVO: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Relatar a experiência de uma ação em saúde para vacinação de pessoas com esquema vacinal incompleto. </w:t>
      </w: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DESCRIÇÃO DA EXPERIÊNCIA: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A ação foi realizada em um centro comunitário em Belém/PA, conduzida por discentes do 7° semestre, no dia 04 de maio de 2024, </w:t>
      </w:r>
      <w:r w:rsidR="0086420D"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realizou-se 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6420D"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divulgação 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da ação </w:t>
      </w:r>
      <w:r w:rsidR="0086420D" w:rsidRPr="0009558C">
        <w:rPr>
          <w:rFonts w:ascii="Times New Roman" w:hAnsi="Times New Roman" w:cs="Times New Roman"/>
          <w:color w:val="000000"/>
          <w:sz w:val="24"/>
          <w:szCs w:val="24"/>
        </w:rPr>
        <w:t>por meio de panfletos</w:t>
      </w:r>
      <w:r w:rsidR="0086420D"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>durante o evento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 ofertaram-se, de forma 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>gratuita e voluntária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os imunizantes </w:t>
      </w:r>
      <w:proofErr w:type="spellStart"/>
      <w:r w:rsidRPr="0009558C">
        <w:rPr>
          <w:rFonts w:ascii="Times New Roman" w:hAnsi="Times New Roman" w:cs="Times New Roman"/>
          <w:color w:val="000000"/>
          <w:sz w:val="24"/>
          <w:szCs w:val="24"/>
        </w:rPr>
        <w:t>dT</w:t>
      </w:r>
      <w:proofErr w:type="spellEnd"/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, hepatite B, meningocócica ACWY e HPV. Inicialmente, realizou-se a verificação da carteira de vacinação dos participantes e, posteriormente, procedeu-se à administração dos </w:t>
      </w:r>
      <w:proofErr w:type="spellStart"/>
      <w:r w:rsidRPr="0009558C">
        <w:rPr>
          <w:rFonts w:ascii="Times New Roman" w:hAnsi="Times New Roman" w:cs="Times New Roman"/>
          <w:color w:val="000000"/>
          <w:sz w:val="24"/>
          <w:szCs w:val="24"/>
        </w:rPr>
        <w:t>imunobiológicos</w:t>
      </w:r>
      <w:proofErr w:type="spellEnd"/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conforme a necessidade identificada. Ao final, imunizou-se mais de 35 pessoas de diferentes faixas etárias. </w:t>
      </w: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IMPACTOS: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A ação beneficiou diversos indivíduos que não apresentavam o esquema vacinal atualizado, devido ao acesso limitado aos serviços de saúde e</w:t>
      </w: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à ausência de vacinas nos postos de saúde. Conforme relatos, as unidades básicas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apresentavam carência 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de imunizantes e 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variedade limitada. </w:t>
      </w: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DISCUSSÃO: 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>Observou-se que a ação ampliou o acesso à vacinação e atendeu demandas imediatas. No entanto, a atenção básica apresentou falhas estruturais e ausê</w:t>
      </w:r>
      <w:r>
        <w:rPr>
          <w:rFonts w:ascii="Times New Roman" w:hAnsi="Times New Roman" w:cs="Times New Roman"/>
          <w:color w:val="000000"/>
          <w:sz w:val="24"/>
          <w:szCs w:val="24"/>
        </w:rPr>
        <w:t>ncia de continuidade d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a cobertura vacinal. </w:t>
      </w:r>
      <w:r w:rsidRPr="00095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CONCLUSÕES: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A realização de ações comunitárias voltadas para</w:t>
      </w:r>
      <w:r w:rsidR="0086420D">
        <w:rPr>
          <w:rFonts w:ascii="Times New Roman" w:hAnsi="Times New Roman" w:cs="Times New Roman"/>
          <w:color w:val="000000"/>
          <w:sz w:val="24"/>
          <w:szCs w:val="24"/>
        </w:rPr>
        <w:t xml:space="preserve"> a vacinação mostra-se eficaz</w:t>
      </w:r>
      <w:r w:rsidRPr="0009558C">
        <w:rPr>
          <w:rFonts w:ascii="Times New Roman" w:hAnsi="Times New Roman" w:cs="Times New Roman"/>
          <w:color w:val="000000"/>
          <w:sz w:val="24"/>
          <w:szCs w:val="24"/>
        </w:rPr>
        <w:t xml:space="preserve"> na ampliação do acesso, reduzindo as lacunas assistenciais e promovendo a saúde coletiva. No entanto, evidenciou-se a necessidade de fortalecer a atenção primária, garantindo a continuidade das ações, regularidade na oferta de imunizantes e estratégias educativas permanentes para manutenção adequada da cobertura vacinal.</w:t>
      </w:r>
    </w:p>
    <w:p w14:paraId="6B1D90BE" w14:textId="7F3311F8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0017A5" w:rsidRPr="00001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Centros de Saúde – </w:t>
      </w:r>
      <w:r w:rsidR="000017A5" w:rsidRPr="000017A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DDCS024426</w:t>
      </w:r>
      <w:r w:rsidR="000017A5" w:rsidRPr="00001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Serviços de Saúde Comunitária – </w:t>
      </w:r>
      <w:r w:rsidR="000017A5" w:rsidRPr="000017A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D003153</w:t>
      </w:r>
      <w:r w:rsidR="000017A5" w:rsidRPr="00001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Cobertura Vacinal – </w:t>
      </w:r>
      <w:r w:rsidR="000017A5" w:rsidRPr="000017A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D000073887</w:t>
      </w:r>
      <w:r w:rsidR="000017A5" w:rsidRPr="00001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A2935A" w14:textId="60FDA9FE" w:rsidR="00483094" w:rsidRPr="000017A5" w:rsidRDefault="00483094" w:rsidP="000017A5">
      <w:pPr>
        <w:pStyle w:val="Corpodetexto"/>
        <w:spacing w:after="100"/>
        <w:jc w:val="both"/>
        <w:rPr>
          <w:rStyle w:val="nfaseforte"/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  <w:r w:rsidR="000017A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( </w:t>
      </w:r>
      <w:r w:rsidR="000017A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3DFBE95E" w14:textId="4C733709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0017A5" w:rsidRPr="000017A5">
        <w:rPr>
          <w:rFonts w:ascii="Times New Roman" w:hAnsi="Times New Roman" w:cs="Times New Roman"/>
          <w:b/>
          <w:bCs/>
          <w:color w:val="000000"/>
          <w:sz w:val="24"/>
        </w:rPr>
        <w:t xml:space="preserve">Imunização/ Vacinas e </w:t>
      </w:r>
      <w:proofErr w:type="spellStart"/>
      <w:r w:rsidR="000017A5" w:rsidRPr="000017A5">
        <w:rPr>
          <w:rFonts w:ascii="Times New Roman" w:hAnsi="Times New Roman" w:cs="Times New Roman"/>
          <w:b/>
          <w:bCs/>
          <w:color w:val="000000"/>
          <w:sz w:val="24"/>
        </w:rPr>
        <w:t>Imunobiológicos</w:t>
      </w:r>
      <w:proofErr w:type="spellEnd"/>
      <w:r w:rsidR="000017A5" w:rsidRPr="000017A5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14:paraId="043496CA" w14:textId="77777777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6B1248" w14:textId="77777777" w:rsidR="0009558C" w:rsidRPr="0009257C" w:rsidRDefault="0009558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6A012FF4" w14:textId="77777777" w:rsidR="000017A5" w:rsidRPr="000017A5" w:rsidRDefault="000017A5" w:rsidP="000017A5">
      <w:pPr>
        <w:pStyle w:val="NormalWeb"/>
        <w:spacing w:before="0" w:beforeAutospacing="0" w:after="160" w:afterAutospacing="0"/>
        <w:jc w:val="both"/>
      </w:pPr>
      <w:r w:rsidRPr="000017A5">
        <w:rPr>
          <w:b/>
          <w:color w:val="000000"/>
        </w:rPr>
        <w:lastRenderedPageBreak/>
        <w:t>1.</w:t>
      </w:r>
      <w:r w:rsidRPr="000017A5">
        <w:rPr>
          <w:color w:val="000000"/>
        </w:rPr>
        <w:t xml:space="preserve"> </w:t>
      </w:r>
      <w:r w:rsidRPr="000017A5">
        <w:rPr>
          <w:color w:val="000000"/>
          <w:shd w:val="clear" w:color="auto" w:fill="FFFFFF"/>
        </w:rPr>
        <w:t xml:space="preserve">Diniz JD, </w:t>
      </w:r>
      <w:proofErr w:type="spellStart"/>
      <w:r w:rsidRPr="000017A5">
        <w:rPr>
          <w:color w:val="000000"/>
          <w:shd w:val="clear" w:color="auto" w:fill="FFFFFF"/>
        </w:rPr>
        <w:t>Bauduina</w:t>
      </w:r>
      <w:proofErr w:type="spellEnd"/>
      <w:r w:rsidRPr="000017A5">
        <w:rPr>
          <w:color w:val="000000"/>
          <w:shd w:val="clear" w:color="auto" w:fill="FFFFFF"/>
        </w:rPr>
        <w:t xml:space="preserve"> ET, </w:t>
      </w:r>
      <w:proofErr w:type="spellStart"/>
      <w:r w:rsidRPr="000017A5">
        <w:rPr>
          <w:color w:val="000000"/>
          <w:shd w:val="clear" w:color="auto" w:fill="FFFFFF"/>
        </w:rPr>
        <w:t>Marchesi</w:t>
      </w:r>
      <w:proofErr w:type="spellEnd"/>
      <w:r w:rsidRPr="000017A5">
        <w:rPr>
          <w:color w:val="000000"/>
          <w:shd w:val="clear" w:color="auto" w:fill="FFFFFF"/>
        </w:rPr>
        <w:t xml:space="preserve"> MB, Monteiro ST, Bezerra IMP. Ações de promoção a saúde com foco na importância da vacinação: construção de folder educativo sob a ótica dos determinantes </w:t>
      </w:r>
      <w:proofErr w:type="gramStart"/>
      <w:r w:rsidRPr="000017A5">
        <w:rPr>
          <w:color w:val="000000"/>
          <w:shd w:val="clear" w:color="auto" w:fill="FFFFFF"/>
        </w:rPr>
        <w:t>sociais .</w:t>
      </w:r>
      <w:proofErr w:type="gramEnd"/>
      <w:r w:rsidRPr="000017A5">
        <w:rPr>
          <w:color w:val="000000"/>
          <w:shd w:val="clear" w:color="auto" w:fill="FFFFFF"/>
        </w:rPr>
        <w:t xml:space="preserve"> </w:t>
      </w:r>
      <w:proofErr w:type="spellStart"/>
      <w:r w:rsidRPr="000017A5">
        <w:rPr>
          <w:color w:val="000000"/>
          <w:shd w:val="clear" w:color="auto" w:fill="FFFFFF"/>
        </w:rPr>
        <w:t>Cuad</w:t>
      </w:r>
      <w:proofErr w:type="spellEnd"/>
      <w:r w:rsidRPr="000017A5">
        <w:rPr>
          <w:color w:val="000000"/>
          <w:shd w:val="clear" w:color="auto" w:fill="FFFFFF"/>
        </w:rPr>
        <w:t xml:space="preserve">. Ed. </w:t>
      </w:r>
      <w:proofErr w:type="spellStart"/>
      <w:r w:rsidRPr="000017A5">
        <w:rPr>
          <w:color w:val="000000"/>
          <w:shd w:val="clear" w:color="auto" w:fill="FFFFFF"/>
        </w:rPr>
        <w:t>Desar</w:t>
      </w:r>
      <w:proofErr w:type="spellEnd"/>
      <w:r w:rsidRPr="000017A5">
        <w:rPr>
          <w:color w:val="000000"/>
          <w:shd w:val="clear" w:color="auto" w:fill="FFFFFF"/>
        </w:rPr>
        <w:t>. [Internet]. 17º de janeiro de 2025 [citado 28º de abril de 2026];17(1):e7297. Disponível em: https://ojs.cuadernoseducacion.com/ojs/index.php/ced/article/view/7297</w:t>
      </w:r>
    </w:p>
    <w:p w14:paraId="264DBD80" w14:textId="5F3492BC" w:rsidR="000017A5" w:rsidRPr="000017A5" w:rsidRDefault="000017A5" w:rsidP="000017A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7A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7A5">
        <w:rPr>
          <w:rFonts w:ascii="Times New Roman" w:hAnsi="Times New Roman" w:cs="Times New Roman"/>
          <w:color w:val="000000"/>
          <w:sz w:val="24"/>
          <w:szCs w:val="24"/>
        </w:rPr>
        <w:t>Lima LR, Cruz TRS. A PRÁTICA DO ENFERMEIRO NAS CAMPANHAS DE VACINAÇÃO: UMA REVISÃO SOBRE SUAS ATRIBUIÇÕES E DESAFIOS NA ATENÇÃO PRIMÁRIA À SAÚDE. REMUNOM [Internet]. 2025 Nov. 19 [</w:t>
      </w:r>
      <w:proofErr w:type="spellStart"/>
      <w:r w:rsidRPr="000017A5">
        <w:rPr>
          <w:rFonts w:ascii="Times New Roman" w:hAnsi="Times New Roman" w:cs="Times New Roman"/>
          <w:color w:val="000000"/>
          <w:sz w:val="24"/>
          <w:szCs w:val="24"/>
        </w:rPr>
        <w:t>cited</w:t>
      </w:r>
      <w:proofErr w:type="spellEnd"/>
      <w:r w:rsidRPr="000017A5">
        <w:rPr>
          <w:rFonts w:ascii="Times New Roman" w:hAnsi="Times New Roman" w:cs="Times New Roman"/>
          <w:color w:val="000000"/>
          <w:sz w:val="24"/>
          <w:szCs w:val="24"/>
        </w:rPr>
        <w:t xml:space="preserve"> 2026 </w:t>
      </w:r>
      <w:proofErr w:type="spellStart"/>
      <w:r w:rsidRPr="000017A5">
        <w:rPr>
          <w:rFonts w:ascii="Times New Roman" w:hAnsi="Times New Roman" w:cs="Times New Roman"/>
          <w:color w:val="000000"/>
          <w:sz w:val="24"/>
          <w:szCs w:val="24"/>
        </w:rPr>
        <w:t>Apr</w:t>
      </w:r>
      <w:proofErr w:type="spellEnd"/>
      <w:r w:rsidRPr="000017A5">
        <w:rPr>
          <w:rFonts w:ascii="Times New Roman" w:hAnsi="Times New Roman" w:cs="Times New Roman"/>
          <w:color w:val="000000"/>
          <w:sz w:val="24"/>
          <w:szCs w:val="24"/>
        </w:rPr>
        <w:t xml:space="preserve">. 29];20(2):1-11.Doi: </w:t>
      </w:r>
      <w:hyperlink r:id="rId6" w:history="1">
        <w:r w:rsidRPr="000017A5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https://doi.org/10.61164/xx0y3s56</w:t>
        </w:r>
      </w:hyperlink>
    </w:p>
    <w:p w14:paraId="2E154F98" w14:textId="77777777" w:rsidR="000017A5" w:rsidRDefault="000017A5" w:rsidP="000017A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B466D" w14:textId="77777777" w:rsidR="000017A5" w:rsidRDefault="000017A5" w:rsidP="000017A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9037C6" w14:textId="0F6B9A90" w:rsidR="00483094" w:rsidRPr="000017A5" w:rsidRDefault="00483094" w:rsidP="000017A5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</w:p>
    <w:sectPr w:rsidR="00483094" w:rsidRPr="000017A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7F34D" w14:textId="77777777" w:rsidR="00E00E0C" w:rsidRDefault="00E00E0C" w:rsidP="0068569C">
      <w:pPr>
        <w:spacing w:before="0" w:after="0" w:line="240" w:lineRule="auto"/>
      </w:pPr>
      <w:r>
        <w:separator/>
      </w:r>
    </w:p>
  </w:endnote>
  <w:endnote w:type="continuationSeparator" w:id="0">
    <w:p w14:paraId="17AF8C7C" w14:textId="77777777" w:rsidR="00E00E0C" w:rsidRDefault="00E00E0C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E3DED" w14:textId="77777777" w:rsidR="00E00E0C" w:rsidRDefault="00E00E0C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BF9BB24" w14:textId="77777777" w:rsidR="00E00E0C" w:rsidRDefault="00E00E0C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94"/>
    <w:rsid w:val="000017A5"/>
    <w:rsid w:val="0009558C"/>
    <w:rsid w:val="00212EC8"/>
    <w:rsid w:val="002177C6"/>
    <w:rsid w:val="004431AA"/>
    <w:rsid w:val="00483094"/>
    <w:rsid w:val="0068569C"/>
    <w:rsid w:val="007436FB"/>
    <w:rsid w:val="007740D6"/>
    <w:rsid w:val="007958B3"/>
    <w:rsid w:val="0086420D"/>
    <w:rsid w:val="00B10BE2"/>
    <w:rsid w:val="00E0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017A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017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61164/xx0y3s5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FIBRA</cp:lastModifiedBy>
  <cp:revision>2</cp:revision>
  <dcterms:created xsi:type="dcterms:W3CDTF">2026-05-07T18:32:00Z</dcterms:created>
  <dcterms:modified xsi:type="dcterms:W3CDTF">2026-05-07T18:32:00Z</dcterms:modified>
</cp:coreProperties>
</file>