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SEPSE NEONATAL ASSOCIADA À PERSISTÊNCIA DE ÚRACO EM POTRO: CORRELAÇÃO CLÍNICO-PATOLÓGICA DE POLIARTRITE SÉPTICA, OSTEOMIELITE E MIOSITE SUPURATIVA </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Anelise Silva de </w:t>
      </w:r>
      <w:r w:rsidDel="00000000" w:rsidR="00000000" w:rsidRPr="00000000">
        <w:rPr>
          <w:rFonts w:ascii="Times New Roman" w:cs="Times New Roman" w:eastAsia="Times New Roman" w:hAnsi="Times New Roman"/>
          <w:b w:val="1"/>
          <w:bCs w:val="1"/>
          <w:sz w:val="24"/>
          <w:szCs w:val="24"/>
          <w:rtl w:val="0"/>
        </w:rPr>
        <w:t xml:space="preserve">MORAIS¹; </w:t>
      </w:r>
      <w:r w:rsidDel="00000000" w:rsidR="00000000" w:rsidRPr="00000000">
        <w:rPr>
          <w:rFonts w:ascii="Times New Roman" w:cs="Times New Roman" w:eastAsia="Times New Roman" w:hAnsi="Times New Roman"/>
          <w:sz w:val="24"/>
          <w:szCs w:val="24"/>
          <w:rtl w:val="0"/>
        </w:rPr>
        <w:t xml:space="preserve">Lívia Horrana Forte </w:t>
      </w:r>
      <w:r w:rsidDel="00000000" w:rsidR="00000000" w:rsidRPr="00000000">
        <w:rPr>
          <w:rFonts w:ascii="Times New Roman" w:cs="Times New Roman" w:eastAsia="Times New Roman" w:hAnsi="Times New Roman"/>
          <w:b w:val="1"/>
          <w:bCs w:val="1"/>
          <w:sz w:val="24"/>
          <w:szCs w:val="24"/>
          <w:rtl w:val="0"/>
        </w:rPr>
        <w:t xml:space="preserve">FREIRE²;</w:t>
      </w:r>
      <w:r w:rsidDel="00000000" w:rsidR="00000000" w:rsidRPr="00000000">
        <w:rPr>
          <w:rFonts w:ascii="Times New Roman" w:cs="Times New Roman" w:eastAsia="Times New Roman" w:hAnsi="Times New Roman"/>
          <w:sz w:val="24"/>
          <w:szCs w:val="24"/>
          <w:rtl w:val="0"/>
        </w:rPr>
        <w:t xml:space="preserve"> Daniel de Medeiros </w:t>
      </w:r>
      <w:r w:rsidDel="00000000" w:rsidR="00000000" w:rsidRPr="00000000">
        <w:rPr>
          <w:rFonts w:ascii="Times New Roman" w:cs="Times New Roman" w:eastAsia="Times New Roman" w:hAnsi="Times New Roman"/>
          <w:b w:val="1"/>
          <w:bCs w:val="1"/>
          <w:sz w:val="24"/>
          <w:szCs w:val="24"/>
          <w:rtl w:val="0"/>
        </w:rPr>
        <w:t xml:space="preserve">ASSIS³</w:t>
      </w:r>
      <w:r w:rsidDel="00000000" w:rsidR="00000000" w:rsidRPr="00000000">
        <w:rPr>
          <w:rFonts w:ascii="Times New Roman" w:cs="Times New Roman" w:eastAsia="Times New Roman" w:hAnsi="Times New Roman"/>
          <w:sz w:val="24"/>
          <w:szCs w:val="24"/>
          <w:rtl w:val="0"/>
        </w:rPr>
        <w:t xml:space="preserve">; Mikael Leandro Duarte de Lima </w:t>
      </w:r>
      <w:r w:rsidDel="00000000" w:rsidR="00000000" w:rsidRPr="00000000">
        <w:rPr>
          <w:rFonts w:ascii="Times New Roman" w:cs="Times New Roman" w:eastAsia="Times New Roman" w:hAnsi="Times New Roman"/>
          <w:b w:val="1"/>
          <w:bCs w:val="1"/>
          <w:sz w:val="24"/>
          <w:szCs w:val="24"/>
          <w:rtl w:val="0"/>
        </w:rPr>
        <w:t xml:space="preserve">TOLENTINO³</w:t>
      </w:r>
      <w:r w:rsidDel="00000000" w:rsidR="00000000" w:rsidRPr="00000000">
        <w:rPr>
          <w:rFonts w:ascii="Times New Roman" w:cs="Times New Roman" w:eastAsia="Times New Roman" w:hAnsi="Times New Roman"/>
          <w:sz w:val="24"/>
          <w:szCs w:val="24"/>
          <w:rtl w:val="0"/>
        </w:rPr>
        <w:t xml:space="preserve">; Laynaslan Abreu </w:t>
      </w:r>
      <w:r w:rsidDel="00000000" w:rsidR="00000000" w:rsidRPr="00000000">
        <w:rPr>
          <w:rFonts w:ascii="Times New Roman" w:cs="Times New Roman" w:eastAsia="Times New Roman" w:hAnsi="Times New Roman"/>
          <w:b w:val="1"/>
          <w:bCs w:val="1"/>
          <w:sz w:val="24"/>
          <w:szCs w:val="24"/>
          <w:rtl w:val="0"/>
        </w:rPr>
        <w:t xml:space="preserve">SOARES</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Graduanda em Medicina Veterinária pela Universidade Federal de Campina Grande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anelisemorais54@gmail.com*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Mestranda no programa de Pós-Graduação em Ciência e Saúde Animal pela Universidade Federal de Campina Grande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w:t>
      </w:r>
      <w:r w:rsidDel="00000000" w:rsidR="00000000" w:rsidRPr="00000000">
        <w:rPr>
          <w:rFonts w:ascii="Times New Roman" w:cs="Times New Roman" w:eastAsia="Times New Roman" w:hAnsi="Times New Roman"/>
          <w:sz w:val="20"/>
          <w:szCs w:val="20"/>
          <w:u w:val="single"/>
          <w:rtl w:val="0"/>
        </w:rPr>
        <w:t xml:space="preserve">liviafreirevt@gmail.com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 </w:t>
      </w:r>
      <w:r w:rsidDel="00000000" w:rsidR="00000000" w:rsidRPr="00000000">
        <w:rPr>
          <w:rFonts w:ascii="Times New Roman" w:cs="Times New Roman" w:eastAsia="Times New Roman" w:hAnsi="Times New Roman"/>
          <w:sz w:val="20"/>
          <w:szCs w:val="20"/>
          <w:rtl w:val="0"/>
        </w:rPr>
        <w:t xml:space="preserve">Médico Veterinário responsável pelo setor de Clínica Médica e Cirurgia de Grandes Animais da Universidade Federal de Campina Grande E-mail: </w:t>
      </w:r>
      <w:hyperlink r:id="rId7">
        <w:r w:rsidDel="00000000" w:rsidR="00000000" w:rsidRPr="00000000">
          <w:rPr>
            <w:rFonts w:ascii="Times New Roman" w:cs="Times New Roman" w:eastAsia="Times New Roman" w:hAnsi="Times New Roman"/>
            <w:sz w:val="20"/>
            <w:szCs w:val="20"/>
            <w:u w:val="single"/>
            <w:rtl w:val="0"/>
          </w:rPr>
          <w:t xml:space="preserve">danielvetpb@gmail.com</w:t>
        </w:r>
      </w:hyperlink>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3 </w:t>
      </w:r>
      <w:r w:rsidDel="00000000" w:rsidR="00000000" w:rsidRPr="00000000">
        <w:rPr>
          <w:rFonts w:ascii="Times New Roman" w:cs="Times New Roman" w:eastAsia="Times New Roman" w:hAnsi="Times New Roman"/>
          <w:sz w:val="20"/>
          <w:szCs w:val="20"/>
          <w:rtl w:val="0"/>
        </w:rPr>
        <w:t xml:space="preserve">Médico Veterinário responsável pelo setor de Clínica Médica e Cirurgia de Grandes Animais da Universidade Federal de Campina Grande E-mail: </w:t>
      </w:r>
      <w:r w:rsidDel="00000000" w:rsidR="00000000" w:rsidRPr="00000000">
        <w:rPr>
          <w:rFonts w:ascii="Times New Roman" w:cs="Times New Roman" w:eastAsia="Times New Roman" w:hAnsi="Times New Roman"/>
          <w:sz w:val="20"/>
          <w:szCs w:val="20"/>
          <w:u w:val="single"/>
          <w:rtl w:val="0"/>
        </w:rPr>
        <w:t xml:space="preserve">mikaeltolentino@gmail.com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Doutorando no programa de Pós-Graduação em Ciência e Saúde Animal pela Universidade Federal de Campina Grande. E-mail: </w:t>
      </w:r>
      <w:hyperlink r:id="rId8">
        <w:r w:rsidDel="00000000" w:rsidR="00000000" w:rsidRPr="00000000">
          <w:rPr>
            <w:rFonts w:ascii="Times New Roman" w:cs="Times New Roman" w:eastAsia="Times New Roman" w:hAnsi="Times New Roman"/>
            <w:sz w:val="20"/>
            <w:szCs w:val="20"/>
            <w:u w:val="single"/>
            <w:rtl w:val="0"/>
          </w:rPr>
          <w:t xml:space="preserve">laynaslanabreu@gmail.com</w:t>
        </w:r>
      </w:hyperlink>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Infecções umbilicais representam importante causa de sepse neonatal em potros, podendo evoluir para disseminação hematógena e comprometimento multissistêmico. Objetivou-se relatar um caso de poliartrite séptica, miosite e osteomielite supurativa associadas à sepse em um potro com persistência de úraco. Um potro Quarto de Milha, macho, 45 kg, com 19 dias de idade, foi atendido apresentando eliminação de urina pelo umbigo, dificuldade de permanecer em estação e claudicação do membro pélvico esquerdo. Apesar da instituição de terapia intensiva, houve agravamento progressivo do quadro locomotor, com formação de fístula articular e abscesso muscular na região proximal do membro pélvico esquerdo, do qual foram drenados aproximadamente 1,5 L de exsudato purulento. A cultura bacteriana revelou perfil de multirresistência antimicrobiana. O animal evoluiu para óbito e foi submetido à necropsia, que evidenciou miosite necrossupurativa, artrite e osteomielite. Conclui-se que a persistência de úraco pode atuar como importante porta de entrada para septicemia em potros neonatos.</w:t>
      </w:r>
    </w:p>
    <w:p w:rsidR="00000000" w:rsidDel="00000000" w:rsidP="00000000" w:rsidRDefault="00000000" w:rsidRPr="00000000" w14:paraId="0000000A">
      <w:pPr>
        <w:jc w:val="both"/>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color w:val="00000a"/>
          <w:sz w:val="24"/>
          <w:szCs w:val="24"/>
          <w:rtl w:val="0"/>
        </w:rPr>
        <w:t xml:space="preserve">Palavras-chave</w:t>
      </w:r>
      <w:r w:rsidDel="00000000" w:rsidR="00000000" w:rsidRPr="00000000">
        <w:rPr>
          <w:rFonts w:ascii="Times New Roman" w:cs="Times New Roman" w:eastAsia="Times New Roman" w:hAnsi="Times New Roman"/>
          <w:b w:val="1"/>
          <w:bCs w:val="1"/>
          <w:color w:val="00000a"/>
          <w:rtl w:val="0"/>
        </w:rPr>
        <w:t xml:space="preserve">:</w:t>
      </w:r>
      <w:r w:rsidDel="00000000" w:rsidR="00000000" w:rsidRPr="00000000">
        <w:rPr>
          <w:rFonts w:ascii="Times New Roman" w:cs="Times New Roman" w:eastAsia="Times New Roman" w:hAnsi="Times New Roman"/>
          <w:color w:val="00000a"/>
          <w:rtl w:val="0"/>
        </w:rPr>
        <w:t xml:space="preserve"> artrite bacteriana; infecção neonatal; onfalopatias; septicemia neonatal. </w:t>
      </w: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p>
    <w:p w:rsidR="00000000" w:rsidDel="00000000" w:rsidP="00000000" w:rsidRDefault="00000000" w:rsidRPr="00000000" w14:paraId="0000000C">
      <w:pPr>
        <w:spacing w:after="0" w:line="360" w:lineRule="auto"/>
        <w:ind w:left="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 período neonatal representa fase de elevada vulnerabilidade em equinos, na qual infecções sistêmicas constituem importante causa de morbidade e mortalidade (Divers; Reed, 2022; Aleman</w:t>
      </w:r>
      <w:r w:rsidDel="00000000" w:rsidR="00000000" w:rsidRPr="00000000">
        <w:rPr>
          <w:rFonts w:ascii="Times New Roman" w:cs="Times New Roman" w:eastAsia="Times New Roman" w:hAnsi="Times New Roman"/>
          <w:i w:val="1"/>
          <w:iCs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 Alterações umbilicais, como onfalite e persistência de úraco, podem atuar como porta de entrada para agentes infecciosos, favorecendo disseminação hematógena (McAuliffe; Slovis, 2021). Entre as principais complicações destacam-se poliartrite séptica, osteomielite e miosite supurativa (Baxter; McIlwraith, 2020). Diante disso, objetivou-se relatar um caso dessas afecções associadas à sepse em um potro com persistência de úraco.</w:t>
      </w: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Foi atendido no Hospital Veterinário da Universidade Federal de Campina Grande (UFCG), em Patos/PB, um potro Quarto de Milha, macho, pesando 45 kg, 19 dias de idade,  apresentando eliminação de urina pelo umbigo, dificuldade de permanecer em estação e claudicação do membro pélvico esquerdo (MPE). Ao exame clínico observou-se apatia, decúbito lateral direito, grau de 7% de desidratação e hipoglicemia discreta (77 mg/dL), sendo estabelecido diagnóstico presuntivo de persistência de úraco associada à artrite séptica das articulações do tarso do MPE e interfalângica distal do membro torácico esquerdo (MTE), com aumento de volume e sensibilidade dolorosa à palpação. Além do tratamento de suporte, iniciou-se antibioticoterapia sistêmica com penicilina gentâmica (40.000 UI/Kg, IV, BID), firocoxibe (0,1 mg/kg, VO, SID), Tramadol (10 mg/kg, VO, BID), perfusões regionais com Ceftriaxona, 1g  à cada 48 horas (6 aplicações) e limpeza do coto umbilical com soro fisiológico e clorexidina degermante 2%, e aplicação tópica de Alúmen de potássio, QUID. Nas primeiras 48 horas houve melhora no estado geral, com o animal ativo, em estação e apetite presente. Todavia, após 7 dias de tratamento, persistiu a eliminação de urina pelo umbigo. Foi realizado ainda lavagem articular com solução de dimetilsulfóxido à 10%, clorexidina alcoólica à 5% e injeção intra-articular de gentamicina (20 mg/articulação). Houve agravamento progressivo do quadro locomotor, com aumento da efusão articular e formação de fístula com drenagem de secreção seropurulenta na articulação interfalângica distal do MTE. Devido a dor intensa foi instituída analgesia com morfina à cada 12h. Exames de imagem evidenciaram alterações articulares degenerativas. Posteriormente identificou-se aumento de volume com hipertermia local, latero-caudal da coxa esquerda que, ao exame ultrassonográfico, foi evidenciado coleção purulenta muscular, da qual foram drenados aproximadamente 1,5 L de secreção com odor fétido e presença de grumos. A cultura bacteriana demonstrou perfil de multirresistência antimicrobiana ao agente </w:t>
      </w:r>
      <w:r w:rsidDel="00000000" w:rsidR="00000000" w:rsidRPr="00000000">
        <w:rPr>
          <w:rFonts w:ascii="Times New Roman" w:cs="Times New Roman" w:eastAsia="Times New Roman" w:hAnsi="Times New Roman"/>
          <w:i w:val="1"/>
          <w:iCs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com sensibilidade apenas ao Meropenem. Antes de ser instituído a nova antibioticoterapia, o animal evoluiu para estado semicomatoso e óbito, sendo encaminhado para necrópsia no Laboratório de Patologia Animal.</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tl w:val="0"/>
        </w:rPr>
      </w:r>
    </w:p>
    <w:p w:rsidR="00000000" w:rsidDel="00000000" w:rsidP="00000000" w:rsidRDefault="00000000" w:rsidRPr="00000000" w14:paraId="00000011">
      <w:pPr>
        <w:keepLines w:val="0"/>
        <w:widowControl w:val="1"/>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necropsia evidenciou lesões compatíveis com infecção bacteriana sistêmica. No sistema musculoesquelético observou-se miosite necrossupurativa extensa, com necrose muscular e infiltrado neutrofílico intenso. A articulação coxofemoral esquerda apresentava destruição articular associada à artrite e osteomielite supurativa crônica, com fístula cutânea. Esses achados são compatíveis com infecções osteoarticulares sépticas em potros neonatos, nas quais a bacteremia permite a colonização de epífises e membranas sinoviais, resultando em destruição progressiva da cartilagem e do tecido ósseo (Baxter; McIlwraith, 2020; Reed, 2023).</w:t>
      </w:r>
    </w:p>
    <w:p w:rsidR="00000000" w:rsidDel="00000000" w:rsidP="00000000" w:rsidRDefault="00000000" w:rsidRPr="00000000" w14:paraId="00000012">
      <w:pPr>
        <w:keepLines w:val="0"/>
        <w:widowControl w:val="1"/>
        <w:spacing w:after="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cultura bacteriana demonstrou perfil de multirresistência antimicrobiana, com sensibilidade apenas ao Meropenem, reforçando a importância da resistência bacteriana em infecções neonatais equinas (Gomez et al., 2022). Observou-se ainda abscesso muscular volumoso com drenagem de exsudato purulento, evidenciando disseminação sistêmica da infecção e desenvolvimento de miosite necrossupurativa associada à sepse (Divers; Reed, 2022).</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caso demonstra que infecções umbilicais em potros podem evoluir para septicemia com comprometimento de articulações, ossos e musculatura. A persistência de úraco atuou como provável porta de entrada para a infecção sistêmica. O diagnóstico precoce e o manejo adequado de alterações umbilicais são essenciais para prevenir complicações graves em potros neonatos.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ALEMAN, M.; NIETO, J. E.; CARLSON, G. P. </w:t>
      </w:r>
      <w:r w:rsidDel="00000000" w:rsidR="00000000" w:rsidRPr="00000000">
        <w:rPr>
          <w:rFonts w:ascii="Times New Roman" w:cs="Times New Roman" w:eastAsia="Times New Roman" w:hAnsi="Times New Roman"/>
          <w:sz w:val="24"/>
          <w:szCs w:val="24"/>
          <w:rtl w:val="0"/>
        </w:rPr>
        <w:t xml:space="preserve">Neonatal sepsis in foals. </w:t>
      </w:r>
      <w:r w:rsidDel="00000000" w:rsidR="00000000" w:rsidRPr="00000000">
        <w:rPr>
          <w:rFonts w:ascii="Times New Roman" w:cs="Times New Roman" w:eastAsia="Times New Roman" w:hAnsi="Times New Roman"/>
          <w:b w:val="1"/>
          <w:bCs w:val="1"/>
          <w:sz w:val="24"/>
          <w:szCs w:val="24"/>
          <w:rtl w:val="0"/>
        </w:rPr>
        <w:t xml:space="preserve">Veterinary Clinics of North America: Equine Practice</w:t>
      </w:r>
      <w:r w:rsidDel="00000000" w:rsidR="00000000" w:rsidRPr="00000000">
        <w:rPr>
          <w:rFonts w:ascii="Times New Roman" w:cs="Times New Roman" w:eastAsia="Times New Roman" w:hAnsi="Times New Roman"/>
          <w:sz w:val="24"/>
          <w:szCs w:val="24"/>
          <w:rtl w:val="0"/>
        </w:rPr>
        <w:t xml:space="preserve">, v. 37, n. 2, p. 267-284, 2021.</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BAXTER, G. M.; MCILWRAITH, C. W. </w:t>
      </w:r>
      <w:r w:rsidDel="00000000" w:rsidR="00000000" w:rsidRPr="00000000">
        <w:rPr>
          <w:rFonts w:ascii="Times New Roman" w:cs="Times New Roman" w:eastAsia="Times New Roman" w:hAnsi="Times New Roman"/>
          <w:b w:val="1"/>
          <w:bCs w:val="1"/>
          <w:sz w:val="24"/>
          <w:szCs w:val="24"/>
          <w:rtl w:val="0"/>
        </w:rPr>
        <w:t xml:space="preserve">Adams and Stashak’s Iameness in horses</w:t>
      </w:r>
      <w:r w:rsidDel="00000000" w:rsidR="00000000" w:rsidRPr="00000000">
        <w:rPr>
          <w:rFonts w:ascii="Times New Roman" w:cs="Times New Roman" w:eastAsia="Times New Roman" w:hAnsi="Times New Roman"/>
          <w:sz w:val="24"/>
          <w:szCs w:val="24"/>
          <w:rtl w:val="0"/>
        </w:rPr>
        <w:t xml:space="preserve">. 7. ed. Hoboken: Wiley Blackwell, 2020.</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CORLEY, K. T. T.; STEPHEN, J. O. </w:t>
      </w:r>
      <w:r w:rsidDel="00000000" w:rsidR="00000000" w:rsidRPr="00000000">
        <w:rPr>
          <w:rFonts w:ascii="Times New Roman" w:cs="Times New Roman" w:eastAsia="Times New Roman" w:hAnsi="Times New Roman"/>
          <w:b w:val="1"/>
          <w:bCs w:val="1"/>
          <w:sz w:val="24"/>
          <w:szCs w:val="24"/>
          <w:rtl w:val="0"/>
        </w:rPr>
        <w:t xml:space="preserve">The equine hospital manual</w:t>
      </w:r>
      <w:r w:rsidDel="00000000" w:rsidR="00000000" w:rsidRPr="00000000">
        <w:rPr>
          <w:rFonts w:ascii="Times New Roman" w:cs="Times New Roman" w:eastAsia="Times New Roman" w:hAnsi="Times New Roman"/>
          <w:sz w:val="24"/>
          <w:szCs w:val="24"/>
          <w:rtl w:val="0"/>
        </w:rPr>
        <w:t xml:space="preserve">. 2. ed. Oxford: Wiley Blackwell, 2022.</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 T. J.; REED, S. M. </w:t>
      </w:r>
      <w:r w:rsidDel="00000000" w:rsidR="00000000" w:rsidRPr="00000000">
        <w:rPr>
          <w:rFonts w:ascii="Times New Roman" w:cs="Times New Roman" w:eastAsia="Times New Roman" w:hAnsi="Times New Roman"/>
          <w:b w:val="1"/>
          <w:bCs w:val="1"/>
          <w:sz w:val="24"/>
          <w:szCs w:val="24"/>
          <w:rtl w:val="0"/>
        </w:rPr>
        <w:t xml:space="preserve">Equine internal medicine</w:t>
      </w:r>
      <w:r w:rsidDel="00000000" w:rsidR="00000000" w:rsidRPr="00000000">
        <w:rPr>
          <w:rFonts w:ascii="Times New Roman" w:cs="Times New Roman" w:eastAsia="Times New Roman" w:hAnsi="Times New Roman"/>
          <w:sz w:val="24"/>
          <w:szCs w:val="24"/>
          <w:rtl w:val="0"/>
        </w:rPr>
        <w:t xml:space="preserve">. 5. ed. St. Louis: Elsevier, 2022.</w:t>
        <w:br w:type="textWrapping"/>
        <w:t xml:space="preserve">FURR, M.; REED, S. </w:t>
      </w:r>
      <w:r w:rsidDel="00000000" w:rsidR="00000000" w:rsidRPr="00000000">
        <w:rPr>
          <w:rFonts w:ascii="Times New Roman" w:cs="Times New Roman" w:eastAsia="Times New Roman" w:hAnsi="Times New Roman"/>
          <w:b w:val="1"/>
          <w:bCs w:val="1"/>
          <w:sz w:val="24"/>
          <w:szCs w:val="24"/>
          <w:rtl w:val="0"/>
        </w:rPr>
        <w:t xml:space="preserve">Equine neurology</w:t>
      </w:r>
      <w:r w:rsidDel="00000000" w:rsidR="00000000" w:rsidRPr="00000000">
        <w:rPr>
          <w:rFonts w:ascii="Times New Roman" w:cs="Times New Roman" w:eastAsia="Times New Roman" w:hAnsi="Times New Roman"/>
          <w:sz w:val="24"/>
          <w:szCs w:val="24"/>
          <w:rtl w:val="0"/>
        </w:rPr>
        <w:t xml:space="preserve">. 3. ed. Hoboken: Wiley Blackwell, 2023.</w:t>
        <w:br w:type="textWrapping"/>
        <w:t xml:space="preserve">GOMEZ, D. E.; ARROYO, L. G.; COSTA, M. C. Antimicrobial resistance in equine bacterial infections. </w:t>
      </w:r>
      <w:r w:rsidDel="00000000" w:rsidR="00000000" w:rsidRPr="00000000">
        <w:rPr>
          <w:rFonts w:ascii="Times New Roman" w:cs="Times New Roman" w:eastAsia="Times New Roman" w:hAnsi="Times New Roman"/>
          <w:b w:val="1"/>
          <w:bCs w:val="1"/>
          <w:sz w:val="24"/>
          <w:szCs w:val="24"/>
          <w:rtl w:val="0"/>
        </w:rPr>
        <w:t xml:space="preserve">Journal of Equine Veterinary Science</w:t>
      </w:r>
      <w:r w:rsidDel="00000000" w:rsidR="00000000" w:rsidRPr="00000000">
        <w:rPr>
          <w:rFonts w:ascii="Times New Roman" w:cs="Times New Roman" w:eastAsia="Times New Roman" w:hAnsi="Times New Roman"/>
          <w:sz w:val="24"/>
          <w:szCs w:val="24"/>
          <w:rtl w:val="0"/>
        </w:rPr>
        <w:t xml:space="preserve">, v. 115, p. 104010, 2022.</w:t>
        <w:br w:type="textWrapping"/>
        <w:t xml:space="preserve">MCAULIFFE, S.; SLOVIS, N. </w:t>
      </w:r>
      <w:r w:rsidDel="00000000" w:rsidR="00000000" w:rsidRPr="00000000">
        <w:rPr>
          <w:rFonts w:ascii="Times New Roman" w:cs="Times New Roman" w:eastAsia="Times New Roman" w:hAnsi="Times New Roman"/>
          <w:b w:val="1"/>
          <w:bCs w:val="1"/>
          <w:sz w:val="24"/>
          <w:szCs w:val="24"/>
          <w:rtl w:val="0"/>
        </w:rPr>
        <w:t xml:space="preserve">Color atlas of diseases and disorders of the foal</w:t>
      </w:r>
      <w:r w:rsidDel="00000000" w:rsidR="00000000" w:rsidRPr="00000000">
        <w:rPr>
          <w:rFonts w:ascii="Times New Roman" w:cs="Times New Roman" w:eastAsia="Times New Roman" w:hAnsi="Times New Roman"/>
          <w:sz w:val="24"/>
          <w:szCs w:val="24"/>
          <w:rtl w:val="0"/>
        </w:rPr>
        <w:t xml:space="preserve">. 2. ed. London: Elsevier, 2021.</w:t>
        <w:br w:type="textWrapping"/>
        <w:t xml:space="preserve">PEEK, S. F.; DIVERS, T. J. </w:t>
      </w:r>
      <w:r w:rsidDel="00000000" w:rsidR="00000000" w:rsidRPr="00000000">
        <w:rPr>
          <w:rFonts w:ascii="Times New Roman" w:cs="Times New Roman" w:eastAsia="Times New Roman" w:hAnsi="Times New Roman"/>
          <w:b w:val="1"/>
          <w:bCs w:val="1"/>
          <w:sz w:val="24"/>
          <w:szCs w:val="24"/>
          <w:rtl w:val="0"/>
        </w:rPr>
        <w:t xml:space="preserve">Rebhun’s diseases of dairy cattle</w:t>
      </w:r>
      <w:r w:rsidDel="00000000" w:rsidR="00000000" w:rsidRPr="00000000">
        <w:rPr>
          <w:rFonts w:ascii="Times New Roman" w:cs="Times New Roman" w:eastAsia="Times New Roman" w:hAnsi="Times New Roman"/>
          <w:sz w:val="24"/>
          <w:szCs w:val="24"/>
          <w:rtl w:val="0"/>
        </w:rPr>
        <w:t xml:space="preserve">. 3. ed. St. Louis: Elsevier, 2020.</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L. C. Umbilical disordens in foals. </w:t>
      </w:r>
      <w:r w:rsidDel="00000000" w:rsidR="00000000" w:rsidRPr="00000000">
        <w:rPr>
          <w:rFonts w:ascii="Times New Roman" w:cs="Times New Roman" w:eastAsia="Times New Roman" w:hAnsi="Times New Roman"/>
          <w:b w:val="1"/>
          <w:bCs w:val="1"/>
          <w:sz w:val="24"/>
          <w:szCs w:val="24"/>
          <w:rtl w:val="0"/>
        </w:rPr>
        <w:t xml:space="preserve">Equine Veterinary Educations</w:t>
      </w:r>
      <w:r w:rsidDel="00000000" w:rsidR="00000000" w:rsidRPr="00000000">
        <w:rPr>
          <w:rFonts w:ascii="Times New Roman" w:cs="Times New Roman" w:eastAsia="Times New Roman" w:hAnsi="Times New Roman"/>
          <w:sz w:val="24"/>
          <w:szCs w:val="24"/>
          <w:rtl w:val="0"/>
        </w:rPr>
        <w:t xml:space="preserve">, v. 33, n. 7, p. 358-366, 2021.</w:t>
        <w:br w:type="textWrapping"/>
      </w:r>
    </w:p>
    <w:sectPr>
      <w:headerReference r:id="rId9" w:type="default"/>
      <w:footerReference r:id="rId10"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-285747</wp:posOffset>
          </wp:positionH>
          <wp:positionV relativeFrom="paragraph">
            <wp:posOffset>-295272</wp:posOffset>
          </wp:positionV>
          <wp:extent cx="6429375" cy="146970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9375" cy="1469708"/>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vetpb@gmail.com" TargetMode="External"/><Relationship Id="rId8" Type="http://schemas.openxmlformats.org/officeDocument/2006/relationships/hyperlink" Target="mailto:laynaslanabreu@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RMt2t6yDb6Ku+UgdCeMr/EYg==">CgMxLjA4AHIhMS0zSlF0UUozbUdUcWcyME5kUVZHLXNmX1BiMHVnS3Vx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