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B435" w14:textId="2447214F" w:rsidR="0041004B" w:rsidRDefault="0041004B" w:rsidP="008755F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D6F53">
        <w:rPr>
          <w:rFonts w:ascii="Times New Roman" w:hAnsi="Times New Roman" w:cs="Times New Roman"/>
          <w:b/>
          <w:bCs/>
        </w:rPr>
        <w:t>PALIVIZUMABE NA PROFILAXIA DO V</w:t>
      </w:r>
      <w:r w:rsidR="005B0428">
        <w:rPr>
          <w:rFonts w:ascii="Times New Roman" w:hAnsi="Times New Roman" w:cs="Times New Roman"/>
          <w:b/>
          <w:bCs/>
        </w:rPr>
        <w:t>Í</w:t>
      </w:r>
      <w:r w:rsidR="00292538" w:rsidRPr="005D6F53">
        <w:rPr>
          <w:rFonts w:ascii="Times New Roman" w:hAnsi="Times New Roman" w:cs="Times New Roman"/>
          <w:b/>
          <w:bCs/>
        </w:rPr>
        <w:t xml:space="preserve">RUS </w:t>
      </w:r>
      <w:r w:rsidRPr="005D6F53">
        <w:rPr>
          <w:rFonts w:ascii="Times New Roman" w:hAnsi="Times New Roman" w:cs="Times New Roman"/>
          <w:b/>
          <w:bCs/>
        </w:rPr>
        <w:t>S</w:t>
      </w:r>
      <w:r w:rsidR="00292538" w:rsidRPr="005D6F53">
        <w:rPr>
          <w:rFonts w:ascii="Times New Roman" w:hAnsi="Times New Roman" w:cs="Times New Roman"/>
          <w:b/>
          <w:bCs/>
        </w:rPr>
        <w:t xml:space="preserve">INCICIAL </w:t>
      </w:r>
      <w:r w:rsidRPr="005D6F53">
        <w:rPr>
          <w:rFonts w:ascii="Times New Roman" w:hAnsi="Times New Roman" w:cs="Times New Roman"/>
          <w:b/>
          <w:bCs/>
        </w:rPr>
        <w:t>R</w:t>
      </w:r>
      <w:r w:rsidR="00292538" w:rsidRPr="005D6F53">
        <w:rPr>
          <w:rFonts w:ascii="Times New Roman" w:hAnsi="Times New Roman" w:cs="Times New Roman"/>
          <w:b/>
          <w:bCs/>
        </w:rPr>
        <w:t>ESPIRATÓRIO</w:t>
      </w:r>
      <w:r w:rsidRPr="005D6F53">
        <w:rPr>
          <w:rFonts w:ascii="Times New Roman" w:hAnsi="Times New Roman" w:cs="Times New Roman"/>
          <w:b/>
          <w:bCs/>
        </w:rPr>
        <w:t xml:space="preserve"> EM PREMATUROS: RELATO DE EXPERIÊNCIA</w:t>
      </w:r>
    </w:p>
    <w:p w14:paraId="49313491" w14:textId="77777777" w:rsidR="002E6ACD" w:rsidRPr="005D6F53" w:rsidRDefault="002E6ACD" w:rsidP="009B4B25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14:paraId="3A25E774" w14:textId="350B00C2" w:rsidR="0041004B" w:rsidRPr="005D6F53" w:rsidRDefault="004D0B4F" w:rsidP="00875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6F53">
        <w:rPr>
          <w:rFonts w:ascii="Times New Roman" w:hAnsi="Times New Roman" w:cs="Times New Roman"/>
          <w:b/>
          <w:bCs/>
        </w:rPr>
        <w:t>INTRODUÇÃO:</w:t>
      </w:r>
      <w:r w:rsidRPr="005D6F53">
        <w:rPr>
          <w:rFonts w:ascii="Times New Roman" w:hAnsi="Times New Roman" w:cs="Times New Roman"/>
        </w:rPr>
        <w:t xml:space="preserve"> O Vírus Sincicial </w:t>
      </w:r>
      <w:r w:rsidR="006A3AD9" w:rsidRPr="005D6F53">
        <w:rPr>
          <w:rFonts w:ascii="Times New Roman" w:hAnsi="Times New Roman" w:cs="Times New Roman"/>
        </w:rPr>
        <w:t>Respiratório (VSR)</w:t>
      </w:r>
      <w:r w:rsidRPr="005D6F53">
        <w:rPr>
          <w:rFonts w:ascii="Times New Roman" w:hAnsi="Times New Roman" w:cs="Times New Roman"/>
        </w:rPr>
        <w:t xml:space="preserve"> é um dos principais agentes de infecções respiratórias em lactentes, com maior gravidade em recém-nascidos prematuros, devido à imaturidade imunológica e pulmonar, estando associado a hospitalizações e complicações respiratórias</w:t>
      </w:r>
      <w:r w:rsidR="00BA4A9D" w:rsidRPr="005D6F53">
        <w:rPr>
          <w:rFonts w:ascii="Times New Roman" w:hAnsi="Times New Roman" w:cs="Times New Roman"/>
        </w:rPr>
        <w:t xml:space="preserve">. </w:t>
      </w:r>
      <w:r w:rsidRPr="005D6F53">
        <w:rPr>
          <w:rFonts w:ascii="Times New Roman" w:hAnsi="Times New Roman" w:cs="Times New Roman"/>
        </w:rPr>
        <w:t>A profilaxia com Palivizumabe é indicada para grupos de risco e contribui para a redução de desfechos adversos</w:t>
      </w:r>
      <w:r w:rsidR="006850A6" w:rsidRPr="005D6F53">
        <w:rPr>
          <w:rFonts w:ascii="Times New Roman" w:hAnsi="Times New Roman" w:cs="Times New Roman"/>
          <w:vertAlign w:val="superscript"/>
        </w:rPr>
        <w:t>1</w:t>
      </w:r>
      <w:r w:rsidR="006850A6" w:rsidRPr="005D6F53">
        <w:rPr>
          <w:rFonts w:ascii="Times New Roman" w:hAnsi="Times New Roman" w:cs="Times New Roman"/>
        </w:rPr>
        <w:t>.</w:t>
      </w:r>
      <w:r w:rsidR="006850A6" w:rsidRPr="005D6F53">
        <w:rPr>
          <w:rFonts w:ascii="Times New Roman" w:hAnsi="Times New Roman" w:cs="Times New Roman"/>
          <w:vertAlign w:val="superscript"/>
        </w:rPr>
        <w:t xml:space="preserve"> </w:t>
      </w:r>
      <w:r w:rsidRPr="005D6F53">
        <w:rPr>
          <w:rFonts w:ascii="Times New Roman" w:hAnsi="Times New Roman" w:cs="Times New Roman"/>
          <w:b/>
          <w:bCs/>
        </w:rPr>
        <w:t>OBJETIVO:</w:t>
      </w:r>
      <w:r w:rsidRPr="005D6F53">
        <w:rPr>
          <w:rFonts w:ascii="Times New Roman" w:hAnsi="Times New Roman" w:cs="Times New Roman"/>
        </w:rPr>
        <w:t xml:space="preserve"> Descrever a experiência da enfermeira na administração do Palivizumabe em recém-nascidos prematuros durante a sazonalidade do VSR. </w:t>
      </w:r>
      <w:r w:rsidRPr="005D6F53">
        <w:rPr>
          <w:rFonts w:ascii="Times New Roman" w:hAnsi="Times New Roman" w:cs="Times New Roman"/>
          <w:b/>
          <w:bCs/>
        </w:rPr>
        <w:t>METODOLOGIA:</w:t>
      </w:r>
      <w:r w:rsidRPr="005D6F53">
        <w:rPr>
          <w:rFonts w:ascii="Times New Roman" w:hAnsi="Times New Roman" w:cs="Times New Roman"/>
        </w:rPr>
        <w:t xml:space="preserve"> Trata-se de relato </w:t>
      </w:r>
      <w:r w:rsidR="00DA69C8" w:rsidRPr="00DA69C8">
        <w:rPr>
          <w:rFonts w:ascii="Times New Roman" w:hAnsi="Times New Roman" w:cs="Times New Roman"/>
        </w:rPr>
        <w:t>de experiência de uma enfermeira em unidade neonatal na região Norte do Brasil. As atividades envolveram a triagem de recém-nascidos elegíveis, organização do fluxo assistencial, preparo e administração intramuscular do imunobiológico, além do monitoramento clínico e orientação familiar. A prática foi fundamentada no Processo de Enfermagem, em conformidade com a Resolução COFEN nº 736/2024, que estabelece a nova estrutura da Sistematização da Assistência de Enfermagem</w:t>
      </w:r>
      <w:r w:rsidR="00582CA1">
        <w:rPr>
          <w:rFonts w:ascii="Times New Roman" w:hAnsi="Times New Roman" w:cs="Times New Roman"/>
          <w:vertAlign w:val="superscript"/>
        </w:rPr>
        <w:t>2</w:t>
      </w:r>
      <w:r w:rsidR="00154D66">
        <w:rPr>
          <w:rFonts w:ascii="Times New Roman" w:hAnsi="Times New Roman" w:cs="Times New Roman"/>
        </w:rPr>
        <w:t xml:space="preserve">. </w:t>
      </w:r>
      <w:r w:rsidRPr="005D6F53">
        <w:rPr>
          <w:rFonts w:ascii="Times New Roman" w:hAnsi="Times New Roman" w:cs="Times New Roman"/>
          <w:b/>
          <w:bCs/>
        </w:rPr>
        <w:t>RESULTADOS/IMPACTOS:</w:t>
      </w:r>
      <w:r w:rsidRPr="005D6F53">
        <w:rPr>
          <w:rFonts w:ascii="Times New Roman" w:hAnsi="Times New Roman" w:cs="Times New Roman"/>
        </w:rPr>
        <w:t xml:space="preserve"> </w:t>
      </w:r>
      <w:r w:rsidR="00154D66" w:rsidRPr="00154D66">
        <w:rPr>
          <w:rFonts w:ascii="Times New Roman" w:hAnsi="Times New Roman" w:cs="Times New Roman"/>
        </w:rPr>
        <w:t>Observou-se a necessidade de articulação multiprofissional para garantir o acesso ao medicamento. A atuação direta na conferência e administração segura resultou na ausência de intercorrências imediatas. A educação em saúde junto aos responsáveis foi um pilar essencial, promovendo a adesão às medidas preventivas e ao esquema profilático</w:t>
      </w:r>
      <w:r w:rsidR="00154D66">
        <w:rPr>
          <w:rFonts w:ascii="Times New Roman" w:hAnsi="Times New Roman" w:cs="Times New Roman"/>
        </w:rPr>
        <w:t xml:space="preserve">. </w:t>
      </w:r>
      <w:r w:rsidRPr="005D6F53">
        <w:rPr>
          <w:rFonts w:ascii="Times New Roman" w:hAnsi="Times New Roman" w:cs="Times New Roman"/>
          <w:b/>
          <w:bCs/>
        </w:rPr>
        <w:t>DISCUSSÃO:</w:t>
      </w:r>
      <w:r w:rsidRPr="005D6F53">
        <w:rPr>
          <w:rFonts w:ascii="Times New Roman" w:hAnsi="Times New Roman" w:cs="Times New Roman"/>
        </w:rPr>
        <w:t xml:space="preserve"> </w:t>
      </w:r>
      <w:r w:rsidR="00DC5EE5" w:rsidRPr="00DC5EE5">
        <w:rPr>
          <w:rFonts w:ascii="Times New Roman" w:hAnsi="Times New Roman" w:cs="Times New Roman"/>
        </w:rPr>
        <w:t>A efetividade da profilaxia depende diretamente da organização do serviço. A literatura reforça que a educação em saúde sobre lavagem das mãos e distanciamento social de pessoas sintomáticas potencializa a proteção do anticorpo monoclonal, reduzindo o risco de doenças respiratórias graves</w:t>
      </w:r>
      <w:r w:rsidR="00582CA1">
        <w:rPr>
          <w:rFonts w:ascii="Times New Roman" w:hAnsi="Times New Roman" w:cs="Times New Roman"/>
          <w:vertAlign w:val="superscript"/>
        </w:rPr>
        <w:t>3</w:t>
      </w:r>
      <w:r w:rsidR="00DC5EE5">
        <w:rPr>
          <w:rFonts w:ascii="Times New Roman" w:hAnsi="Times New Roman" w:cs="Times New Roman"/>
        </w:rPr>
        <w:t xml:space="preserve">. </w:t>
      </w:r>
      <w:r w:rsidRPr="005D6F53">
        <w:rPr>
          <w:rFonts w:ascii="Times New Roman" w:hAnsi="Times New Roman" w:cs="Times New Roman"/>
          <w:b/>
          <w:bCs/>
        </w:rPr>
        <w:t>CONCLUSÕES/LIÇÕES APRENDIDAS</w:t>
      </w:r>
      <w:r w:rsidRPr="005D6F53">
        <w:rPr>
          <w:rFonts w:ascii="Times New Roman" w:hAnsi="Times New Roman" w:cs="Times New Roman"/>
        </w:rPr>
        <w:t xml:space="preserve">: </w:t>
      </w:r>
      <w:r w:rsidR="00303FC2" w:rsidRPr="00303FC2">
        <w:rPr>
          <w:rFonts w:ascii="Times New Roman" w:hAnsi="Times New Roman" w:cs="Times New Roman"/>
        </w:rPr>
        <w:t>A vivência evidenciou que a atuação da enfermeira é central na prevenção de agravos respiratórios em prematuros. O papel da enfermagem vai além da técnica, exigindo planejamento estratégico e qualificação da prática assistencial para garantir a segurança e a continuidade do cuidado neonatal.</w:t>
      </w:r>
    </w:p>
    <w:p w14:paraId="143A557F" w14:textId="77777777" w:rsidR="00291AC2" w:rsidRDefault="00291AC2" w:rsidP="008755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1315B4" w14:textId="2D17B958" w:rsidR="0041004B" w:rsidRPr="005D6F53" w:rsidRDefault="0041004B" w:rsidP="00875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6F53">
        <w:rPr>
          <w:rFonts w:ascii="Times New Roman" w:hAnsi="Times New Roman" w:cs="Times New Roman"/>
          <w:b/>
          <w:bCs/>
        </w:rPr>
        <w:t>Descritores</w:t>
      </w:r>
      <w:r w:rsidR="003E77D5" w:rsidRPr="005D6F53">
        <w:rPr>
          <w:rFonts w:ascii="Times New Roman" w:hAnsi="Times New Roman" w:cs="Times New Roman"/>
          <w:b/>
          <w:bCs/>
        </w:rPr>
        <w:t xml:space="preserve"> (DECS</w:t>
      </w:r>
      <w:r w:rsidR="00582B26" w:rsidRPr="005D6F53">
        <w:rPr>
          <w:rFonts w:ascii="Times New Roman" w:hAnsi="Times New Roman" w:cs="Times New Roman"/>
          <w:b/>
          <w:bCs/>
        </w:rPr>
        <w:t>-ID</w:t>
      </w:r>
      <w:r w:rsidR="00CE0EC3" w:rsidRPr="005D6F53">
        <w:rPr>
          <w:rFonts w:ascii="Times New Roman" w:hAnsi="Times New Roman" w:cs="Times New Roman"/>
          <w:b/>
          <w:bCs/>
        </w:rPr>
        <w:t>)</w:t>
      </w:r>
      <w:r w:rsidRPr="005D6F53">
        <w:rPr>
          <w:rFonts w:ascii="Times New Roman" w:hAnsi="Times New Roman" w:cs="Times New Roman"/>
        </w:rPr>
        <w:t>: Vírus Sincicial Respiratório</w:t>
      </w:r>
      <w:r w:rsidR="00293F3B" w:rsidRPr="005D6F53">
        <w:rPr>
          <w:rFonts w:ascii="Times New Roman" w:hAnsi="Times New Roman" w:cs="Times New Roman"/>
        </w:rPr>
        <w:t xml:space="preserve"> - D01213</w:t>
      </w:r>
      <w:r w:rsidR="000B637B" w:rsidRPr="005D6F53">
        <w:rPr>
          <w:rFonts w:ascii="Times New Roman" w:hAnsi="Times New Roman" w:cs="Times New Roman"/>
        </w:rPr>
        <w:t>6</w:t>
      </w:r>
      <w:r w:rsidRPr="005D6F53">
        <w:rPr>
          <w:rFonts w:ascii="Times New Roman" w:hAnsi="Times New Roman" w:cs="Times New Roman"/>
        </w:rPr>
        <w:t xml:space="preserve">; </w:t>
      </w:r>
      <w:r w:rsidR="00A361C5" w:rsidRPr="005D6F53">
        <w:rPr>
          <w:rFonts w:ascii="Times New Roman" w:hAnsi="Times New Roman" w:cs="Times New Roman"/>
        </w:rPr>
        <w:t>Recém-Nascido Prematuro</w:t>
      </w:r>
      <w:r w:rsidR="00293F3B" w:rsidRPr="005D6F53">
        <w:rPr>
          <w:rFonts w:ascii="Times New Roman" w:hAnsi="Times New Roman" w:cs="Times New Roman"/>
        </w:rPr>
        <w:t xml:space="preserve"> - </w:t>
      </w:r>
      <w:r w:rsidR="00B135A3" w:rsidRPr="005D6F53">
        <w:rPr>
          <w:rFonts w:ascii="Times New Roman" w:hAnsi="Times New Roman" w:cs="Times New Roman"/>
        </w:rPr>
        <w:t>D007234</w:t>
      </w:r>
      <w:r w:rsidRPr="005D6F53">
        <w:rPr>
          <w:rFonts w:ascii="Times New Roman" w:hAnsi="Times New Roman" w:cs="Times New Roman"/>
        </w:rPr>
        <w:t xml:space="preserve">; </w:t>
      </w:r>
      <w:r w:rsidR="006D7DA2" w:rsidRPr="005D6F53">
        <w:rPr>
          <w:rFonts w:ascii="Times New Roman" w:hAnsi="Times New Roman" w:cs="Times New Roman"/>
        </w:rPr>
        <w:t>Palivizumabe</w:t>
      </w:r>
      <w:r w:rsidR="004E22D3" w:rsidRPr="005D6F53">
        <w:rPr>
          <w:rFonts w:ascii="Times New Roman" w:hAnsi="Times New Roman" w:cs="Times New Roman"/>
        </w:rPr>
        <w:t xml:space="preserve"> - D00006945</w:t>
      </w:r>
      <w:r w:rsidR="004247D1">
        <w:rPr>
          <w:rFonts w:ascii="Times New Roman" w:hAnsi="Times New Roman" w:cs="Times New Roman"/>
        </w:rPr>
        <w:t>5</w:t>
      </w:r>
      <w:r w:rsidR="004E22D3" w:rsidRPr="005D6F53">
        <w:rPr>
          <w:rFonts w:ascii="Times New Roman" w:hAnsi="Times New Roman" w:cs="Times New Roman"/>
        </w:rPr>
        <w:t xml:space="preserve">. </w:t>
      </w:r>
    </w:p>
    <w:p w14:paraId="6043EB30" w14:textId="141CF61F" w:rsidR="00920BC2" w:rsidRPr="005D6F53" w:rsidRDefault="008D096A" w:rsidP="008755F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D6F53">
        <w:rPr>
          <w:rFonts w:ascii="Times New Roman" w:hAnsi="Times New Roman" w:cs="Times New Roman"/>
          <w:b/>
          <w:bCs/>
        </w:rPr>
        <w:t>Modalidade:</w:t>
      </w:r>
      <w:r w:rsidR="003524B3" w:rsidRPr="005D6F5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5D48C5" w:rsidRPr="005D6F53">
        <w:rPr>
          <w:rFonts w:ascii="Times New Roman" w:hAnsi="Times New Roman" w:cs="Times New Roman"/>
          <w:b/>
          <w:bCs/>
        </w:rPr>
        <w:t>( )</w:t>
      </w:r>
      <w:proofErr w:type="gramEnd"/>
      <w:r w:rsidR="00E64F2D" w:rsidRPr="005D6F53">
        <w:rPr>
          <w:rFonts w:ascii="Times New Roman" w:hAnsi="Times New Roman" w:cs="Times New Roman"/>
          <w:b/>
          <w:bCs/>
        </w:rPr>
        <w:t xml:space="preserve"> estudo original                </w:t>
      </w:r>
      <w:proofErr w:type="gramStart"/>
      <w:r w:rsidR="00E64F2D" w:rsidRPr="005D6F53">
        <w:rPr>
          <w:rFonts w:ascii="Times New Roman" w:hAnsi="Times New Roman" w:cs="Times New Roman"/>
          <w:b/>
          <w:bCs/>
        </w:rPr>
        <w:t xml:space="preserve">   ( </w:t>
      </w:r>
      <w:r w:rsidR="005D48C5" w:rsidRPr="005D6F53">
        <w:rPr>
          <w:rFonts w:ascii="Times New Roman" w:hAnsi="Times New Roman" w:cs="Times New Roman"/>
          <w:b/>
          <w:bCs/>
        </w:rPr>
        <w:t xml:space="preserve"> )</w:t>
      </w:r>
      <w:proofErr w:type="gramEnd"/>
      <w:r w:rsidR="00E64F2D" w:rsidRPr="005D6F53">
        <w:rPr>
          <w:rFonts w:ascii="Times New Roman" w:hAnsi="Times New Roman" w:cs="Times New Roman"/>
          <w:b/>
          <w:bCs/>
        </w:rPr>
        <w:t xml:space="preserve"> desenvolvimento tecnológico</w:t>
      </w:r>
    </w:p>
    <w:p w14:paraId="556082C4" w14:textId="28AFE56D" w:rsidR="00E64F2D" w:rsidRPr="005D6F53" w:rsidRDefault="00E64F2D" w:rsidP="008755F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D6F53">
        <w:rPr>
          <w:rFonts w:ascii="Times New Roman" w:hAnsi="Times New Roman" w:cs="Times New Roman"/>
          <w:b/>
          <w:bCs/>
        </w:rPr>
        <w:t xml:space="preserve">                       </w:t>
      </w:r>
      <w:proofErr w:type="gramStart"/>
      <w:r w:rsidR="005D48C5" w:rsidRPr="005D6F53">
        <w:rPr>
          <w:rFonts w:ascii="Times New Roman" w:hAnsi="Times New Roman" w:cs="Times New Roman"/>
          <w:b/>
          <w:bCs/>
        </w:rPr>
        <w:t xml:space="preserve">( </w:t>
      </w:r>
      <w:r w:rsidR="00922777" w:rsidRPr="005D6F53">
        <w:rPr>
          <w:rFonts w:ascii="Times New Roman" w:hAnsi="Times New Roman" w:cs="Times New Roman"/>
          <w:b/>
          <w:bCs/>
        </w:rPr>
        <w:t>X</w:t>
      </w:r>
      <w:proofErr w:type="gramEnd"/>
      <w:r w:rsidRPr="005D6F53">
        <w:rPr>
          <w:rFonts w:ascii="Times New Roman" w:hAnsi="Times New Roman" w:cs="Times New Roman"/>
          <w:b/>
          <w:bCs/>
        </w:rPr>
        <w:t xml:space="preserve"> ) relato de experiência</w:t>
      </w:r>
      <w:r w:rsidR="002E1209" w:rsidRPr="005D6F53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="002E1209" w:rsidRPr="005D6F53">
        <w:rPr>
          <w:rFonts w:ascii="Times New Roman" w:hAnsi="Times New Roman" w:cs="Times New Roman"/>
          <w:b/>
          <w:bCs/>
        </w:rPr>
        <w:t xml:space="preserve">   ( </w:t>
      </w:r>
      <w:r w:rsidR="005D48C5" w:rsidRPr="005D6F53">
        <w:rPr>
          <w:rFonts w:ascii="Times New Roman" w:hAnsi="Times New Roman" w:cs="Times New Roman"/>
          <w:b/>
          <w:bCs/>
        </w:rPr>
        <w:t xml:space="preserve"> )</w:t>
      </w:r>
      <w:proofErr w:type="gramEnd"/>
      <w:r w:rsidR="002E1209" w:rsidRPr="005D6F53">
        <w:rPr>
          <w:rFonts w:ascii="Times New Roman" w:hAnsi="Times New Roman" w:cs="Times New Roman"/>
          <w:b/>
          <w:bCs/>
        </w:rPr>
        <w:t xml:space="preserve"> revisão de literatura</w:t>
      </w:r>
    </w:p>
    <w:p w14:paraId="15A14CA2" w14:textId="237A9FE6" w:rsidR="008D096A" w:rsidRPr="005D6F53" w:rsidRDefault="008D096A" w:rsidP="00875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6F53">
        <w:rPr>
          <w:rFonts w:ascii="Times New Roman" w:hAnsi="Times New Roman" w:cs="Times New Roman"/>
          <w:b/>
          <w:bCs/>
        </w:rPr>
        <w:t xml:space="preserve">Eixo </w:t>
      </w:r>
      <w:r w:rsidR="003C05D1" w:rsidRPr="005D6F53">
        <w:rPr>
          <w:rFonts w:ascii="Times New Roman" w:hAnsi="Times New Roman" w:cs="Times New Roman"/>
          <w:b/>
          <w:bCs/>
        </w:rPr>
        <w:t>Temático:</w:t>
      </w:r>
      <w:r w:rsidR="00F6509F" w:rsidRPr="005D6F53">
        <w:rPr>
          <w:rFonts w:ascii="Times New Roman" w:hAnsi="Times New Roman" w:cs="Times New Roman"/>
          <w:b/>
          <w:bCs/>
        </w:rPr>
        <w:t xml:space="preserve"> </w:t>
      </w:r>
      <w:r w:rsidR="00F6509F" w:rsidRPr="005D6F53">
        <w:rPr>
          <w:rFonts w:ascii="Times New Roman" w:hAnsi="Times New Roman" w:cs="Times New Roman"/>
        </w:rPr>
        <w:t>Eixo 7 - Imunização/ Vacinas e Imunobiológicos</w:t>
      </w:r>
    </w:p>
    <w:p w14:paraId="3B842206" w14:textId="77777777" w:rsidR="00EE0C05" w:rsidRDefault="00EE0C05" w:rsidP="008755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C8519B" w14:textId="7B09358D" w:rsidR="00A20CF2" w:rsidRPr="005D6F53" w:rsidRDefault="00C91DA7" w:rsidP="008755F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D6F53">
        <w:rPr>
          <w:rFonts w:ascii="Times New Roman" w:hAnsi="Times New Roman" w:cs="Times New Roman"/>
          <w:b/>
          <w:bCs/>
        </w:rPr>
        <w:t xml:space="preserve">REFERÊNCIAS: </w:t>
      </w:r>
    </w:p>
    <w:p w14:paraId="21B987E6" w14:textId="381FE8C9" w:rsidR="00A20CF2" w:rsidRPr="005D6F53" w:rsidRDefault="00265CBC" w:rsidP="008755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D6F53">
        <w:rPr>
          <w:rFonts w:ascii="Times New Roman" w:hAnsi="Times New Roman" w:cs="Times New Roman"/>
        </w:rPr>
        <w:t>1.</w:t>
      </w:r>
      <w:r w:rsidR="009F2BFF" w:rsidRPr="005D6F53">
        <w:rPr>
          <w:rFonts w:ascii="Times New Roman" w:hAnsi="Times New Roman" w:cs="Times New Roman"/>
        </w:rPr>
        <w:t xml:space="preserve"> </w:t>
      </w:r>
      <w:r w:rsidR="00B6499E" w:rsidRPr="005D6F53">
        <w:rPr>
          <w:rFonts w:ascii="Times New Roman" w:hAnsi="Times New Roman" w:cs="Times New Roman"/>
        </w:rPr>
        <w:t>Candido SS, Sabará SG, Rodrigues PAP, Corrêa MFR, Silva MF. Epidemiologia gerada pelo Vírus Sincicial Respiratórios (VSR) na pediatria, sua gravidade e manifestação, uma revisão sistemática. Braz J Health Rev. 2024;7(3):1-</w:t>
      </w:r>
      <w:proofErr w:type="gramStart"/>
      <w:r w:rsidR="00B6499E" w:rsidRPr="005D6F53">
        <w:rPr>
          <w:rFonts w:ascii="Times New Roman" w:hAnsi="Times New Roman" w:cs="Times New Roman"/>
        </w:rPr>
        <w:t>12 .</w:t>
      </w:r>
      <w:proofErr w:type="gramEnd"/>
      <w:r w:rsidR="00B6499E" w:rsidRPr="005D6F53">
        <w:rPr>
          <w:rFonts w:ascii="Times New Roman" w:hAnsi="Times New Roman" w:cs="Times New Roman"/>
        </w:rPr>
        <w:t xml:space="preserve"> </w:t>
      </w:r>
      <w:proofErr w:type="spellStart"/>
      <w:r w:rsidR="00B6499E" w:rsidRPr="005D6F53">
        <w:rPr>
          <w:rFonts w:ascii="Times New Roman" w:hAnsi="Times New Roman" w:cs="Times New Roman"/>
        </w:rPr>
        <w:t>doi</w:t>
      </w:r>
      <w:proofErr w:type="spellEnd"/>
      <w:r w:rsidR="00B6499E" w:rsidRPr="005D6F53">
        <w:rPr>
          <w:rFonts w:ascii="Times New Roman" w:hAnsi="Times New Roman" w:cs="Times New Roman"/>
        </w:rPr>
        <w:t>: 10.34119/bjhrv7n3-328</w:t>
      </w:r>
      <w:r w:rsidR="006861ED">
        <w:rPr>
          <w:rFonts w:ascii="Times New Roman" w:hAnsi="Times New Roman" w:cs="Times New Roman"/>
        </w:rPr>
        <w:t>.</w:t>
      </w:r>
    </w:p>
    <w:p w14:paraId="37C502D1" w14:textId="0A1FD186" w:rsidR="00C91DA7" w:rsidRPr="005D6F53" w:rsidRDefault="00582CA1" w:rsidP="0087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65CBC" w:rsidRPr="005D6F53">
        <w:rPr>
          <w:rFonts w:ascii="Times New Roman" w:hAnsi="Times New Roman" w:cs="Times New Roman"/>
        </w:rPr>
        <w:t>.</w:t>
      </w:r>
      <w:r w:rsidR="009F2BFF" w:rsidRPr="005D6F53">
        <w:rPr>
          <w:rFonts w:ascii="Times New Roman" w:hAnsi="Times New Roman" w:cs="Times New Roman"/>
        </w:rPr>
        <w:t xml:space="preserve"> </w:t>
      </w:r>
      <w:r w:rsidR="008C53A6" w:rsidRPr="008C53A6">
        <w:rPr>
          <w:rFonts w:ascii="Times New Roman" w:hAnsi="Times New Roman" w:cs="Times New Roman"/>
        </w:rPr>
        <w:t xml:space="preserve">Conselho Federal de Enfermagem (BR). Resolução COFEN nº 736, de 17 de janeiro de 2024. Dispõe sobre a implementação do Processo de Enfermagem em todo contexto socioambiental onde ocorre o cuidado de enfermagem. Brasília: COFEN; 2024 [citado 28 </w:t>
      </w:r>
      <w:proofErr w:type="spellStart"/>
      <w:r w:rsidR="008C53A6" w:rsidRPr="008C53A6">
        <w:rPr>
          <w:rFonts w:ascii="Times New Roman" w:hAnsi="Times New Roman" w:cs="Times New Roman"/>
        </w:rPr>
        <w:t>abr</w:t>
      </w:r>
      <w:proofErr w:type="spellEnd"/>
      <w:r w:rsidR="008C53A6" w:rsidRPr="008C53A6">
        <w:rPr>
          <w:rFonts w:ascii="Times New Roman" w:hAnsi="Times New Roman" w:cs="Times New Roman"/>
        </w:rPr>
        <w:t xml:space="preserve"> 2026]. Disponível em: https://www.cofen.gov.br/resolucao-cofen-no-736-de-17-de-janeiro-de-2024/</w:t>
      </w:r>
    </w:p>
    <w:p w14:paraId="7C516CCF" w14:textId="3B8EC3EB" w:rsidR="002910BA" w:rsidRDefault="00582CA1" w:rsidP="003111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582CA1">
        <w:rPr>
          <w:rFonts w:ascii="Times New Roman" w:hAnsi="Times New Roman" w:cs="Times New Roman"/>
        </w:rPr>
        <w:t xml:space="preserve">. Tibúrcio BCS, Carvalheira APP, Gonçalves IR. Medidas de controle em casos de infecção pelo vírus sincicial respiratório em recém-nascidos prematuros: Revisão sistemática. Res </w:t>
      </w:r>
      <w:proofErr w:type="spellStart"/>
      <w:r w:rsidRPr="00582CA1">
        <w:rPr>
          <w:rFonts w:ascii="Times New Roman" w:hAnsi="Times New Roman" w:cs="Times New Roman"/>
        </w:rPr>
        <w:t>Soc</w:t>
      </w:r>
      <w:proofErr w:type="spellEnd"/>
      <w:r w:rsidRPr="00582CA1">
        <w:rPr>
          <w:rFonts w:ascii="Times New Roman" w:hAnsi="Times New Roman" w:cs="Times New Roman"/>
        </w:rPr>
        <w:t xml:space="preserve"> Dev. 2023;12(11):e72121143755. </w:t>
      </w:r>
      <w:proofErr w:type="spellStart"/>
      <w:r w:rsidRPr="00582CA1">
        <w:rPr>
          <w:rFonts w:ascii="Times New Roman" w:hAnsi="Times New Roman" w:cs="Times New Roman"/>
        </w:rPr>
        <w:t>doi</w:t>
      </w:r>
      <w:proofErr w:type="spellEnd"/>
      <w:r w:rsidRPr="00582CA1">
        <w:rPr>
          <w:rFonts w:ascii="Times New Roman" w:hAnsi="Times New Roman" w:cs="Times New Roman"/>
        </w:rPr>
        <w:t>: 10.33448/rsd-v12i11.43755.</w:t>
      </w:r>
    </w:p>
    <w:p w14:paraId="3C78129E" w14:textId="77777777" w:rsidR="00C33035" w:rsidRDefault="00C33035" w:rsidP="003111B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33035" w:rsidSect="007F41C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67307"/>
    <w:multiLevelType w:val="hybridMultilevel"/>
    <w:tmpl w:val="E0E659DE"/>
    <w:lvl w:ilvl="0" w:tplc="181C3F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4B"/>
    <w:rsid w:val="0000113E"/>
    <w:rsid w:val="0002190C"/>
    <w:rsid w:val="000246D2"/>
    <w:rsid w:val="00026636"/>
    <w:rsid w:val="000650CC"/>
    <w:rsid w:val="000B637B"/>
    <w:rsid w:val="000C2BDD"/>
    <w:rsid w:val="000E3CF2"/>
    <w:rsid w:val="00103CEF"/>
    <w:rsid w:val="001105F5"/>
    <w:rsid w:val="00137B47"/>
    <w:rsid w:val="00154D66"/>
    <w:rsid w:val="00157393"/>
    <w:rsid w:val="00162B40"/>
    <w:rsid w:val="00167FB6"/>
    <w:rsid w:val="00176BDB"/>
    <w:rsid w:val="00176F74"/>
    <w:rsid w:val="00181FC0"/>
    <w:rsid w:val="00191D03"/>
    <w:rsid w:val="00191DEB"/>
    <w:rsid w:val="00194A7F"/>
    <w:rsid w:val="00194FCB"/>
    <w:rsid w:val="001B72C5"/>
    <w:rsid w:val="001C1434"/>
    <w:rsid w:val="001D6613"/>
    <w:rsid w:val="001E6F72"/>
    <w:rsid w:val="001F029A"/>
    <w:rsid w:val="00203DD3"/>
    <w:rsid w:val="00206498"/>
    <w:rsid w:val="00207688"/>
    <w:rsid w:val="00220ABC"/>
    <w:rsid w:val="002323DE"/>
    <w:rsid w:val="00265CBC"/>
    <w:rsid w:val="002910BA"/>
    <w:rsid w:val="00291AC2"/>
    <w:rsid w:val="00292538"/>
    <w:rsid w:val="00293F3B"/>
    <w:rsid w:val="002946B5"/>
    <w:rsid w:val="002D0C95"/>
    <w:rsid w:val="002D6632"/>
    <w:rsid w:val="002E1209"/>
    <w:rsid w:val="002E196D"/>
    <w:rsid w:val="002E425A"/>
    <w:rsid w:val="002E6ACD"/>
    <w:rsid w:val="002F18A5"/>
    <w:rsid w:val="00301D10"/>
    <w:rsid w:val="00303FC2"/>
    <w:rsid w:val="003111BE"/>
    <w:rsid w:val="00316666"/>
    <w:rsid w:val="00351C77"/>
    <w:rsid w:val="003524B3"/>
    <w:rsid w:val="00361B0E"/>
    <w:rsid w:val="00366F4F"/>
    <w:rsid w:val="00367694"/>
    <w:rsid w:val="00372BA3"/>
    <w:rsid w:val="00372EBD"/>
    <w:rsid w:val="003864FD"/>
    <w:rsid w:val="003C05D1"/>
    <w:rsid w:val="003E678A"/>
    <w:rsid w:val="003E77D5"/>
    <w:rsid w:val="003F4D65"/>
    <w:rsid w:val="00400783"/>
    <w:rsid w:val="00403319"/>
    <w:rsid w:val="0041004B"/>
    <w:rsid w:val="004247D1"/>
    <w:rsid w:val="00424B7F"/>
    <w:rsid w:val="00432AD0"/>
    <w:rsid w:val="004455D2"/>
    <w:rsid w:val="00446E74"/>
    <w:rsid w:val="0045754F"/>
    <w:rsid w:val="00471C6D"/>
    <w:rsid w:val="00472C23"/>
    <w:rsid w:val="0048574E"/>
    <w:rsid w:val="00493D0C"/>
    <w:rsid w:val="0049509E"/>
    <w:rsid w:val="0049557B"/>
    <w:rsid w:val="004B3C01"/>
    <w:rsid w:val="004C50C1"/>
    <w:rsid w:val="004C712B"/>
    <w:rsid w:val="004D0B4F"/>
    <w:rsid w:val="004E22D3"/>
    <w:rsid w:val="004E7641"/>
    <w:rsid w:val="005206F8"/>
    <w:rsid w:val="005238E4"/>
    <w:rsid w:val="0055195C"/>
    <w:rsid w:val="005775EC"/>
    <w:rsid w:val="00582B26"/>
    <w:rsid w:val="00582CA1"/>
    <w:rsid w:val="005B0428"/>
    <w:rsid w:val="005C2D97"/>
    <w:rsid w:val="005D48C5"/>
    <w:rsid w:val="005D6F53"/>
    <w:rsid w:val="005E3537"/>
    <w:rsid w:val="006142B2"/>
    <w:rsid w:val="00614A04"/>
    <w:rsid w:val="00644167"/>
    <w:rsid w:val="006850A6"/>
    <w:rsid w:val="006851F7"/>
    <w:rsid w:val="006861ED"/>
    <w:rsid w:val="00687453"/>
    <w:rsid w:val="006A3AD9"/>
    <w:rsid w:val="006A5898"/>
    <w:rsid w:val="006B12CB"/>
    <w:rsid w:val="006D0B91"/>
    <w:rsid w:val="006D107E"/>
    <w:rsid w:val="006D7DA2"/>
    <w:rsid w:val="006E42BB"/>
    <w:rsid w:val="007053AA"/>
    <w:rsid w:val="00710133"/>
    <w:rsid w:val="00761133"/>
    <w:rsid w:val="00784C8C"/>
    <w:rsid w:val="007A2FEF"/>
    <w:rsid w:val="007B5ABF"/>
    <w:rsid w:val="007F41CE"/>
    <w:rsid w:val="007F43B9"/>
    <w:rsid w:val="00802285"/>
    <w:rsid w:val="00820269"/>
    <w:rsid w:val="008617CE"/>
    <w:rsid w:val="008755FF"/>
    <w:rsid w:val="00897505"/>
    <w:rsid w:val="008C357F"/>
    <w:rsid w:val="008C4DCC"/>
    <w:rsid w:val="008C53A6"/>
    <w:rsid w:val="008D096A"/>
    <w:rsid w:val="008F42AD"/>
    <w:rsid w:val="00920BC2"/>
    <w:rsid w:val="00922777"/>
    <w:rsid w:val="00934DB7"/>
    <w:rsid w:val="0095766E"/>
    <w:rsid w:val="009801F9"/>
    <w:rsid w:val="009B4B25"/>
    <w:rsid w:val="009F2BFF"/>
    <w:rsid w:val="00A00173"/>
    <w:rsid w:val="00A06CFF"/>
    <w:rsid w:val="00A20CF2"/>
    <w:rsid w:val="00A20D51"/>
    <w:rsid w:val="00A32383"/>
    <w:rsid w:val="00A361C5"/>
    <w:rsid w:val="00A511C4"/>
    <w:rsid w:val="00A65682"/>
    <w:rsid w:val="00A84C68"/>
    <w:rsid w:val="00AB7D96"/>
    <w:rsid w:val="00AC0513"/>
    <w:rsid w:val="00AC37C8"/>
    <w:rsid w:val="00AC726F"/>
    <w:rsid w:val="00AD5E2D"/>
    <w:rsid w:val="00B02DF7"/>
    <w:rsid w:val="00B10253"/>
    <w:rsid w:val="00B1125E"/>
    <w:rsid w:val="00B135A3"/>
    <w:rsid w:val="00B22810"/>
    <w:rsid w:val="00B2396A"/>
    <w:rsid w:val="00B35B07"/>
    <w:rsid w:val="00B56AA3"/>
    <w:rsid w:val="00B6499E"/>
    <w:rsid w:val="00B93131"/>
    <w:rsid w:val="00BA4A9D"/>
    <w:rsid w:val="00BB289B"/>
    <w:rsid w:val="00BC5FDB"/>
    <w:rsid w:val="00BD557B"/>
    <w:rsid w:val="00BF111E"/>
    <w:rsid w:val="00C1712B"/>
    <w:rsid w:val="00C178F4"/>
    <w:rsid w:val="00C20C4F"/>
    <w:rsid w:val="00C24EC9"/>
    <w:rsid w:val="00C31C69"/>
    <w:rsid w:val="00C33035"/>
    <w:rsid w:val="00C61FC2"/>
    <w:rsid w:val="00C74C79"/>
    <w:rsid w:val="00C915EF"/>
    <w:rsid w:val="00C91DA7"/>
    <w:rsid w:val="00C93F37"/>
    <w:rsid w:val="00CA2459"/>
    <w:rsid w:val="00CD3599"/>
    <w:rsid w:val="00CD4AD6"/>
    <w:rsid w:val="00CE0EC3"/>
    <w:rsid w:val="00CE7D10"/>
    <w:rsid w:val="00CF2D84"/>
    <w:rsid w:val="00CF3547"/>
    <w:rsid w:val="00CF54EA"/>
    <w:rsid w:val="00CF7FF0"/>
    <w:rsid w:val="00D22967"/>
    <w:rsid w:val="00D42DEF"/>
    <w:rsid w:val="00D43863"/>
    <w:rsid w:val="00D54593"/>
    <w:rsid w:val="00D61A02"/>
    <w:rsid w:val="00D61E02"/>
    <w:rsid w:val="00D63DBB"/>
    <w:rsid w:val="00D7282D"/>
    <w:rsid w:val="00D8264C"/>
    <w:rsid w:val="00DA69C8"/>
    <w:rsid w:val="00DC5EE5"/>
    <w:rsid w:val="00DD7C31"/>
    <w:rsid w:val="00DE29AD"/>
    <w:rsid w:val="00DE38A3"/>
    <w:rsid w:val="00DF564A"/>
    <w:rsid w:val="00E1391D"/>
    <w:rsid w:val="00E2521D"/>
    <w:rsid w:val="00E533C0"/>
    <w:rsid w:val="00E64F2D"/>
    <w:rsid w:val="00E755EF"/>
    <w:rsid w:val="00E80F86"/>
    <w:rsid w:val="00E925C4"/>
    <w:rsid w:val="00E95223"/>
    <w:rsid w:val="00EB4803"/>
    <w:rsid w:val="00EB56FC"/>
    <w:rsid w:val="00EC4B2F"/>
    <w:rsid w:val="00EC734E"/>
    <w:rsid w:val="00ED18E0"/>
    <w:rsid w:val="00EE0C05"/>
    <w:rsid w:val="00F104EB"/>
    <w:rsid w:val="00F106B4"/>
    <w:rsid w:val="00F22A97"/>
    <w:rsid w:val="00F34A2D"/>
    <w:rsid w:val="00F4247D"/>
    <w:rsid w:val="00F44C40"/>
    <w:rsid w:val="00F57089"/>
    <w:rsid w:val="00F6509F"/>
    <w:rsid w:val="00F72D37"/>
    <w:rsid w:val="00F7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E8FC7"/>
  <w15:chartTrackingRefBased/>
  <w15:docId w15:val="{14529029-B24A-4689-90F5-DF8B7FC6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0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0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0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0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0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0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0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0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0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0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0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0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00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00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00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00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00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00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0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0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0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0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0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00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00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00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0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00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00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91DA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1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Marinara Lobato</dc:creator>
  <cp:keywords/>
  <dc:description/>
  <cp:lastModifiedBy>Marinara Lobato</cp:lastModifiedBy>
  <cp:revision>2</cp:revision>
  <dcterms:created xsi:type="dcterms:W3CDTF">2026-04-28T14:04:00Z</dcterms:created>
  <dcterms:modified xsi:type="dcterms:W3CDTF">2026-04-28T14:04:00Z</dcterms:modified>
</cp:coreProperties>
</file>