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jc w:val="left"/>
        <w:rPr/>
      </w:pPr>
      <w:r w:rsidDel="00000000" w:rsidR="00000000" w:rsidRPr="00000000">
        <w:rPr>
          <w:rtl w:val="0"/>
        </w:rPr>
      </w:r>
    </w:p>
    <w:p w:rsidR="00000000" w:rsidDel="00000000" w:rsidP="00000000" w:rsidRDefault="00000000" w:rsidRPr="00000000" w14:paraId="00000003">
      <w:pPr>
        <w:jc w:val="center"/>
        <w:rPr>
          <w:b w:val="1"/>
          <w:bCs w:val="1"/>
          <w:color w:val="ff0000"/>
          <w:sz w:val="28"/>
          <w:szCs w:val="28"/>
        </w:rPr>
      </w:pPr>
      <w:r w:rsidDel="00000000" w:rsidR="00000000" w:rsidRPr="00000000">
        <w:rPr>
          <w:rtl w:val="0"/>
        </w:rPr>
      </w:r>
    </w:p>
    <w:p w:rsidR="00000000" w:rsidDel="00000000" w:rsidP="00000000" w:rsidRDefault="00000000" w:rsidRPr="00000000" w14:paraId="00000004">
      <w:pPr>
        <w:jc w:val="center"/>
        <w:rPr>
          <w:b w:val="1"/>
          <w:bCs w:val="1"/>
          <w:color w:val="c00000"/>
          <w:sz w:val="28"/>
          <w:szCs w:val="28"/>
        </w:rPr>
      </w:pPr>
      <w:r w:rsidDel="00000000" w:rsidR="00000000" w:rsidRPr="00000000">
        <w:rPr>
          <w:b w:val="1"/>
          <w:bCs w:val="1"/>
          <w:sz w:val="28"/>
          <w:szCs w:val="28"/>
          <w:rtl w:val="0"/>
        </w:rPr>
        <w:t xml:space="preserve">Prospecting rhizobacteria from the Cerrado with plant growth-promoting potential</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b w:val="1"/>
          <w:bCs w:val="1"/>
          <w:sz w:val="22"/>
          <w:szCs w:val="22"/>
          <w:vertAlign w:val="superscript"/>
        </w:rPr>
      </w:pPr>
      <w:r w:rsidDel="00000000" w:rsidR="00000000" w:rsidRPr="00000000">
        <w:rPr>
          <w:b w:val="1"/>
          <w:bCs w:val="1"/>
          <w:sz w:val="22"/>
          <w:szCs w:val="22"/>
          <w:u w:val="single"/>
          <w:rtl w:val="0"/>
        </w:rPr>
        <w:t xml:space="preserve">Amanda Rodrigues de Araújo Silva</w:t>
      </w:r>
      <w:r w:rsidDel="00000000" w:rsidR="00000000" w:rsidRPr="00000000">
        <w:rPr>
          <w:b w:val="1"/>
          <w:bCs w:val="1"/>
          <w:sz w:val="22"/>
          <w:szCs w:val="22"/>
          <w:u w:val="single"/>
          <w:vertAlign w:val="superscript"/>
          <w:rtl w:val="0"/>
        </w:rPr>
        <w:t xml:space="preserve">1</w:t>
      </w:r>
      <w:r w:rsidDel="00000000" w:rsidR="00000000" w:rsidRPr="00000000">
        <w:rPr>
          <w:b w:val="1"/>
          <w:bCs w:val="1"/>
          <w:sz w:val="22"/>
          <w:szCs w:val="22"/>
          <w:u w:val="single"/>
          <w:rtl w:val="0"/>
        </w:rPr>
        <w:t xml:space="preserve">*</w:t>
      </w:r>
      <w:r w:rsidDel="00000000" w:rsidR="00000000" w:rsidRPr="00000000">
        <w:rPr>
          <w:b w:val="1"/>
          <w:bCs w:val="1"/>
          <w:sz w:val="22"/>
          <w:szCs w:val="22"/>
          <w:rtl w:val="0"/>
        </w:rPr>
        <w:t xml:space="preserve">, Cristiane Alcantara dos </w:t>
      </w:r>
      <w:r w:rsidDel="00000000" w:rsidR="00000000" w:rsidRPr="00000000">
        <w:rPr>
          <w:b w:val="1"/>
          <w:bCs w:val="1"/>
          <w:sz w:val="22"/>
          <w:szCs w:val="22"/>
          <w:rtl w:val="0"/>
        </w:rPr>
        <w:t xml:space="preserve">Santos</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Vitória Palhares Ribeiro³, Amanda Miranda de Souza</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Mariana Cintinale Abreu Gonçalves</w:t>
      </w:r>
      <w:r w:rsidDel="00000000" w:rsidR="00000000" w:rsidRPr="00000000">
        <w:rPr>
          <w:b w:val="1"/>
          <w:bCs w:val="1"/>
          <w:sz w:val="22"/>
          <w:szCs w:val="22"/>
          <w:vertAlign w:val="superscript"/>
          <w:rtl w:val="0"/>
        </w:rPr>
        <w:t xml:space="preserve">2</w:t>
      </w:r>
    </w:p>
    <w:p w:rsidR="00000000" w:rsidDel="00000000" w:rsidP="00000000" w:rsidRDefault="00000000" w:rsidRPr="00000000" w14:paraId="00000008">
      <w:pPr>
        <w:jc w:val="center"/>
        <w:rPr>
          <w:b w:val="1"/>
          <w:bCs w:val="1"/>
          <w:sz w:val="22"/>
          <w:szCs w:val="22"/>
          <w:vertAlign w:val="superscript"/>
        </w:rPr>
      </w:pPr>
      <w:r w:rsidDel="00000000" w:rsidR="00000000" w:rsidRPr="00000000">
        <w:rPr>
          <w:rtl w:val="0"/>
        </w:rPr>
      </w:r>
    </w:p>
    <w:p w:rsidR="00000000" w:rsidDel="00000000" w:rsidP="00000000" w:rsidRDefault="00000000" w:rsidRPr="00000000" w14:paraId="00000009">
      <w:pPr>
        <w:jc w:val="center"/>
        <w:rPr>
          <w:b w:val="1"/>
          <w:bCs w:val="1"/>
          <w:sz w:val="22"/>
          <w:szCs w:val="22"/>
          <w:vertAlign w:val="superscript"/>
        </w:rPr>
      </w:pPr>
      <w:r w:rsidDel="00000000" w:rsidR="00000000" w:rsidRPr="00000000">
        <w:rPr>
          <w:rtl w:val="0"/>
        </w:rPr>
      </w:r>
    </w:p>
    <w:p w:rsidR="00000000" w:rsidDel="00000000" w:rsidP="00000000" w:rsidRDefault="00000000" w:rsidRPr="00000000" w14:paraId="0000000A">
      <w:pPr>
        <w:jc w:val="center"/>
        <w:rPr>
          <w:i w:val="1"/>
          <w:iCs w:val="1"/>
          <w:sz w:val="18"/>
          <w:szCs w:val="18"/>
        </w:rPr>
      </w:pPr>
      <w:r w:rsidDel="00000000" w:rsidR="00000000" w:rsidRPr="00000000">
        <w:rPr>
          <w:i w:val="1"/>
          <w:iCs w:val="1"/>
          <w:sz w:val="18"/>
          <w:szCs w:val="18"/>
          <w:rtl w:val="0"/>
        </w:rPr>
        <w:t xml:space="preserve">¹Federal University of São João del-Rei (UFSJ), São João del-Rei, MG, Brazil, </w:t>
      </w:r>
      <w:r w:rsidDel="00000000" w:rsidR="00000000" w:rsidRPr="00000000">
        <w:rPr>
          <w:i w:val="1"/>
          <w:iCs w:val="1"/>
          <w:sz w:val="18"/>
          <w:szCs w:val="18"/>
          <w:highlight w:val="white"/>
          <w:rtl w:val="0"/>
        </w:rPr>
        <w:t xml:space="preserve">36301-158</w:t>
      </w:r>
      <w:r w:rsidDel="00000000" w:rsidR="00000000" w:rsidRPr="00000000">
        <w:rPr>
          <w:i w:val="1"/>
          <w:iCs w:val="1"/>
          <w:sz w:val="18"/>
          <w:szCs w:val="18"/>
          <w:rtl w:val="0"/>
        </w:rPr>
        <w:t xml:space="preserve"> </w:t>
      </w:r>
    </w:p>
    <w:p w:rsidR="00000000" w:rsidDel="00000000" w:rsidP="00000000" w:rsidRDefault="00000000" w:rsidRPr="00000000" w14:paraId="0000000B">
      <w:pPr>
        <w:jc w:val="center"/>
        <w:rPr>
          <w:i w:val="1"/>
          <w:iCs w:val="1"/>
          <w:sz w:val="18"/>
          <w:szCs w:val="18"/>
        </w:rPr>
      </w:pPr>
      <w:r w:rsidDel="00000000" w:rsidR="00000000" w:rsidRPr="00000000">
        <w:rPr>
          <w:i w:val="1"/>
          <w:iCs w:val="1"/>
          <w:sz w:val="18"/>
          <w:szCs w:val="18"/>
          <w:vertAlign w:val="superscript"/>
          <w:rtl w:val="0"/>
        </w:rPr>
        <w:t xml:space="preserve">2</w:t>
      </w:r>
      <w:r w:rsidDel="00000000" w:rsidR="00000000" w:rsidRPr="00000000">
        <w:rPr>
          <w:i w:val="1"/>
          <w:iCs w:val="1"/>
          <w:sz w:val="18"/>
          <w:szCs w:val="18"/>
          <w:rtl w:val="0"/>
        </w:rPr>
        <w:t xml:space="preserve">Federal University of São João del-Rei (UFSJ), Sete Lagoas, MG, Brazil, 35702-031</w:t>
      </w:r>
    </w:p>
    <w:p w:rsidR="00000000" w:rsidDel="00000000" w:rsidP="00000000" w:rsidRDefault="00000000" w:rsidRPr="00000000" w14:paraId="0000000C">
      <w:pPr>
        <w:jc w:val="center"/>
        <w:rPr>
          <w:b w:val="1"/>
          <w:bCs w:val="1"/>
          <w:i w:val="1"/>
          <w:iCs w:val="1"/>
          <w:sz w:val="18"/>
          <w:szCs w:val="18"/>
        </w:rPr>
      </w:pPr>
      <w:r w:rsidDel="00000000" w:rsidR="00000000" w:rsidRPr="00000000">
        <w:rPr>
          <w:sz w:val="18"/>
          <w:szCs w:val="18"/>
          <w:rtl w:val="0"/>
        </w:rPr>
        <w:t xml:space="preserve">³</w:t>
      </w:r>
      <w:r w:rsidDel="00000000" w:rsidR="00000000" w:rsidRPr="00000000">
        <w:rPr>
          <w:i w:val="1"/>
          <w:iCs w:val="1"/>
          <w:sz w:val="18"/>
          <w:szCs w:val="18"/>
          <w:rtl w:val="0"/>
        </w:rPr>
        <w:t xml:space="preserve">Embrapa Maize and Sorghum, Sete Lagoas, MG, Brazil, </w:t>
      </w:r>
      <w:r w:rsidDel="00000000" w:rsidR="00000000" w:rsidRPr="00000000">
        <w:rPr>
          <w:i w:val="1"/>
          <w:iCs w:val="1"/>
          <w:sz w:val="18"/>
          <w:szCs w:val="18"/>
          <w:highlight w:val="white"/>
          <w:rtl w:val="0"/>
        </w:rPr>
        <w:t xml:space="preserve">35701-970</w:t>
      </w:r>
      <w:r w:rsidDel="00000000" w:rsidR="00000000" w:rsidRPr="00000000">
        <w:rPr>
          <w:rtl w:val="0"/>
        </w:rPr>
      </w:r>
    </w:p>
    <w:p w:rsidR="00000000" w:rsidDel="00000000" w:rsidP="00000000" w:rsidRDefault="00000000" w:rsidRPr="00000000" w14:paraId="0000000D">
      <w:pPr>
        <w:jc w:val="center"/>
        <w:rPr>
          <w:i w:val="1"/>
          <w:iCs w:val="1"/>
          <w:sz w:val="18"/>
          <w:szCs w:val="18"/>
        </w:rPr>
      </w:pPr>
      <w:r w:rsidDel="00000000" w:rsidR="00000000" w:rsidRPr="00000000">
        <w:rPr>
          <w:rtl w:val="0"/>
        </w:rPr>
      </w:r>
    </w:p>
    <w:p w:rsidR="00000000" w:rsidDel="00000000" w:rsidP="00000000" w:rsidRDefault="00000000" w:rsidRPr="00000000" w14:paraId="0000000E">
      <w:pPr>
        <w:jc w:val="center"/>
        <w:rPr>
          <w:i w:val="1"/>
          <w:iCs w:val="1"/>
          <w:sz w:val="18"/>
          <w:szCs w:val="18"/>
        </w:rPr>
      </w:pPr>
      <w:r w:rsidDel="00000000" w:rsidR="00000000" w:rsidRPr="00000000">
        <w:rPr>
          <w:i w:val="1"/>
          <w:iCs w:val="1"/>
          <w:sz w:val="18"/>
          <w:szCs w:val="18"/>
          <w:rtl w:val="0"/>
        </w:rPr>
        <w:t xml:space="preserve">*amandasilva.ufsj@gmail.com </w:t>
      </w:r>
    </w:p>
    <w:p w:rsidR="00000000" w:rsidDel="00000000" w:rsidP="00000000" w:rsidRDefault="00000000" w:rsidRPr="00000000" w14:paraId="0000000F">
      <w:pPr>
        <w:jc w:val="center"/>
        <w:rPr>
          <w:i w:val="1"/>
          <w:iCs w:val="1"/>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tabs>
          <w:tab w:val="left" w:leader="none" w:pos="7567"/>
        </w:tabs>
        <w:spacing w:after="240" w:lineRule="auto"/>
        <w:rPr/>
      </w:pPr>
      <w:r w:rsidDel="00000000" w:rsidR="00000000" w:rsidRPr="00000000">
        <w:rPr>
          <w:rtl w:val="0"/>
        </w:rPr>
        <w:t xml:space="preserve">The rhizosphere of native Cerrado species represents an important reservoir of microorganisms with functional attributes relevant to the development of bioinputs. This study aimed to prospect and functionally characterize rhizobacteria from native Cerrado tree species, aiming to characterize the isolates based on attributes related to plant growth promotion. Rhizospheric soil samples were collected from five native plant species (cagaita, barbatimão, pequi, ipê, and macaúba), from which 251 bacterial isolates were obtained. The isolates were characterized based on colony morphology, being grouped into 24 distinct morphotypes, and subjected to Gram staining for cellular morphology assessment, as well as evaluation of exopolysaccharide (EPS) production and biofilm formation, traits associated with root colonization and tolerance to environmental stress. A predominance of Gram-negative bacteria (68.42%) was observed compared to Gram-positive bacteria (31.58%). Regarding cellular morphology, the isolates were predominantly bacilli (92.86%), while cocci accounted for 7.14%. EPS production, assessed by mucous halo formation and ethanol precipitation, was confirmed in approximately 84% of the isolates, indicating a high frequency of this trait. Biofilm formation, determined using crystal violet microplate assay, was less frequent, with 3.6% of isolates classified as moderate formers and 9.5% as weak formers. Functional differences were observed among plant species, with emphasis on the macaúba rhizosphere, which showed greater functional diversity. These results highlight the potential of the microbiome associated with native Cerrado species, reinforcing the importance of this biome for the development of bioinputs and for advancing more sustainable agricultural practices.</w:t>
      </w:r>
    </w:p>
    <w:p w:rsidR="00000000" w:rsidDel="00000000" w:rsidP="00000000" w:rsidRDefault="00000000" w:rsidRPr="00000000" w14:paraId="00000014">
      <w:pPr>
        <w:tabs>
          <w:tab w:val="left" w:leader="none" w:pos="7567"/>
        </w:tabs>
        <w:rPr/>
      </w:pPr>
      <w:r w:rsidDel="00000000" w:rsidR="00000000" w:rsidRPr="00000000">
        <w:rPr>
          <w:rtl w:val="0"/>
        </w:rPr>
      </w:r>
    </w:p>
    <w:p w:rsidR="00000000" w:rsidDel="00000000" w:rsidP="00000000" w:rsidRDefault="00000000" w:rsidRPr="00000000" w14:paraId="00000015">
      <w:pPr>
        <w:tabs>
          <w:tab w:val="left" w:leader="none" w:pos="7567"/>
        </w:tabs>
        <w:rPr>
          <w:color w:val="ff0000"/>
        </w:rPr>
        <w:sectPr>
          <w:headerReference r:id="rId7" w:type="first"/>
          <w:headerReference r:id="rId8" w:type="even"/>
          <w:pgSz w:h="16838" w:w="11906" w:orient="portrait"/>
          <w:pgMar w:bottom="1418" w:top="1418" w:left="1701" w:right="1701" w:header="0" w:footer="1134"/>
          <w:pgNumType w:start="1"/>
          <w:titlePg w:val="1"/>
        </w:sectPr>
      </w:pPr>
      <w:r w:rsidDel="00000000" w:rsidR="00000000" w:rsidRPr="00000000">
        <w:rPr>
          <w:b w:val="1"/>
          <w:bCs w:val="1"/>
          <w:smallCaps w:val="1"/>
          <w:sz w:val="22"/>
          <w:szCs w:val="22"/>
          <w:rtl w:val="0"/>
        </w:rPr>
        <w:t xml:space="preserve">KEYWORDS</w:t>
      </w:r>
      <w:r w:rsidDel="00000000" w:rsidR="00000000" w:rsidRPr="00000000">
        <w:rPr>
          <w:sz w:val="22"/>
          <w:szCs w:val="22"/>
          <w:rtl w:val="0"/>
        </w:rPr>
        <w:t xml:space="preserve">: Bioprospecting, biomes, bioinputs, sustainability.</w:t>
      </w: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rtl w:val="0"/>
        </w:rPr>
      </w:r>
    </w:p>
    <w:sectPr>
      <w:headerReference r:id="rId9" w:type="first"/>
      <w:headerReference r:id="rId10" w:type="even"/>
      <w:type w:val="continuous"/>
      <w:pgSz w:h="16838" w:w="11906" w:orient="portrait"/>
      <w:pgMar w:bottom="1134" w:top="1134" w:left="1134" w:right="1134"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24.7pt;height:424.7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color w:val="000000"/>
      </w:rPr>
      <w:pict>
        <v:shape id="WordPictureWatermark1" style="position:absolute;width:481.75pt;height:503.6pt;rotation:0;z-index:-503316481;mso-position-horizontal-relative:margin;mso-position-horizontal:center;mso-position-vertical-relative:margin;mso-position-vertical:center;" alt="" type="#_x0000_t75">
          <v:imagedata blacklevel="22938f" cropbottom="0f" cropleft="0f" cropright="0f" croptop="0f" gain="19661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-1242059</wp:posOffset>
          </wp:positionH>
          <wp:positionV relativeFrom="paragraph">
            <wp:posOffset>9525</wp:posOffset>
          </wp:positionV>
          <wp:extent cx="7737575" cy="1745963"/>
          <wp:effectExtent b="0" l="0" r="0" t="0"/>
          <wp:wrapNone/>
          <wp:docPr id="1" name="image2.png"/>
          <a:graphic>
            <a:graphicData uri="http://schemas.openxmlformats.org/drawingml/2006/picture">
              <pic:pic>
                <pic:nvPicPr>
                  <pic:cNvPr id="0" name="image2.png"/>
                  <pic:cNvPicPr preferRelativeResize="0"/>
                </pic:nvPicPr>
                <pic:blipFill>
                  <a:blip r:embed="rId1"/>
                  <a:srcRect b="-5847" l="-1965" r="1965" t="5847"/>
                  <a:stretch>
                    <a:fillRect/>
                  </a:stretch>
                </pic:blipFill>
                <pic:spPr>
                  <a:xfrm>
                    <a:off x="0" y="0"/>
                    <a:ext cx="7737575" cy="1745963"/>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393690" cy="5393690"/>
          <wp:effectExtent b="0" l="0" r="0" t="0"/>
          <wp:wrapNone/>
          <wp:docPr id="2"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5393690" cy="5393690"/>
                  </a:xfrm>
                  <a:prstGeom prst="rect"/>
                  <a:ln/>
                </pic:spPr>
              </pic:pic>
            </a:graphicData>
          </a:graphic>
        </wp:anchor>
      </w:drawing>
    </w:r>
    <w:r w:rsidDel="00000000" w:rsidR="00000000" w:rsidRPr="00000000">
      <w:rPr>
        <w:color w:val="000000"/>
      </w:rPr>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118225" cy="6395720"/>
          <wp:effectExtent b="0" l="0" r="0" t="0"/>
          <wp:wrapNone/>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118225" cy="6395720"/>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-1097912</wp:posOffset>
          </wp:positionH>
          <wp:positionV relativeFrom="paragraph">
            <wp:posOffset>-198116</wp:posOffset>
          </wp:positionV>
          <wp:extent cx="7598410" cy="2517775"/>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598410" cy="251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dbNKPAUkcTyzZ2Xh0/gcxmZjw==">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