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FAA5" w14:textId="77777777" w:rsidR="00521992" w:rsidRDefault="00BF6A8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AVALIAÇÃO DE APODRECIMENTO DE DIFERENTES FUNGOS DE MANGUE EM MADEIRAS DE </w:t>
      </w:r>
      <w:r>
        <w:rPr>
          <w:rFonts w:ascii="Times New Roman" w:eastAsia="Times New Roman" w:hAnsi="Times New Roman" w:cs="Times New Roman"/>
          <w:b/>
          <w:bCs/>
          <w:i/>
          <w:iCs/>
          <w:sz w:val="24"/>
          <w:szCs w:val="24"/>
        </w:rPr>
        <w:t>Schefflera morototoni</w:t>
      </w:r>
    </w:p>
    <w:p w14:paraId="4CA33155" w14:textId="77777777" w:rsidR="00521992" w:rsidRDefault="00BF6A8C">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Mileny Barros Pessoa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Ana Clara Rollemberg Rocha</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Arthur Souza Prestes</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Beatriz Almeida Lima</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Iêdo souza Santos</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Alessandra Jackeline Guedes de Moraes</w:t>
      </w:r>
      <w:r>
        <w:rPr>
          <w:rFonts w:ascii="Times New Roman" w:eastAsia="Times New Roman" w:hAnsi="Times New Roman" w:cs="Times New Roman"/>
          <w:sz w:val="24"/>
          <w:szCs w:val="24"/>
          <w:u w:val="single"/>
          <w:vertAlign w:val="superscript"/>
        </w:rPr>
        <w:t>4</w:t>
      </w:r>
      <w:r>
        <w:rPr>
          <w:rFonts w:ascii="Times New Roman" w:eastAsia="Times New Roman" w:hAnsi="Times New Roman" w:cs="Times New Roman"/>
          <w:sz w:val="24"/>
          <w:szCs w:val="24"/>
        </w:rPr>
        <w:t>.</w:t>
      </w:r>
    </w:p>
    <w:p w14:paraId="2BA855DC" w14:textId="77777777" w:rsidR="00521992" w:rsidRDefault="00BF6A8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¹</w:t>
      </w:r>
      <w:r>
        <w:rPr>
          <w:rFonts w:ascii="Times New Roman" w:eastAsia="Times New Roman" w:hAnsi="Times New Roman" w:cs="Times New Roman"/>
          <w:sz w:val="24"/>
          <w:szCs w:val="24"/>
        </w:rPr>
        <w:t>Graduando em Engenharia Florestal. Universidade do Estado do Pará.</w:t>
      </w:r>
    </w:p>
    <w:p w14:paraId="73F29370" w14:textId="77777777" w:rsidR="00521992" w:rsidRDefault="00BF6A8C">
      <w:pPr>
        <w:spacing w:after="0" w:line="360" w:lineRule="auto"/>
        <w:jc w:val="center"/>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milenybarrospessoa7@gmail.com</w:t>
        </w:r>
      </w:hyperlink>
      <w:r>
        <w:rPr>
          <w:rFonts w:ascii="Times New Roman" w:eastAsia="Times New Roman" w:hAnsi="Times New Roman" w:cs="Times New Roman"/>
          <w:sz w:val="24"/>
          <w:szCs w:val="24"/>
        </w:rPr>
        <w:t xml:space="preserve"> </w:t>
      </w:r>
    </w:p>
    <w:p w14:paraId="3C0F2A92" w14:textId="77777777" w:rsidR="00521992" w:rsidRDefault="00BF6A8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²</w:t>
      </w:r>
      <w:r>
        <w:rPr>
          <w:rFonts w:ascii="Times New Roman" w:eastAsia="Times New Roman" w:hAnsi="Times New Roman" w:cs="Times New Roman"/>
          <w:sz w:val="24"/>
          <w:szCs w:val="24"/>
        </w:rPr>
        <w:t xml:space="preserve">Graduando em Engenharia Florestal. Universidade do Estado do Pará. </w:t>
      </w:r>
    </w:p>
    <w:p w14:paraId="2CE0F8AF" w14:textId="77777777" w:rsidR="00521992" w:rsidRDefault="00BF6A8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³</w:t>
      </w:r>
      <w:r>
        <w:rPr>
          <w:rFonts w:ascii="Times New Roman" w:eastAsia="Times New Roman" w:hAnsi="Times New Roman" w:cs="Times New Roman"/>
          <w:sz w:val="24"/>
          <w:szCs w:val="24"/>
        </w:rPr>
        <w:t xml:space="preserve">Dr. em Engenharia de Produção. Universidade do Estado do Pará. </w:t>
      </w:r>
    </w:p>
    <w:p w14:paraId="4DB11CA7" w14:textId="77777777" w:rsidR="00521992" w:rsidRDefault="00BF6A8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⁴</w:t>
      </w:r>
      <w:r>
        <w:rPr>
          <w:rFonts w:ascii="Times New Roman" w:eastAsia="Times New Roman" w:hAnsi="Times New Roman" w:cs="Times New Roman"/>
          <w:sz w:val="24"/>
          <w:szCs w:val="24"/>
        </w:rPr>
        <w:t>Dr</w:t>
      </w:r>
      <w:r>
        <w:rPr>
          <w:rFonts w:ascii="Times New Roman" w:eastAsia="Times New Roman" w:hAnsi="Times New Roman" w:cs="Times New Roman"/>
          <w:sz w:val="24"/>
          <w:szCs w:val="24"/>
          <w:vertAlign w:val="superscript"/>
        </w:rPr>
        <w:t xml:space="preserve">a </w:t>
      </w:r>
      <w:r>
        <w:rPr>
          <w:rFonts w:ascii="Times New Roman" w:eastAsia="Times New Roman" w:hAnsi="Times New Roman" w:cs="Times New Roman"/>
          <w:sz w:val="24"/>
          <w:szCs w:val="24"/>
        </w:rPr>
        <w:t>em Fitopatologia. Universidade do Estado do Pará.</w:t>
      </w:r>
    </w:p>
    <w:p w14:paraId="1EA50CA9" w14:textId="77777777" w:rsidR="00521992" w:rsidRDefault="00521992">
      <w:pPr>
        <w:spacing w:after="0" w:line="360" w:lineRule="auto"/>
        <w:jc w:val="both"/>
        <w:rPr>
          <w:rFonts w:ascii="Times New Roman" w:eastAsia="Times New Roman" w:hAnsi="Times New Roman" w:cs="Times New Roman"/>
          <w:sz w:val="24"/>
          <w:szCs w:val="24"/>
        </w:rPr>
      </w:pPr>
    </w:p>
    <w:p w14:paraId="3CE368A4" w14:textId="77777777" w:rsidR="00521992" w:rsidRDefault="00BF6A8C">
      <w:pPr>
        <w:spacing w:after="20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RESUMO</w:t>
      </w:r>
    </w:p>
    <w:p w14:paraId="7B322CB9" w14:textId="77777777" w:rsidR="00521992" w:rsidRDefault="00BF6A8C">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durabilidade natural da madeira é um parâmetro fundamental para sua aplicação tecnológica, especialmente em regiões tropicais úmidas onde a atividade fúngica é intensa. O presente estudo avaliou a resistência da madeira de </w:t>
      </w:r>
      <w:r>
        <w:rPr>
          <w:rFonts w:ascii="Times New Roman" w:eastAsia="Times New Roman" w:hAnsi="Times New Roman" w:cs="Times New Roman"/>
          <w:i/>
          <w:iCs/>
          <w:sz w:val="24"/>
          <w:szCs w:val="24"/>
        </w:rPr>
        <w:t>Schefflera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morototoni</w:t>
      </w:r>
      <w:r>
        <w:rPr>
          <w:rFonts w:ascii="Times New Roman" w:eastAsia="Times New Roman" w:hAnsi="Times New Roman" w:cs="Times New Roman"/>
          <w:sz w:val="24"/>
          <w:szCs w:val="24"/>
        </w:rPr>
        <w:t xml:space="preserve"> à ação de 14 isolados fúngicos provenientes de ambiente de manguezal, visando identificar quais apresentam capacidade de promover apodrecimento. Apenas cinco amostras apresentaram perda de massa entre 2,3% e 19,6%, enquanto as demais não exibiram redução, indicando ação limitada dos isolados sobre a estrutura lignocelulósica e sugerindo predominância de fungos manchadores ou emboloradores. A classificação obtida apontou a madeira como majoritariamente “muito resistente” ou “resistente”</w:t>
      </w:r>
      <w:r>
        <w:rPr>
          <w:rFonts w:ascii="Times New Roman" w:eastAsia="Times New Roman" w:hAnsi="Times New Roman" w:cs="Times New Roman"/>
          <w:sz w:val="24"/>
          <w:szCs w:val="24"/>
        </w:rPr>
        <w:t xml:space="preserve"> ao apodrecimento, evidenciando seu bom desempenho biológico sob as condições experimentais. Conclui-se que os fungos testados não promoveram degradação significativa da madeira de morototó, recomendando-se estudos adicionais com maior tempo de incubação e isolados apodrecedores de referência para aprofundar sua caracterização tecnológica.</w:t>
      </w:r>
    </w:p>
    <w:p w14:paraId="4EEAAA8B" w14:textId="77777777" w:rsidR="00521992" w:rsidRDefault="00BF6A8C">
      <w:pPr>
        <w:widowControl w:val="0"/>
        <w:shd w:val="clear" w:color="auto" w:fill="FFFFFF"/>
        <w:tabs>
          <w:tab w:val="left" w:pos="25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Palavras-chave: </w:t>
      </w:r>
      <w:r>
        <w:rPr>
          <w:rFonts w:ascii="Times New Roman" w:eastAsia="Times New Roman" w:hAnsi="Times New Roman" w:cs="Times New Roman"/>
          <w:sz w:val="24"/>
          <w:szCs w:val="24"/>
        </w:rPr>
        <w:t xml:space="preserve">Durabilidade, Resistência, Degradação. </w:t>
      </w:r>
    </w:p>
    <w:p w14:paraId="1B9D8192" w14:textId="77777777" w:rsidR="00521992" w:rsidRDefault="00521992">
      <w:pPr>
        <w:widowControl w:val="0"/>
        <w:shd w:val="clear" w:color="auto" w:fill="FFFFFF"/>
        <w:tabs>
          <w:tab w:val="left" w:pos="2500"/>
        </w:tabs>
        <w:spacing w:after="0" w:line="240" w:lineRule="auto"/>
        <w:rPr>
          <w:rFonts w:ascii="Times New Roman" w:eastAsia="Times New Roman" w:hAnsi="Times New Roman" w:cs="Times New Roman"/>
          <w:b/>
          <w:bCs/>
          <w:sz w:val="24"/>
          <w:szCs w:val="24"/>
        </w:rPr>
      </w:pPr>
    </w:p>
    <w:p w14:paraId="0480872C" w14:textId="77777777" w:rsidR="00521992" w:rsidRDefault="00BF6A8C">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INTRODUÇÃO</w:t>
      </w:r>
    </w:p>
    <w:p w14:paraId="51CE6140"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setor madeireiro constitui um dos pilares da economia brasileira e exerce papel estratégico no desenvolvimento da região Amazônica, onde a elevada diversidade florestal sustenta uma vasta cadeia de produção, desde o manejo florestal até a transformação industrial e o uso final dos produtos (Minini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2021). A competitividade e a eficiência desse setor dependem diretamente do conhecimento das propriedades das madeiras tropicais, cuja variabilidade intrínseca influencia de maneira significativa sua qualidade tecnológica. Essa heterogeneidade manifesta-se em parâmetros como densidade básica, proporção entre lenho juvenil e adulto, teor de extrativos, arranjo anatômico e variações estruturais entre árvores de uma mesma espécie (Motta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2014). </w:t>
      </w:r>
    </w:p>
    <w:p w14:paraId="7575ABEA"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os agentes biodeterioradores, os fungos constituem a principal ameaça à integridade da madeira, especialmente em regiões de clima tropical úmido, nas quais temperatura elevada e alta umidade favorecem seu crescimento e atividade enzimática. Esses microrganismos são capazes de degradar polímeros estruturais como celulose, hemiceluloses e lignina, ocasionando perda de massa, redução de densidade, alteração das propriedades físico-mecânicas e consequente diminuição da vida útil do material (Lourençon; Ma</w:t>
      </w:r>
      <w:r>
        <w:rPr>
          <w:rFonts w:ascii="Times New Roman" w:eastAsia="Times New Roman" w:hAnsi="Times New Roman" w:cs="Times New Roman"/>
          <w:sz w:val="24"/>
          <w:szCs w:val="24"/>
        </w:rPr>
        <w:t>galhaes, 2020).</w:t>
      </w:r>
    </w:p>
    <w:p w14:paraId="3E511DC7"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ambiente de manguezal apresenta condições particularmente extremas para a madeira, combinando elevada umidade, variação de salinidade, acúmulo de matéria orgânica e intensa atividade microbiana (Barbosa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2021). Nessas condições, fungos decompositores desempenham papel central na ciclagem biogeoquímica ao degradar resíduos lenhosos, mas podem também representar elevado potencial de deterioração em espécies madeireiras utilizadas em aplicações tecnológicas ou estruturais (Mello, 2025).</w:t>
      </w:r>
    </w:p>
    <w:p w14:paraId="48F0392E"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desse cenário, ensaios laboratoriais de apodrecimento fúngico tornam-se ferramentas indispensáveis para compreender a interação entre organismos decompositores e o material lenhoso (Camargo, 2019). Esses testes permitem quantificar perdas de massa, mudanças de densidade e outros indicadores de deterioração, fornecendo dados essenciais para classificar a resistência biológica da espécie, prever seu desempenho em situações reais de uso e orientar a adoção de tratamentos preservativos ou escolhas mais a</w:t>
      </w:r>
      <w:r>
        <w:rPr>
          <w:rFonts w:ascii="Times New Roman" w:eastAsia="Times New Roman" w:hAnsi="Times New Roman" w:cs="Times New Roman"/>
          <w:sz w:val="24"/>
          <w:szCs w:val="24"/>
        </w:rPr>
        <w:t xml:space="preserve">dequadas de espécies para cada aplicação. </w:t>
      </w:r>
    </w:p>
    <w:p w14:paraId="42CE640A"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estudo teve como objetivo identificar, entre 14 isolados fúngicos provenientes de manguezal, quais apresentam capacidade de causar apodrecimento na madeira de Schefflera morototoni. Para isso, foram avaliadas a perda de massa e as alterações de densidade dos corpos de prova após um período controlado de incubação, visando fornecer subsídios técnicos ao setor madeireiro e ampliar a compreensão dos processos de biodeterioração em ambientes tropicais extremos.</w:t>
      </w:r>
    </w:p>
    <w:p w14:paraId="02E0B4AB" w14:textId="77777777" w:rsidR="00521992" w:rsidRDefault="00BF6A8C">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MATERIAL E MÉTODOS</w:t>
      </w:r>
    </w:p>
    <w:p w14:paraId="017FC038"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isolados fúngicos empregados neste estudo foram obtidos a partir de pequenos fragmentos de madeira de </w:t>
      </w:r>
      <w:r>
        <w:rPr>
          <w:rFonts w:ascii="Times New Roman" w:eastAsia="Times New Roman" w:hAnsi="Times New Roman" w:cs="Times New Roman"/>
          <w:i/>
          <w:iCs/>
          <w:sz w:val="24"/>
          <w:szCs w:val="24"/>
        </w:rPr>
        <w:t>Avicennia schaueriana</w:t>
      </w:r>
      <w:r>
        <w:rPr>
          <w:rFonts w:ascii="Times New Roman" w:eastAsia="Times New Roman" w:hAnsi="Times New Roman" w:cs="Times New Roman"/>
          <w:sz w:val="24"/>
          <w:szCs w:val="24"/>
        </w:rPr>
        <w:t xml:space="preserve"> coletadas no litoral do município de Bragança, Estado do Pará. O material coletado foi levado para o Laboratório Multiusuário de Biomateriais (LMB). Em seguida, lavado com água destilada e então secado com lenços de papel. Feito isso, com auxílio de um bisturi, pequenos fragmentos foram coletados e adicionados em placas de petri com meio de cultura nutritivo BDA (Batata Dextrose e Ágar). As amostras de madeira de Morototó (</w:t>
      </w:r>
      <w:r>
        <w:rPr>
          <w:rFonts w:ascii="Times New Roman" w:eastAsia="Times New Roman" w:hAnsi="Times New Roman" w:cs="Times New Roman"/>
          <w:i/>
          <w:iCs/>
          <w:sz w:val="24"/>
          <w:szCs w:val="24"/>
        </w:rPr>
        <w:t>Schefflera morototoni</w:t>
      </w:r>
      <w:r>
        <w:rPr>
          <w:rFonts w:ascii="Times New Roman" w:eastAsia="Times New Roman" w:hAnsi="Times New Roman" w:cs="Times New Roman"/>
          <w:sz w:val="24"/>
          <w:szCs w:val="24"/>
        </w:rPr>
        <w:t>) utilizadas como material lignocelulósico</w:t>
      </w:r>
      <w:r>
        <w:rPr>
          <w:rFonts w:ascii="Times New Roman" w:eastAsia="Times New Roman" w:hAnsi="Times New Roman" w:cs="Times New Roman"/>
          <w:sz w:val="24"/>
          <w:szCs w:val="24"/>
        </w:rPr>
        <w:t xml:space="preserve"> destinado à decomposição foram coletadas no município de Castanhal, Pará. Os corpos de prova foram confeccionados a partir dessa madeira, apresentando dimensões padronizadas de 2,5 × 2,5 cm.</w:t>
      </w:r>
    </w:p>
    <w:p w14:paraId="1CFDCB63"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todo, foram preparados 15 corpos de prova, dos quais 14 foram destinados aos tratamentos com os fungos isolados e 1 utilizado como controle negativo. Cada corpo de prova foi acondicionado individualmente em recipientes plásticos contendo algodão umedecido, mantendo-se as amostras suspensas sobre suportes internos para evitar contato direto com a umidade livre, garantindo assim condições controladas de incubação, como apresentado na Figura 1. </w:t>
      </w:r>
    </w:p>
    <w:p w14:paraId="4F70516D"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Figura 1 – Corpos de prova de madeira de Morototó com organismos fúngicos inseridos</w:t>
      </w:r>
    </w:p>
    <w:p w14:paraId="22F09FBC"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4492C55F" wp14:editId="4DAA95BE">
            <wp:extent cx="3844730" cy="8415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7153" t="22670" r="9415" b="45055"/>
                    <a:stretch>
                      <a:fillRect/>
                    </a:stretch>
                  </pic:blipFill>
                  <pic:spPr>
                    <a:xfrm>
                      <a:off x="0" y="0"/>
                      <a:ext cx="3844730" cy="841517"/>
                    </a:xfrm>
                    <a:prstGeom prst="rect">
                      <a:avLst/>
                    </a:prstGeom>
                    <a:ln/>
                  </pic:spPr>
                </pic:pic>
              </a:graphicData>
            </a:graphic>
          </wp:inline>
        </w:drawing>
      </w:r>
    </w:p>
    <w:p w14:paraId="042CC0AC" w14:textId="77777777" w:rsidR="00521992" w:rsidRDefault="00BF6A8C">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Fonte: Autores, 2025.</w:t>
      </w:r>
    </w:p>
    <w:p w14:paraId="43E84400"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recipientes foram mantidos em incubadora do tipo BOD (Biochemical Oxygen Demand) à temperatura ambiente por um período de quatro meses, de modo a assegurar o desenvolvimento adequado dos organismos. Após o período de incubação, os corpos de prova foram individualmente pesados para determinação da massa final, permitindo a comparação com os valores iniciais e, consequentemente, a análise das variações de massa decorrentes da atividade fúngica.</w:t>
      </w:r>
    </w:p>
    <w:p w14:paraId="408592B6"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resistência da espécie de </w:t>
      </w:r>
      <w:r>
        <w:rPr>
          <w:rFonts w:ascii="Times New Roman" w:eastAsia="Times New Roman" w:hAnsi="Times New Roman" w:cs="Times New Roman"/>
          <w:i/>
          <w:iCs/>
          <w:sz w:val="24"/>
          <w:szCs w:val="24"/>
        </w:rPr>
        <w:t>Schefflera morototoni</w:t>
      </w:r>
      <w:r>
        <w:rPr>
          <w:rFonts w:ascii="Times New Roman" w:eastAsia="Times New Roman" w:hAnsi="Times New Roman" w:cs="Times New Roman"/>
          <w:sz w:val="24"/>
          <w:szCs w:val="24"/>
        </w:rPr>
        <w:t xml:space="preserve"> foi determinada em termos da média de percentagem de perda de massa, por meio da seguinte equação:</w:t>
      </w:r>
    </w:p>
    <w:p w14:paraId="5F5A1A5F" w14:textId="77777777" w:rsidR="00521992" w:rsidRDefault="00BF6A8C">
      <w:pPr>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pm</m:t>
          </m:r>
          <m:r>
            <w:rPr>
              <w:rFonts w:ascii="Times New Roman" w:eastAsia="Times New Roman" w:hAnsi="Times New Roman" w:cs="Times New Roman"/>
              <w:sz w:val="24"/>
              <w:szCs w:val="24"/>
            </w:rPr>
            <m:t xml:space="preserve"> (%)= </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massa</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inicial</m:t>
              </m:r>
              <m:r>
                <w:rPr>
                  <w:rFonts w:ascii="Times New Roman" w:eastAsia="Times New Roman" w:hAnsi="Times New Roman" w:cs="Times New Roman"/>
                  <w:sz w:val="24"/>
                  <w:szCs w:val="24"/>
                </w:rPr>
                <m:t>-</m:t>
              </m:r>
              <m:r>
                <w:rPr>
                  <w:rFonts w:ascii="Times New Roman" w:eastAsia="Times New Roman" w:hAnsi="Times New Roman" w:cs="Times New Roman"/>
                  <w:sz w:val="24"/>
                  <w:szCs w:val="24"/>
                </w:rPr>
                <m:t>massa</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final</m:t>
              </m:r>
              <m:r>
                <w:rPr>
                  <w:rFonts w:ascii="Times New Roman" w:eastAsia="Times New Roman" w:hAnsi="Times New Roman" w:cs="Times New Roman"/>
                  <w:sz w:val="24"/>
                  <w:szCs w:val="24"/>
                </w:rPr>
                <m:t xml:space="preserve"> </m:t>
              </m:r>
            </m:num>
            <m:den>
              <m:r>
                <w:rPr>
                  <w:rFonts w:ascii="Times New Roman" w:eastAsia="Times New Roman" w:hAnsi="Times New Roman" w:cs="Times New Roman"/>
                  <w:sz w:val="24"/>
                  <w:szCs w:val="24"/>
                </w:rPr>
                <m:t>massa</m:t>
              </m:r>
              <m:r>
                <w:rPr>
                  <w:rFonts w:ascii="Times New Roman" w:eastAsia="Times New Roman" w:hAnsi="Times New Roman" w:cs="Times New Roman"/>
                  <w:sz w:val="24"/>
                  <w:szCs w:val="24"/>
                </w:rPr>
                <m:t xml:space="preserve"> </m:t>
              </m:r>
              <m:r>
                <w:rPr>
                  <w:rFonts w:ascii="Times New Roman" w:eastAsia="Times New Roman" w:hAnsi="Times New Roman" w:cs="Times New Roman"/>
                  <w:sz w:val="24"/>
                  <w:szCs w:val="24"/>
                </w:rPr>
                <m:t>inicial</m:t>
              </m:r>
            </m:den>
          </m:f>
          <m:r>
            <w:rPr>
              <w:rFonts w:ascii="Times New Roman" w:eastAsia="Times New Roman" w:hAnsi="Times New Roman" w:cs="Times New Roman"/>
              <w:sz w:val="24"/>
              <w:szCs w:val="24"/>
            </w:rPr>
            <m:t>x</m:t>
          </m:r>
          <m:r>
            <w:rPr>
              <w:rFonts w:ascii="Times New Roman" w:eastAsia="Times New Roman" w:hAnsi="Times New Roman" w:cs="Times New Roman"/>
              <w:sz w:val="24"/>
              <w:szCs w:val="24"/>
            </w:rPr>
            <m:t xml:space="preserve"> 100</m:t>
          </m:r>
        </m:oMath>
      </m:oMathPara>
    </w:p>
    <w:p w14:paraId="1EB28894"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classificação da resistência natural das espécies de madeiras foi determinada  de acordo com a norma ASTM D 2017/ 81 (86), presente na tabela 1. </w:t>
      </w:r>
    </w:p>
    <w:p w14:paraId="422E55FB" w14:textId="77777777" w:rsidR="00521992" w:rsidRDefault="00BF6A8C">
      <w:pPr>
        <w:spacing w:after="0" w:line="276" w:lineRule="auto"/>
        <w:rPr>
          <w:rFonts w:ascii="Times New Roman" w:eastAsia="Times New Roman" w:hAnsi="Times New Roman" w:cs="Times New Roman"/>
        </w:rPr>
      </w:pPr>
      <w:r>
        <w:rPr>
          <w:rFonts w:ascii="Times New Roman" w:eastAsia="Times New Roman" w:hAnsi="Times New Roman" w:cs="Times New Roman"/>
        </w:rPr>
        <w:t>Tabela 1– Classificação da resistencia natural da madeira determinada de acordo com a norma ASTM D 2017/ 81 (86)</w:t>
      </w:r>
    </w:p>
    <w:tbl>
      <w:tblPr>
        <w:tblStyle w:val="a"/>
        <w:tblW w:w="83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050"/>
        <w:gridCol w:w="4290"/>
      </w:tblGrid>
      <w:tr w:rsidR="00521992" w14:paraId="41145C48" w14:textId="77777777">
        <w:trPr>
          <w:trHeight w:val="335"/>
        </w:trPr>
        <w:tc>
          <w:tcPr>
            <w:tcW w:w="4050" w:type="dxa"/>
            <w:tcBorders>
              <w:top w:val="single" w:sz="12" w:space="0" w:color="000000"/>
              <w:left w:val="nil"/>
              <w:bottom w:val="single" w:sz="12" w:space="0" w:color="000000"/>
              <w:right w:val="single" w:sz="8" w:space="0" w:color="000000"/>
            </w:tcBorders>
            <w:tcMar>
              <w:top w:w="100" w:type="dxa"/>
              <w:left w:w="100" w:type="dxa"/>
              <w:bottom w:w="100" w:type="dxa"/>
              <w:right w:w="100" w:type="dxa"/>
            </w:tcMar>
          </w:tcPr>
          <w:p w14:paraId="06A54B37" w14:textId="77777777" w:rsidR="00521992" w:rsidRDefault="00BF6A8C">
            <w:pPr>
              <w:spacing w:after="0" w:line="276" w:lineRule="auto"/>
              <w:jc w:val="center"/>
              <w:rPr>
                <w:rFonts w:ascii="Times New Roman" w:eastAsia="Times New Roman" w:hAnsi="Times New Roman" w:cs="Times New Roman"/>
                <w:b/>
                <w:bCs/>
              </w:rPr>
            </w:pPr>
            <w:r>
              <w:rPr>
                <w:rFonts w:ascii="Times New Roman" w:eastAsia="Times New Roman" w:hAnsi="Times New Roman" w:cs="Times New Roman"/>
                <w:b/>
                <w:bCs/>
              </w:rPr>
              <w:t>Média de massa perdida (%)</w:t>
            </w:r>
          </w:p>
        </w:tc>
        <w:tc>
          <w:tcPr>
            <w:tcW w:w="4290" w:type="dxa"/>
            <w:tcBorders>
              <w:top w:val="single" w:sz="12" w:space="0" w:color="000000"/>
              <w:left w:val="single" w:sz="8" w:space="0" w:color="000000"/>
              <w:bottom w:val="single" w:sz="12" w:space="0" w:color="000000"/>
              <w:right w:val="nil"/>
            </w:tcBorders>
            <w:tcMar>
              <w:top w:w="100" w:type="dxa"/>
              <w:left w:w="100" w:type="dxa"/>
              <w:bottom w:w="100" w:type="dxa"/>
              <w:right w:w="100" w:type="dxa"/>
            </w:tcMar>
          </w:tcPr>
          <w:p w14:paraId="0E4325F8" w14:textId="77777777" w:rsidR="00521992" w:rsidRDefault="00BF6A8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Classificação</w:t>
            </w:r>
          </w:p>
        </w:tc>
      </w:tr>
      <w:tr w:rsidR="00521992" w14:paraId="6ED8298E" w14:textId="77777777">
        <w:trPr>
          <w:trHeight w:val="252"/>
        </w:trPr>
        <w:tc>
          <w:tcPr>
            <w:tcW w:w="4050" w:type="dxa"/>
            <w:tcBorders>
              <w:top w:val="single" w:sz="12" w:space="0" w:color="000000"/>
              <w:left w:val="nil"/>
              <w:bottom w:val="nil"/>
              <w:right w:val="single" w:sz="8" w:space="0" w:color="000000"/>
            </w:tcBorders>
            <w:tcMar>
              <w:top w:w="100" w:type="dxa"/>
              <w:left w:w="100" w:type="dxa"/>
              <w:bottom w:w="100" w:type="dxa"/>
              <w:right w:w="100" w:type="dxa"/>
            </w:tcMar>
          </w:tcPr>
          <w:p w14:paraId="4525110B"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0-10</w:t>
            </w:r>
          </w:p>
        </w:tc>
        <w:tc>
          <w:tcPr>
            <w:tcW w:w="4290" w:type="dxa"/>
            <w:tcBorders>
              <w:top w:val="single" w:sz="12" w:space="0" w:color="000000"/>
              <w:left w:val="single" w:sz="8" w:space="0" w:color="000000"/>
              <w:bottom w:val="nil"/>
              <w:right w:val="nil"/>
            </w:tcBorders>
            <w:tcMar>
              <w:top w:w="100" w:type="dxa"/>
              <w:left w:w="100" w:type="dxa"/>
              <w:bottom w:w="100" w:type="dxa"/>
              <w:right w:w="100" w:type="dxa"/>
            </w:tcMar>
          </w:tcPr>
          <w:p w14:paraId="3A0BB980"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Muito resistente</w:t>
            </w:r>
          </w:p>
        </w:tc>
      </w:tr>
      <w:tr w:rsidR="00521992" w14:paraId="2C54B0D8" w14:textId="77777777">
        <w:trPr>
          <w:trHeight w:val="342"/>
        </w:trPr>
        <w:tc>
          <w:tcPr>
            <w:tcW w:w="4050" w:type="dxa"/>
            <w:tcBorders>
              <w:top w:val="nil"/>
              <w:left w:val="nil"/>
              <w:bottom w:val="nil"/>
              <w:right w:val="single" w:sz="8" w:space="0" w:color="000000"/>
            </w:tcBorders>
            <w:tcMar>
              <w:top w:w="100" w:type="dxa"/>
              <w:left w:w="100" w:type="dxa"/>
              <w:bottom w:w="100" w:type="dxa"/>
              <w:right w:w="100" w:type="dxa"/>
            </w:tcMar>
          </w:tcPr>
          <w:p w14:paraId="75BF266B"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11- 24</w:t>
            </w:r>
          </w:p>
        </w:tc>
        <w:tc>
          <w:tcPr>
            <w:tcW w:w="4290" w:type="dxa"/>
            <w:tcBorders>
              <w:top w:val="nil"/>
              <w:left w:val="single" w:sz="8" w:space="0" w:color="000000"/>
              <w:bottom w:val="nil"/>
              <w:right w:val="nil"/>
            </w:tcBorders>
            <w:tcMar>
              <w:top w:w="100" w:type="dxa"/>
              <w:left w:w="100" w:type="dxa"/>
              <w:bottom w:w="100" w:type="dxa"/>
              <w:right w:w="100" w:type="dxa"/>
            </w:tcMar>
          </w:tcPr>
          <w:p w14:paraId="4131BE0C"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Resistente</w:t>
            </w:r>
          </w:p>
        </w:tc>
      </w:tr>
      <w:tr w:rsidR="00521992" w14:paraId="78E0DD2A" w14:textId="77777777">
        <w:trPr>
          <w:trHeight w:val="42"/>
        </w:trPr>
        <w:tc>
          <w:tcPr>
            <w:tcW w:w="4050" w:type="dxa"/>
            <w:tcBorders>
              <w:top w:val="nil"/>
              <w:left w:val="nil"/>
              <w:bottom w:val="nil"/>
              <w:right w:val="single" w:sz="8" w:space="0" w:color="000000"/>
            </w:tcBorders>
            <w:tcMar>
              <w:top w:w="100" w:type="dxa"/>
              <w:left w:w="100" w:type="dxa"/>
              <w:bottom w:w="100" w:type="dxa"/>
              <w:right w:w="100" w:type="dxa"/>
            </w:tcMar>
          </w:tcPr>
          <w:p w14:paraId="48112A2E"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25- 44</w:t>
            </w:r>
          </w:p>
        </w:tc>
        <w:tc>
          <w:tcPr>
            <w:tcW w:w="4290" w:type="dxa"/>
            <w:tcBorders>
              <w:top w:val="nil"/>
              <w:left w:val="single" w:sz="8" w:space="0" w:color="000000"/>
              <w:bottom w:val="nil"/>
              <w:right w:val="nil"/>
            </w:tcBorders>
            <w:tcMar>
              <w:top w:w="100" w:type="dxa"/>
              <w:left w:w="100" w:type="dxa"/>
              <w:bottom w:w="100" w:type="dxa"/>
              <w:right w:w="100" w:type="dxa"/>
            </w:tcMar>
          </w:tcPr>
          <w:p w14:paraId="558C0D23"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Moderadamente resistente</w:t>
            </w:r>
          </w:p>
        </w:tc>
      </w:tr>
      <w:tr w:rsidR="00521992" w14:paraId="3589B2AD" w14:textId="77777777">
        <w:tc>
          <w:tcPr>
            <w:tcW w:w="4050" w:type="dxa"/>
            <w:tcBorders>
              <w:top w:val="nil"/>
              <w:left w:val="nil"/>
              <w:bottom w:val="single" w:sz="12" w:space="0" w:color="000000"/>
              <w:right w:val="single" w:sz="8" w:space="0" w:color="000000"/>
            </w:tcBorders>
            <w:tcMar>
              <w:top w:w="100" w:type="dxa"/>
              <w:left w:w="100" w:type="dxa"/>
              <w:bottom w:w="100" w:type="dxa"/>
              <w:right w:w="100" w:type="dxa"/>
            </w:tcMar>
          </w:tcPr>
          <w:p w14:paraId="65919236"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&gt;45</w:t>
            </w:r>
          </w:p>
        </w:tc>
        <w:tc>
          <w:tcPr>
            <w:tcW w:w="4290" w:type="dxa"/>
            <w:tcBorders>
              <w:top w:val="nil"/>
              <w:left w:val="single" w:sz="8" w:space="0" w:color="000000"/>
              <w:bottom w:val="single" w:sz="12" w:space="0" w:color="000000"/>
              <w:right w:val="nil"/>
            </w:tcBorders>
            <w:tcMar>
              <w:top w:w="100" w:type="dxa"/>
              <w:left w:w="100" w:type="dxa"/>
              <w:bottom w:w="100" w:type="dxa"/>
              <w:right w:w="100" w:type="dxa"/>
            </w:tcMar>
          </w:tcPr>
          <w:p w14:paraId="1CA3087F"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Pouco ou não resistente</w:t>
            </w:r>
          </w:p>
        </w:tc>
      </w:tr>
    </w:tbl>
    <w:p w14:paraId="7E9855B6" w14:textId="77777777" w:rsidR="00521992" w:rsidRDefault="00BF6A8C">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Fonte: Autores, 2025. </w:t>
      </w:r>
    </w:p>
    <w:p w14:paraId="351D102B" w14:textId="77777777" w:rsidR="00521992" w:rsidRDefault="00521992">
      <w:pPr>
        <w:spacing w:after="0" w:line="276" w:lineRule="auto"/>
        <w:rPr>
          <w:rFonts w:ascii="Times New Roman" w:eastAsia="Times New Roman" w:hAnsi="Times New Roman" w:cs="Times New Roman"/>
        </w:rPr>
      </w:pPr>
    </w:p>
    <w:p w14:paraId="37020E6C" w14:textId="77777777" w:rsidR="00521992" w:rsidRDefault="00BF6A8C">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RESULTADOS E DISCUSSÃO</w:t>
      </w:r>
    </w:p>
    <w:p w14:paraId="64F0260A"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do estado final dos corpos-de-prova após o período de incubação com os isolados fúngicos revelou diferenças significativas no desenvolvimento micelial entre as amostras. Conforme observado na Figura 2, os corpos de prova A2, A9, A14 e A15 apresentaram crescimento micelial acentuado. Esse desenvolvimento intenso pode ter influenciado diretamente a determinação da massa final, uma vez que a incorporação de biomassa fúngica sobre a superfície ou internamente nas amostras tende a aumentar o valor regi</w:t>
      </w:r>
      <w:r>
        <w:rPr>
          <w:rFonts w:ascii="Times New Roman" w:eastAsia="Times New Roman" w:hAnsi="Times New Roman" w:cs="Times New Roman"/>
          <w:sz w:val="24"/>
          <w:szCs w:val="24"/>
        </w:rPr>
        <w:t xml:space="preserve">strado, ocasionando massas finais superiores às iniciais. Esse fenômeno é consistente com o que foi descrito por Hanada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(2003), que destacam que madeiras de baixa densidade são mais susceptíveis à colonização por fungos, facilitando o crescimento acelerado das hifas e de estruturas miceliais.</w:t>
      </w:r>
    </w:p>
    <w:p w14:paraId="6BF0418B" w14:textId="77777777" w:rsidR="00521992" w:rsidRDefault="00BF6A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Figura 2 – Material final após o período de teste de decomposição</w:t>
      </w:r>
      <w:r>
        <w:rPr>
          <w:rFonts w:ascii="Times New Roman" w:eastAsia="Times New Roman" w:hAnsi="Times New Roman" w:cs="Times New Roman"/>
          <w:sz w:val="24"/>
          <w:szCs w:val="24"/>
        </w:rPr>
        <w:t xml:space="preserve">. </w:t>
      </w:r>
    </w:p>
    <w:p w14:paraId="7B0F719F" w14:textId="77777777" w:rsidR="00521992" w:rsidRDefault="00BF6A8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114300" distB="114300" distL="114300" distR="114300" wp14:anchorId="243F77C3" wp14:editId="31E2303C">
            <wp:extent cx="2899106" cy="1722657"/>
            <wp:effectExtent l="12700" t="12700" r="12700" b="12700"/>
            <wp:docPr id="3" name="image3.png" descr="Uma imagem contendo foto, diferente, vidro, marrom&#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png" descr="Uma imagem contendo foto, diferente, vidro, marrom&#10;&#10;O conteúdo gerado por IA pode estar incorreto."/>
                    <pic:cNvPicPr preferRelativeResize="0"/>
                  </pic:nvPicPr>
                  <pic:blipFill>
                    <a:blip r:embed="rId8"/>
                    <a:srcRect l="5810" t="3134" r="5788" b="3373"/>
                    <a:stretch>
                      <a:fillRect/>
                    </a:stretch>
                  </pic:blipFill>
                  <pic:spPr>
                    <a:xfrm>
                      <a:off x="0" y="0"/>
                      <a:ext cx="2899106" cy="1722657"/>
                    </a:xfrm>
                    <a:prstGeom prst="rect">
                      <a:avLst/>
                    </a:prstGeom>
                    <a:ln w="12700">
                      <a:solidFill>
                        <a:srgbClr val="000000"/>
                      </a:solidFill>
                      <a:prstDash val="solid"/>
                    </a:ln>
                  </pic:spPr>
                </pic:pic>
              </a:graphicData>
            </a:graphic>
          </wp:inline>
        </w:drawing>
      </w:r>
    </w:p>
    <w:p w14:paraId="1A86D1D5" w14:textId="77777777" w:rsidR="00521992" w:rsidRDefault="00BF6A8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Fonte: Autores, 2025. </w:t>
      </w:r>
    </w:p>
    <w:p w14:paraId="412C8F9A" w14:textId="77777777" w:rsidR="00521992" w:rsidRDefault="00521992">
      <w:pPr>
        <w:spacing w:after="0" w:line="240" w:lineRule="auto"/>
        <w:jc w:val="both"/>
        <w:rPr>
          <w:rFonts w:ascii="Times New Roman" w:eastAsia="Times New Roman" w:hAnsi="Times New Roman" w:cs="Times New Roman"/>
        </w:rPr>
      </w:pPr>
    </w:p>
    <w:p w14:paraId="658DDBC3" w14:textId="77777777" w:rsidR="00521992" w:rsidRDefault="00BF6A8C">
      <w:pPr>
        <w:spacing w:after="200" w:line="360" w:lineRule="auto"/>
        <w:ind w:firstLine="708"/>
        <w:jc w:val="both"/>
        <w:rPr>
          <w:rFonts w:ascii="Times New Roman" w:eastAsia="Times New Roman" w:hAnsi="Times New Roman" w:cs="Times New Roman"/>
        </w:rPr>
      </w:pPr>
      <w:r>
        <w:rPr>
          <w:rFonts w:ascii="Times New Roman" w:eastAsia="Times New Roman" w:hAnsi="Times New Roman" w:cs="Times New Roman"/>
          <w:sz w:val="24"/>
          <w:szCs w:val="24"/>
        </w:rPr>
        <w:t>A análise das alterações superficiais e internas da madeira, mostradas na Figura 3, indica que a maior parte das amostras apresentou apenas modificações superficiais. No entanto, as amostras A5, A6, A14 e A15 evidenciaram alteração de coloração interna, caracterizada por pequenas linhas, sugerindo a presença de fungos manchadores capazes de alterar a coloração interna da madeira sem necessariamente modificar sua superfície. Além disso, também foi possivel analizar amostras que apresentaram alterações na mas</w:t>
      </w:r>
      <w:r>
        <w:rPr>
          <w:rFonts w:ascii="Times New Roman" w:eastAsia="Times New Roman" w:hAnsi="Times New Roman" w:cs="Times New Roman"/>
          <w:sz w:val="24"/>
          <w:szCs w:val="24"/>
        </w:rPr>
        <w:t xml:space="preserve">sa final, sem apresentar alteração na coloração interna.  Esse padrão de coloração é relevante, pois, conforme </w:t>
      </w:r>
      <w:r>
        <w:rPr>
          <w:rFonts w:ascii="Times New Roman" w:eastAsia="Times New Roman" w:hAnsi="Times New Roman" w:cs="Times New Roman"/>
          <w:sz w:val="24"/>
          <w:szCs w:val="24"/>
          <w:highlight w:val="white"/>
        </w:rPr>
        <w:t xml:space="preserve">Garzón </w:t>
      </w:r>
      <w:r>
        <w:rPr>
          <w:rFonts w:ascii="Times New Roman" w:eastAsia="Times New Roman" w:hAnsi="Times New Roman" w:cs="Times New Roman"/>
          <w:sz w:val="24"/>
          <w:szCs w:val="24"/>
        </w:rPr>
        <w:t>(2015), o crescimento de fungos manchadores e emboladores é altamente dependente das condições ambientais, sendo capazes de penetrar no tecido lenhoso sem causar mudanças visuais externas imediatas. A ausência de alterações superficiais aparentes pode, portanto, mascarar modificações estruturais internas importantes, indicando que a avaliação apenas da superfície pode subestimar o grau de de</w:t>
      </w:r>
      <w:r>
        <w:rPr>
          <w:rFonts w:ascii="Times New Roman" w:eastAsia="Times New Roman" w:hAnsi="Times New Roman" w:cs="Times New Roman"/>
          <w:sz w:val="24"/>
          <w:szCs w:val="24"/>
        </w:rPr>
        <w:t>terioração promovido pelos fungos.</w:t>
      </w:r>
    </w:p>
    <w:p w14:paraId="0E34B95C" w14:textId="77777777" w:rsidR="00521992" w:rsidRDefault="00BF6A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Figura 3 – Corte longitudinal nos corpos-de-prova para visualização interna e análise da coloração. </w:t>
      </w:r>
    </w:p>
    <w:p w14:paraId="17B7B905" w14:textId="77777777" w:rsidR="00521992" w:rsidRDefault="00BF6A8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114300" distB="114300" distL="114300" distR="114300" wp14:anchorId="4D6130B5" wp14:editId="24967176">
            <wp:extent cx="3103733" cy="1859204"/>
            <wp:effectExtent l="12700" t="12700" r="12700" b="12700"/>
            <wp:docPr id="2" name="image2.png" descr="Uma imagem contendo tijol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Uma imagem contendo tijolo&#10;&#10;O conteúdo gerado por IA pode estar incorreto."/>
                    <pic:cNvPicPr preferRelativeResize="0"/>
                  </pic:nvPicPr>
                  <pic:blipFill>
                    <a:blip r:embed="rId9"/>
                    <a:srcRect l="5836" t="3143" r="5535" b="2898"/>
                    <a:stretch>
                      <a:fillRect/>
                    </a:stretch>
                  </pic:blipFill>
                  <pic:spPr>
                    <a:xfrm>
                      <a:off x="0" y="0"/>
                      <a:ext cx="3103733" cy="1859204"/>
                    </a:xfrm>
                    <a:prstGeom prst="rect">
                      <a:avLst/>
                    </a:prstGeom>
                    <a:ln w="12700">
                      <a:solidFill>
                        <a:srgbClr val="000000"/>
                      </a:solidFill>
                      <a:prstDash val="solid"/>
                    </a:ln>
                  </pic:spPr>
                </pic:pic>
              </a:graphicData>
            </a:graphic>
          </wp:inline>
        </w:drawing>
      </w:r>
    </w:p>
    <w:p w14:paraId="7E41A9F0" w14:textId="77777777" w:rsidR="00521992" w:rsidRDefault="00BF6A8C">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Fonte: Autores, 2025. </w:t>
      </w:r>
    </w:p>
    <w:p w14:paraId="38215413"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Esses resultados sugerem que tanto a densidade da madeira quanto as condições ambientais controladas durante a incubação exerceram papel crucial no crescimento fúngico e na manifestação de sinais de deterioração. A presença de alterações internas mesmo na ausência de alterações superficiais reforça a importância de análises detalhadas para a detecção de fungos manchadores, que podem comprometer propriedades mecânicas e estéticas da madeira sem sinais externos evidentes.</w:t>
      </w:r>
    </w:p>
    <w:p w14:paraId="71A3285A"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síntese, os corpos-de-prova apresentam um padrão de resposta variável aos diferentes isolados fúngicos, destacando-se a influência conjunta da densidade da madeira, da biomassa fúngica e da suscetibilidade estrutural para a determinação das alterações observadas, corroborando relatos anteriores sobre a interação entre fungos e substratos lenhosos (Hanada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2003; Barreto, 2015).</w:t>
      </w:r>
    </w:p>
    <w:p w14:paraId="1B500187" w14:textId="77777777" w:rsidR="00521992" w:rsidRDefault="00BF6A8C">
      <w:pPr>
        <w:spacing w:after="20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final do ensaio, apenas cinco amostras apresentaram perda de massa, conforme evidenciado na Tabela 2, indicando que houve ocorrência de um</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processo inicial de degradação devido à atividade dos organismos fúngicos. A maior perda registrada foi de 19,6%</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valor considerado relativamente baixo para caracterizar uma ação efetiva de fungos apodrecedores em condições laboratoriais controladas.</w:t>
      </w:r>
    </w:p>
    <w:p w14:paraId="6757630B" w14:textId="77777777" w:rsidR="00521992" w:rsidRDefault="00BF6A8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Tabela 2 – Valores de massa inicial,  final e classificação de resistencia de 5 amostras que apresentaram perda de massa pós o teste. </w:t>
      </w:r>
    </w:p>
    <w:tbl>
      <w:tblPr>
        <w:tblStyle w:val="a0"/>
        <w:tblW w:w="850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1125"/>
        <w:gridCol w:w="1470"/>
        <w:gridCol w:w="1425"/>
        <w:gridCol w:w="960"/>
        <w:gridCol w:w="1425"/>
        <w:gridCol w:w="2100"/>
      </w:tblGrid>
      <w:tr w:rsidR="00521992" w14:paraId="604228BB" w14:textId="77777777">
        <w:trPr>
          <w:trHeight w:val="192"/>
        </w:trPr>
        <w:tc>
          <w:tcPr>
            <w:tcW w:w="1125" w:type="dxa"/>
            <w:vMerge w:val="restart"/>
            <w:tcBorders>
              <w:top w:val="single" w:sz="12" w:space="0" w:color="000000"/>
              <w:left w:val="nil"/>
              <w:bottom w:val="single" w:sz="8" w:space="0" w:color="000000"/>
              <w:right w:val="single" w:sz="8" w:space="0" w:color="000000"/>
            </w:tcBorders>
            <w:tcMar>
              <w:top w:w="100" w:type="dxa"/>
              <w:left w:w="100" w:type="dxa"/>
              <w:bottom w:w="100" w:type="dxa"/>
              <w:right w:w="100" w:type="dxa"/>
            </w:tcMar>
          </w:tcPr>
          <w:p w14:paraId="1E7F9662" w14:textId="77777777" w:rsidR="00521992" w:rsidRDefault="00BF6A8C">
            <w:pPr>
              <w:widowControl w:val="0"/>
              <w:spacing w:before="20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Amostras </w:t>
            </w:r>
          </w:p>
        </w:tc>
        <w:tc>
          <w:tcPr>
            <w:tcW w:w="1470" w:type="dxa"/>
            <w:vMerge w:val="restart"/>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8EAF8" w14:textId="77777777" w:rsidR="00521992" w:rsidRDefault="00BF6A8C">
            <w:pPr>
              <w:widowControl w:val="0"/>
              <w:spacing w:before="20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Massa inicial</w:t>
            </w:r>
          </w:p>
        </w:tc>
        <w:tc>
          <w:tcPr>
            <w:tcW w:w="1425" w:type="dxa"/>
            <w:vMerge w:val="restart"/>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AFCDF" w14:textId="77777777" w:rsidR="00521992" w:rsidRDefault="00BF6A8C">
            <w:pPr>
              <w:widowControl w:val="0"/>
              <w:spacing w:before="20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Massa final </w:t>
            </w:r>
          </w:p>
        </w:tc>
        <w:tc>
          <w:tcPr>
            <w:tcW w:w="2385" w:type="dxa"/>
            <w:gridSpan w:val="2"/>
            <w:tcBorders>
              <w:top w:val="single" w:sz="12"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A63A324" w14:textId="77777777" w:rsidR="00521992" w:rsidRDefault="00BF6A8C">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Perda de Massa</w:t>
            </w:r>
          </w:p>
        </w:tc>
        <w:tc>
          <w:tcPr>
            <w:tcW w:w="2100" w:type="dxa"/>
            <w:vMerge w:val="restart"/>
            <w:tcBorders>
              <w:top w:val="single" w:sz="12" w:space="0" w:color="000000"/>
              <w:left w:val="single" w:sz="8" w:space="0" w:color="000000"/>
              <w:bottom w:val="single" w:sz="8" w:space="0" w:color="000000"/>
              <w:right w:val="nil"/>
            </w:tcBorders>
            <w:tcMar>
              <w:top w:w="100" w:type="dxa"/>
              <w:left w:w="100" w:type="dxa"/>
              <w:bottom w:w="100" w:type="dxa"/>
              <w:right w:w="100" w:type="dxa"/>
            </w:tcMar>
          </w:tcPr>
          <w:p w14:paraId="0B769BC2" w14:textId="77777777" w:rsidR="00521992" w:rsidRDefault="00BF6A8C">
            <w:pPr>
              <w:widowControl w:val="0"/>
              <w:spacing w:before="20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Classificação de resistência</w:t>
            </w:r>
          </w:p>
        </w:tc>
      </w:tr>
      <w:tr w:rsidR="00521992" w14:paraId="0843EF04" w14:textId="77777777">
        <w:trPr>
          <w:trHeight w:val="162"/>
        </w:trPr>
        <w:tc>
          <w:tcPr>
            <w:tcW w:w="1125" w:type="dxa"/>
            <w:vMerge/>
            <w:tcBorders>
              <w:top w:val="single" w:sz="12" w:space="0" w:color="000000"/>
              <w:left w:val="nil"/>
              <w:bottom w:val="single" w:sz="8" w:space="0" w:color="000000"/>
              <w:right w:val="single" w:sz="8" w:space="0" w:color="000000"/>
            </w:tcBorders>
            <w:tcMar>
              <w:top w:w="100" w:type="dxa"/>
              <w:left w:w="100" w:type="dxa"/>
              <w:bottom w:w="100" w:type="dxa"/>
              <w:right w:w="100" w:type="dxa"/>
            </w:tcMar>
          </w:tcPr>
          <w:p w14:paraId="6521842B" w14:textId="77777777" w:rsidR="00521992" w:rsidRDefault="00521992">
            <w:pPr>
              <w:widowControl w:val="0"/>
              <w:pBdr>
                <w:top w:val="nil"/>
                <w:left w:val="nil"/>
                <w:bottom w:val="nil"/>
                <w:right w:val="nil"/>
                <w:between w:val="nil"/>
              </w:pBdr>
              <w:spacing w:after="0" w:line="276" w:lineRule="auto"/>
              <w:rPr>
                <w:rFonts w:ascii="Times New Roman" w:eastAsia="Times New Roman" w:hAnsi="Times New Roman" w:cs="Times New Roman"/>
                <w:b/>
                <w:bCs/>
              </w:rPr>
            </w:pPr>
          </w:p>
        </w:tc>
        <w:tc>
          <w:tcPr>
            <w:tcW w:w="1470" w:type="dxa"/>
            <w:vMerge/>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85796" w14:textId="77777777" w:rsidR="00521992" w:rsidRDefault="00521992">
            <w:pPr>
              <w:widowControl w:val="0"/>
              <w:pBdr>
                <w:top w:val="nil"/>
                <w:left w:val="nil"/>
                <w:bottom w:val="nil"/>
                <w:right w:val="nil"/>
                <w:between w:val="nil"/>
              </w:pBdr>
              <w:spacing w:after="0" w:line="276" w:lineRule="auto"/>
              <w:rPr>
                <w:rFonts w:ascii="Times New Roman" w:eastAsia="Times New Roman" w:hAnsi="Times New Roman" w:cs="Times New Roman"/>
                <w:b/>
                <w:bCs/>
              </w:rPr>
            </w:pPr>
          </w:p>
        </w:tc>
        <w:tc>
          <w:tcPr>
            <w:tcW w:w="1425" w:type="dxa"/>
            <w:vMerge/>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4F9E5" w14:textId="77777777" w:rsidR="00521992" w:rsidRDefault="00521992">
            <w:pPr>
              <w:widowControl w:val="0"/>
              <w:pBdr>
                <w:top w:val="nil"/>
                <w:left w:val="nil"/>
                <w:bottom w:val="nil"/>
                <w:right w:val="nil"/>
                <w:between w:val="nil"/>
              </w:pBdr>
              <w:spacing w:after="0" w:line="276" w:lineRule="auto"/>
              <w:rPr>
                <w:rFonts w:ascii="Times New Roman" w:eastAsia="Times New Roman" w:hAnsi="Times New Roman" w:cs="Times New Roman"/>
                <w:b/>
                <w:bCs/>
              </w:rPr>
            </w:pPr>
          </w:p>
        </w:tc>
        <w:tc>
          <w:tcPr>
            <w:tcW w:w="960" w:type="dxa"/>
            <w:tcBorders>
              <w:top w:val="single" w:sz="4" w:space="0" w:color="000000"/>
              <w:left w:val="single" w:sz="8" w:space="0" w:color="000000"/>
              <w:bottom w:val="single" w:sz="12" w:space="0" w:color="000000"/>
              <w:right w:val="nil"/>
            </w:tcBorders>
            <w:tcMar>
              <w:top w:w="100" w:type="dxa"/>
              <w:left w:w="100" w:type="dxa"/>
              <w:bottom w:w="100" w:type="dxa"/>
              <w:right w:w="100" w:type="dxa"/>
            </w:tcMar>
          </w:tcPr>
          <w:p w14:paraId="1B13AF52"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Gramas</w:t>
            </w:r>
          </w:p>
        </w:tc>
        <w:tc>
          <w:tcPr>
            <w:tcW w:w="1425" w:type="dxa"/>
            <w:tcBorders>
              <w:top w:val="single" w:sz="4" w:space="0" w:color="000000"/>
              <w:left w:val="nil"/>
              <w:bottom w:val="single" w:sz="12" w:space="0" w:color="000000"/>
              <w:right w:val="single" w:sz="8" w:space="0" w:color="000000"/>
            </w:tcBorders>
            <w:tcMar>
              <w:top w:w="100" w:type="dxa"/>
              <w:left w:w="100" w:type="dxa"/>
              <w:bottom w:w="100" w:type="dxa"/>
              <w:right w:w="100" w:type="dxa"/>
            </w:tcMar>
          </w:tcPr>
          <w:p w14:paraId="5D398A45"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00" w:type="dxa"/>
            <w:vMerge/>
            <w:tcBorders>
              <w:top w:val="single" w:sz="12" w:space="0" w:color="000000"/>
              <w:left w:val="single" w:sz="8" w:space="0" w:color="000000"/>
              <w:bottom w:val="single" w:sz="8" w:space="0" w:color="000000"/>
              <w:right w:val="nil"/>
            </w:tcBorders>
            <w:tcMar>
              <w:top w:w="100" w:type="dxa"/>
              <w:left w:w="100" w:type="dxa"/>
              <w:bottom w:w="100" w:type="dxa"/>
              <w:right w:w="100" w:type="dxa"/>
            </w:tcMar>
          </w:tcPr>
          <w:p w14:paraId="037A5CBA" w14:textId="77777777" w:rsidR="00521992" w:rsidRDefault="00521992">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521992" w14:paraId="361E3FD9" w14:textId="77777777">
        <w:tc>
          <w:tcPr>
            <w:tcW w:w="1125" w:type="dxa"/>
            <w:tcBorders>
              <w:top w:val="single" w:sz="12" w:space="0" w:color="000000"/>
              <w:left w:val="nil"/>
              <w:bottom w:val="nil"/>
              <w:right w:val="nil"/>
            </w:tcBorders>
            <w:tcMar>
              <w:top w:w="100" w:type="dxa"/>
              <w:left w:w="100" w:type="dxa"/>
              <w:bottom w:w="100" w:type="dxa"/>
              <w:right w:w="100" w:type="dxa"/>
            </w:tcMar>
          </w:tcPr>
          <w:p w14:paraId="31351CB5"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A5</w:t>
            </w:r>
          </w:p>
        </w:tc>
        <w:tc>
          <w:tcPr>
            <w:tcW w:w="1470" w:type="dxa"/>
            <w:tcBorders>
              <w:top w:val="single" w:sz="12" w:space="0" w:color="000000"/>
              <w:left w:val="nil"/>
              <w:bottom w:val="nil"/>
              <w:right w:val="nil"/>
            </w:tcBorders>
            <w:tcMar>
              <w:top w:w="100" w:type="dxa"/>
              <w:left w:w="100" w:type="dxa"/>
              <w:bottom w:w="100" w:type="dxa"/>
              <w:right w:w="100" w:type="dxa"/>
            </w:tcMar>
          </w:tcPr>
          <w:p w14:paraId="5D9B24B1"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6,607</w:t>
            </w:r>
          </w:p>
        </w:tc>
        <w:tc>
          <w:tcPr>
            <w:tcW w:w="1425" w:type="dxa"/>
            <w:tcBorders>
              <w:top w:val="single" w:sz="12" w:space="0" w:color="000000"/>
              <w:left w:val="nil"/>
              <w:bottom w:val="nil"/>
              <w:right w:val="nil"/>
            </w:tcBorders>
            <w:tcMar>
              <w:top w:w="100" w:type="dxa"/>
              <w:left w:w="100" w:type="dxa"/>
              <w:bottom w:w="100" w:type="dxa"/>
              <w:right w:w="100" w:type="dxa"/>
            </w:tcMar>
          </w:tcPr>
          <w:p w14:paraId="23DB8B72" w14:textId="77777777" w:rsidR="00521992" w:rsidRDefault="00BF6A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5,313</w:t>
            </w:r>
          </w:p>
        </w:tc>
        <w:tc>
          <w:tcPr>
            <w:tcW w:w="960" w:type="dxa"/>
            <w:tcBorders>
              <w:top w:val="single" w:sz="12" w:space="0" w:color="000000"/>
              <w:left w:val="nil"/>
              <w:bottom w:val="nil"/>
              <w:right w:val="nil"/>
            </w:tcBorders>
            <w:tcMar>
              <w:top w:w="100" w:type="dxa"/>
              <w:left w:w="100" w:type="dxa"/>
              <w:bottom w:w="100" w:type="dxa"/>
              <w:right w:w="100" w:type="dxa"/>
            </w:tcMar>
          </w:tcPr>
          <w:p w14:paraId="38815288"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1,294</w:t>
            </w:r>
          </w:p>
        </w:tc>
        <w:tc>
          <w:tcPr>
            <w:tcW w:w="1425" w:type="dxa"/>
            <w:tcBorders>
              <w:top w:val="single" w:sz="12" w:space="0" w:color="000000"/>
              <w:left w:val="nil"/>
              <w:bottom w:val="nil"/>
              <w:right w:val="nil"/>
            </w:tcBorders>
            <w:tcMar>
              <w:top w:w="100" w:type="dxa"/>
              <w:left w:w="100" w:type="dxa"/>
              <w:bottom w:w="100" w:type="dxa"/>
              <w:right w:w="100" w:type="dxa"/>
            </w:tcMar>
          </w:tcPr>
          <w:p w14:paraId="5447F523"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19,6</w:t>
            </w:r>
          </w:p>
        </w:tc>
        <w:tc>
          <w:tcPr>
            <w:tcW w:w="2100" w:type="dxa"/>
            <w:tcBorders>
              <w:top w:val="single" w:sz="12" w:space="0" w:color="000000"/>
              <w:left w:val="nil"/>
              <w:bottom w:val="nil"/>
              <w:right w:val="nil"/>
            </w:tcBorders>
            <w:tcMar>
              <w:top w:w="100" w:type="dxa"/>
              <w:left w:w="100" w:type="dxa"/>
              <w:bottom w:w="100" w:type="dxa"/>
              <w:right w:w="100" w:type="dxa"/>
            </w:tcMar>
          </w:tcPr>
          <w:p w14:paraId="67940F5D"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Resistente</w:t>
            </w:r>
          </w:p>
        </w:tc>
      </w:tr>
      <w:tr w:rsidR="00521992" w14:paraId="2AC57219" w14:textId="77777777">
        <w:trPr>
          <w:trHeight w:val="60"/>
        </w:trPr>
        <w:tc>
          <w:tcPr>
            <w:tcW w:w="1125" w:type="dxa"/>
            <w:tcBorders>
              <w:top w:val="nil"/>
              <w:left w:val="nil"/>
              <w:bottom w:val="nil"/>
              <w:right w:val="nil"/>
            </w:tcBorders>
            <w:tcMar>
              <w:top w:w="100" w:type="dxa"/>
              <w:left w:w="100" w:type="dxa"/>
              <w:bottom w:w="100" w:type="dxa"/>
              <w:right w:w="100" w:type="dxa"/>
            </w:tcMar>
          </w:tcPr>
          <w:p w14:paraId="4184323C"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A6</w:t>
            </w:r>
          </w:p>
        </w:tc>
        <w:tc>
          <w:tcPr>
            <w:tcW w:w="1470" w:type="dxa"/>
            <w:tcBorders>
              <w:top w:val="nil"/>
              <w:left w:val="nil"/>
              <w:bottom w:val="nil"/>
              <w:right w:val="nil"/>
            </w:tcBorders>
            <w:tcMar>
              <w:top w:w="100" w:type="dxa"/>
              <w:left w:w="100" w:type="dxa"/>
              <w:bottom w:w="100" w:type="dxa"/>
              <w:right w:w="100" w:type="dxa"/>
            </w:tcMar>
          </w:tcPr>
          <w:p w14:paraId="07880FCD"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7,022</w:t>
            </w:r>
          </w:p>
        </w:tc>
        <w:tc>
          <w:tcPr>
            <w:tcW w:w="1425" w:type="dxa"/>
            <w:tcBorders>
              <w:top w:val="nil"/>
              <w:left w:val="nil"/>
              <w:bottom w:val="nil"/>
              <w:right w:val="nil"/>
            </w:tcBorders>
            <w:tcMar>
              <w:top w:w="100" w:type="dxa"/>
              <w:left w:w="100" w:type="dxa"/>
              <w:bottom w:w="100" w:type="dxa"/>
              <w:right w:w="100" w:type="dxa"/>
            </w:tcMar>
          </w:tcPr>
          <w:p w14:paraId="09D2E373" w14:textId="77777777" w:rsidR="00521992" w:rsidRDefault="00BF6A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6,792</w:t>
            </w:r>
          </w:p>
        </w:tc>
        <w:tc>
          <w:tcPr>
            <w:tcW w:w="960" w:type="dxa"/>
            <w:tcBorders>
              <w:top w:val="nil"/>
              <w:left w:val="nil"/>
              <w:bottom w:val="nil"/>
              <w:right w:val="nil"/>
            </w:tcBorders>
            <w:tcMar>
              <w:top w:w="100" w:type="dxa"/>
              <w:left w:w="100" w:type="dxa"/>
              <w:bottom w:w="100" w:type="dxa"/>
              <w:right w:w="100" w:type="dxa"/>
            </w:tcMar>
          </w:tcPr>
          <w:p w14:paraId="7A6C5A30"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0,230</w:t>
            </w:r>
          </w:p>
        </w:tc>
        <w:tc>
          <w:tcPr>
            <w:tcW w:w="1425" w:type="dxa"/>
            <w:tcBorders>
              <w:top w:val="nil"/>
              <w:left w:val="nil"/>
              <w:bottom w:val="nil"/>
              <w:right w:val="nil"/>
            </w:tcBorders>
            <w:tcMar>
              <w:top w:w="100" w:type="dxa"/>
              <w:left w:w="100" w:type="dxa"/>
              <w:bottom w:w="100" w:type="dxa"/>
              <w:right w:w="100" w:type="dxa"/>
            </w:tcMar>
          </w:tcPr>
          <w:p w14:paraId="29CCD21C"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2100" w:type="dxa"/>
            <w:tcBorders>
              <w:top w:val="nil"/>
              <w:left w:val="nil"/>
              <w:bottom w:val="nil"/>
              <w:right w:val="nil"/>
            </w:tcBorders>
            <w:tcMar>
              <w:top w:w="100" w:type="dxa"/>
              <w:left w:w="100" w:type="dxa"/>
              <w:bottom w:w="100" w:type="dxa"/>
              <w:right w:w="100" w:type="dxa"/>
            </w:tcMar>
          </w:tcPr>
          <w:p w14:paraId="31A53A97"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Muito resistente</w:t>
            </w:r>
          </w:p>
        </w:tc>
      </w:tr>
      <w:tr w:rsidR="00521992" w14:paraId="16D5BA41" w14:textId="77777777">
        <w:tc>
          <w:tcPr>
            <w:tcW w:w="1125" w:type="dxa"/>
            <w:tcBorders>
              <w:top w:val="nil"/>
              <w:left w:val="nil"/>
              <w:bottom w:val="nil"/>
              <w:right w:val="nil"/>
            </w:tcBorders>
            <w:tcMar>
              <w:top w:w="100" w:type="dxa"/>
              <w:left w:w="100" w:type="dxa"/>
              <w:bottom w:w="100" w:type="dxa"/>
              <w:right w:w="100" w:type="dxa"/>
            </w:tcMar>
          </w:tcPr>
          <w:p w14:paraId="73B6E83E"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A7</w:t>
            </w:r>
          </w:p>
        </w:tc>
        <w:tc>
          <w:tcPr>
            <w:tcW w:w="1470" w:type="dxa"/>
            <w:tcBorders>
              <w:top w:val="nil"/>
              <w:left w:val="nil"/>
              <w:bottom w:val="nil"/>
              <w:right w:val="nil"/>
            </w:tcBorders>
            <w:tcMar>
              <w:top w:w="100" w:type="dxa"/>
              <w:left w:w="100" w:type="dxa"/>
              <w:bottom w:w="100" w:type="dxa"/>
              <w:right w:w="100" w:type="dxa"/>
            </w:tcMar>
          </w:tcPr>
          <w:p w14:paraId="4AF89772"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6,901</w:t>
            </w:r>
          </w:p>
        </w:tc>
        <w:tc>
          <w:tcPr>
            <w:tcW w:w="1425" w:type="dxa"/>
            <w:tcBorders>
              <w:top w:val="nil"/>
              <w:left w:val="nil"/>
              <w:bottom w:val="nil"/>
              <w:right w:val="nil"/>
            </w:tcBorders>
            <w:tcMar>
              <w:top w:w="100" w:type="dxa"/>
              <w:left w:w="100" w:type="dxa"/>
              <w:bottom w:w="100" w:type="dxa"/>
              <w:right w:w="100" w:type="dxa"/>
            </w:tcMar>
          </w:tcPr>
          <w:p w14:paraId="3DD6D318" w14:textId="77777777" w:rsidR="00521992" w:rsidRDefault="00BF6A8C">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6,589</w:t>
            </w:r>
          </w:p>
        </w:tc>
        <w:tc>
          <w:tcPr>
            <w:tcW w:w="960" w:type="dxa"/>
            <w:tcBorders>
              <w:top w:val="nil"/>
              <w:left w:val="nil"/>
              <w:bottom w:val="nil"/>
              <w:right w:val="nil"/>
            </w:tcBorders>
            <w:tcMar>
              <w:top w:w="100" w:type="dxa"/>
              <w:left w:w="100" w:type="dxa"/>
              <w:bottom w:w="100" w:type="dxa"/>
              <w:right w:w="100" w:type="dxa"/>
            </w:tcMar>
          </w:tcPr>
          <w:p w14:paraId="756D2206"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0,312</w:t>
            </w:r>
          </w:p>
        </w:tc>
        <w:tc>
          <w:tcPr>
            <w:tcW w:w="1425" w:type="dxa"/>
            <w:tcBorders>
              <w:top w:val="nil"/>
              <w:left w:val="nil"/>
              <w:bottom w:val="nil"/>
              <w:right w:val="nil"/>
            </w:tcBorders>
            <w:tcMar>
              <w:top w:w="100" w:type="dxa"/>
              <w:left w:w="100" w:type="dxa"/>
              <w:bottom w:w="100" w:type="dxa"/>
              <w:right w:w="100" w:type="dxa"/>
            </w:tcMar>
          </w:tcPr>
          <w:p w14:paraId="76BF2601"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w:t>
            </w:r>
          </w:p>
        </w:tc>
        <w:tc>
          <w:tcPr>
            <w:tcW w:w="2100" w:type="dxa"/>
            <w:tcBorders>
              <w:top w:val="nil"/>
              <w:left w:val="nil"/>
              <w:bottom w:val="nil"/>
              <w:right w:val="nil"/>
            </w:tcBorders>
            <w:tcMar>
              <w:top w:w="100" w:type="dxa"/>
              <w:left w:w="100" w:type="dxa"/>
              <w:bottom w:w="100" w:type="dxa"/>
              <w:right w:w="100" w:type="dxa"/>
            </w:tcMar>
          </w:tcPr>
          <w:p w14:paraId="1E21EEE0"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Muito resistente</w:t>
            </w:r>
          </w:p>
        </w:tc>
      </w:tr>
      <w:tr w:rsidR="00521992" w14:paraId="2CA45FE8" w14:textId="77777777">
        <w:tc>
          <w:tcPr>
            <w:tcW w:w="1125" w:type="dxa"/>
            <w:tcBorders>
              <w:top w:val="nil"/>
              <w:left w:val="nil"/>
              <w:bottom w:val="nil"/>
              <w:right w:val="nil"/>
            </w:tcBorders>
            <w:tcMar>
              <w:top w:w="100" w:type="dxa"/>
              <w:left w:w="100" w:type="dxa"/>
              <w:bottom w:w="100" w:type="dxa"/>
              <w:right w:w="100" w:type="dxa"/>
            </w:tcMar>
          </w:tcPr>
          <w:p w14:paraId="20570FE7"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A10</w:t>
            </w:r>
          </w:p>
        </w:tc>
        <w:tc>
          <w:tcPr>
            <w:tcW w:w="1470" w:type="dxa"/>
            <w:tcBorders>
              <w:top w:val="nil"/>
              <w:left w:val="nil"/>
              <w:bottom w:val="nil"/>
              <w:right w:val="nil"/>
            </w:tcBorders>
            <w:tcMar>
              <w:top w:w="100" w:type="dxa"/>
              <w:left w:w="100" w:type="dxa"/>
              <w:bottom w:w="100" w:type="dxa"/>
              <w:right w:w="100" w:type="dxa"/>
            </w:tcMar>
          </w:tcPr>
          <w:p w14:paraId="4709E4EA"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7,091</w:t>
            </w:r>
          </w:p>
        </w:tc>
        <w:tc>
          <w:tcPr>
            <w:tcW w:w="1425" w:type="dxa"/>
            <w:tcBorders>
              <w:top w:val="nil"/>
              <w:left w:val="nil"/>
              <w:bottom w:val="nil"/>
              <w:right w:val="nil"/>
            </w:tcBorders>
            <w:tcMar>
              <w:top w:w="100" w:type="dxa"/>
              <w:left w:w="100" w:type="dxa"/>
              <w:bottom w:w="100" w:type="dxa"/>
              <w:right w:w="100" w:type="dxa"/>
            </w:tcMar>
          </w:tcPr>
          <w:p w14:paraId="619FB03C"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6,215</w:t>
            </w:r>
          </w:p>
        </w:tc>
        <w:tc>
          <w:tcPr>
            <w:tcW w:w="960" w:type="dxa"/>
            <w:tcBorders>
              <w:top w:val="nil"/>
              <w:left w:val="nil"/>
              <w:bottom w:val="nil"/>
              <w:right w:val="nil"/>
            </w:tcBorders>
            <w:tcMar>
              <w:top w:w="100" w:type="dxa"/>
              <w:left w:w="100" w:type="dxa"/>
              <w:bottom w:w="100" w:type="dxa"/>
              <w:right w:w="100" w:type="dxa"/>
            </w:tcMar>
          </w:tcPr>
          <w:p w14:paraId="4638D5B9"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0,876</w:t>
            </w:r>
          </w:p>
        </w:tc>
        <w:tc>
          <w:tcPr>
            <w:tcW w:w="1425" w:type="dxa"/>
            <w:tcBorders>
              <w:top w:val="nil"/>
              <w:left w:val="nil"/>
              <w:bottom w:val="nil"/>
              <w:right w:val="nil"/>
            </w:tcBorders>
            <w:tcMar>
              <w:top w:w="100" w:type="dxa"/>
              <w:left w:w="100" w:type="dxa"/>
              <w:bottom w:w="100" w:type="dxa"/>
              <w:right w:w="100" w:type="dxa"/>
            </w:tcMar>
          </w:tcPr>
          <w:p w14:paraId="0D6BF194"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12,4</w:t>
            </w:r>
          </w:p>
        </w:tc>
        <w:tc>
          <w:tcPr>
            <w:tcW w:w="2100" w:type="dxa"/>
            <w:tcBorders>
              <w:top w:val="nil"/>
              <w:left w:val="nil"/>
              <w:bottom w:val="nil"/>
              <w:right w:val="nil"/>
            </w:tcBorders>
            <w:tcMar>
              <w:top w:w="100" w:type="dxa"/>
              <w:left w:w="100" w:type="dxa"/>
              <w:bottom w:w="100" w:type="dxa"/>
              <w:right w:w="100" w:type="dxa"/>
            </w:tcMar>
          </w:tcPr>
          <w:p w14:paraId="011F664E"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Resistente</w:t>
            </w:r>
          </w:p>
        </w:tc>
      </w:tr>
      <w:tr w:rsidR="00521992" w14:paraId="538BCCAB" w14:textId="77777777">
        <w:tc>
          <w:tcPr>
            <w:tcW w:w="1125" w:type="dxa"/>
            <w:tcBorders>
              <w:top w:val="nil"/>
              <w:left w:val="nil"/>
              <w:bottom w:val="single" w:sz="12" w:space="0" w:color="000000"/>
              <w:right w:val="nil"/>
            </w:tcBorders>
            <w:tcMar>
              <w:top w:w="100" w:type="dxa"/>
              <w:left w:w="100" w:type="dxa"/>
              <w:bottom w:w="100" w:type="dxa"/>
              <w:right w:w="100" w:type="dxa"/>
            </w:tcMar>
          </w:tcPr>
          <w:p w14:paraId="39000925"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A13</w:t>
            </w:r>
          </w:p>
        </w:tc>
        <w:tc>
          <w:tcPr>
            <w:tcW w:w="1470" w:type="dxa"/>
            <w:tcBorders>
              <w:top w:val="nil"/>
              <w:left w:val="nil"/>
              <w:bottom w:val="single" w:sz="12" w:space="0" w:color="000000"/>
              <w:right w:val="nil"/>
            </w:tcBorders>
            <w:tcMar>
              <w:top w:w="100" w:type="dxa"/>
              <w:left w:w="100" w:type="dxa"/>
              <w:bottom w:w="100" w:type="dxa"/>
              <w:right w:w="100" w:type="dxa"/>
            </w:tcMar>
          </w:tcPr>
          <w:p w14:paraId="516BA8D2"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6,560</w:t>
            </w:r>
          </w:p>
        </w:tc>
        <w:tc>
          <w:tcPr>
            <w:tcW w:w="1425" w:type="dxa"/>
            <w:tcBorders>
              <w:top w:val="nil"/>
              <w:left w:val="nil"/>
              <w:bottom w:val="single" w:sz="12" w:space="0" w:color="000000"/>
              <w:right w:val="nil"/>
            </w:tcBorders>
            <w:tcMar>
              <w:top w:w="100" w:type="dxa"/>
              <w:left w:w="100" w:type="dxa"/>
              <w:bottom w:w="100" w:type="dxa"/>
              <w:right w:w="100" w:type="dxa"/>
            </w:tcMar>
          </w:tcPr>
          <w:p w14:paraId="2A385064"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6,410</w:t>
            </w:r>
          </w:p>
        </w:tc>
        <w:tc>
          <w:tcPr>
            <w:tcW w:w="960" w:type="dxa"/>
            <w:tcBorders>
              <w:top w:val="nil"/>
              <w:left w:val="nil"/>
              <w:bottom w:val="single" w:sz="12" w:space="0" w:color="000000"/>
              <w:right w:val="nil"/>
            </w:tcBorders>
            <w:tcMar>
              <w:top w:w="100" w:type="dxa"/>
              <w:left w:w="100" w:type="dxa"/>
              <w:bottom w:w="100" w:type="dxa"/>
              <w:right w:w="100" w:type="dxa"/>
            </w:tcMar>
          </w:tcPr>
          <w:p w14:paraId="4D70C679"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0,150</w:t>
            </w:r>
          </w:p>
        </w:tc>
        <w:tc>
          <w:tcPr>
            <w:tcW w:w="1425" w:type="dxa"/>
            <w:tcBorders>
              <w:top w:val="nil"/>
              <w:left w:val="nil"/>
              <w:bottom w:val="single" w:sz="12" w:space="0" w:color="000000"/>
              <w:right w:val="nil"/>
            </w:tcBorders>
            <w:tcMar>
              <w:top w:w="100" w:type="dxa"/>
              <w:left w:w="100" w:type="dxa"/>
              <w:bottom w:w="100" w:type="dxa"/>
              <w:right w:w="100" w:type="dxa"/>
            </w:tcMar>
          </w:tcPr>
          <w:p w14:paraId="7A7AE7FF"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2100" w:type="dxa"/>
            <w:tcBorders>
              <w:top w:val="nil"/>
              <w:left w:val="nil"/>
              <w:bottom w:val="single" w:sz="12" w:space="0" w:color="000000"/>
              <w:right w:val="nil"/>
            </w:tcBorders>
            <w:tcMar>
              <w:top w:w="100" w:type="dxa"/>
              <w:left w:w="100" w:type="dxa"/>
              <w:bottom w:w="100" w:type="dxa"/>
              <w:right w:w="100" w:type="dxa"/>
            </w:tcMar>
          </w:tcPr>
          <w:p w14:paraId="58230BE2" w14:textId="77777777" w:rsidR="00521992" w:rsidRDefault="00BF6A8C">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Muito resistente</w:t>
            </w:r>
          </w:p>
        </w:tc>
      </w:tr>
    </w:tbl>
    <w:p w14:paraId="3537A7B8" w14:textId="77777777" w:rsidR="00521992" w:rsidRDefault="00BF6A8C">
      <w:pPr>
        <w:spacing w:after="200" w:line="276" w:lineRule="auto"/>
        <w:jc w:val="both"/>
        <w:rPr>
          <w:rFonts w:ascii="Times New Roman" w:eastAsia="Times New Roman" w:hAnsi="Times New Roman" w:cs="Times New Roman"/>
          <w:sz w:val="26"/>
          <w:szCs w:val="26"/>
        </w:rPr>
      </w:pPr>
      <w:r>
        <w:rPr>
          <w:rFonts w:ascii="Times New Roman" w:eastAsia="Times New Roman" w:hAnsi="Times New Roman" w:cs="Times New Roman"/>
        </w:rPr>
        <w:t xml:space="preserve">Fonte: Autores, 2025. </w:t>
      </w:r>
    </w:p>
    <w:p w14:paraId="332A1164" w14:textId="77777777" w:rsidR="00521992" w:rsidRDefault="00BF6A8C">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Resultados semelhantes foram relatados por Servilha (2025)</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que observou baixas porcentagens de perda de massa em ensaios laboratoriais, sugerindo que fatores como tempo de exposição insuficiente</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ou</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duração do ensaio podem limitar a extensão da degradação. De fato, a eficiência de fungos apodrecedores em degradar madeira depende de múltiplos fatores, incluindo densidade do material, condições ambientais (temperatura e umidade) e período de incubação (Huang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2019). Ensaios curtos podem não permitir que os microrganismos completem ciclos de colonização e degr</w:t>
      </w:r>
      <w:r>
        <w:rPr>
          <w:rFonts w:ascii="Times New Roman" w:eastAsia="Times New Roman" w:hAnsi="Times New Roman" w:cs="Times New Roman"/>
          <w:color w:val="000000"/>
          <w:sz w:val="24"/>
          <w:szCs w:val="24"/>
        </w:rPr>
        <w:t>adação significativos, resultando em valores de perda de massa subestimados.</w:t>
      </w:r>
    </w:p>
    <w:p w14:paraId="6FE9F11B" w14:textId="77777777" w:rsidR="00521992" w:rsidRDefault="00BF6A8C">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Além disso, a baixa perda de massa observada pode indicar que os isolados utilizados apresentaram capacidade limitada de degradação</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ou que a madeira de </w:t>
      </w:r>
      <w:r>
        <w:rPr>
          <w:rFonts w:ascii="Times New Roman" w:eastAsia="Times New Roman" w:hAnsi="Times New Roman" w:cs="Times New Roman"/>
          <w:i/>
          <w:iCs/>
          <w:color w:val="000000"/>
          <w:sz w:val="24"/>
          <w:szCs w:val="24"/>
        </w:rPr>
        <w:t>S. morototoni</w:t>
      </w:r>
      <w:r>
        <w:rPr>
          <w:rFonts w:ascii="Times New Roman" w:eastAsia="Times New Roman" w:hAnsi="Times New Roman" w:cs="Times New Roman"/>
          <w:color w:val="000000"/>
          <w:sz w:val="24"/>
          <w:szCs w:val="24"/>
        </w:rPr>
        <w:t xml:space="preserve"> apresenta características intrínsecas ao apodrecimento, como composição química específica (Blanchette, 1991). Esses fatores são determinantes para a velocidade e intensidade do processo de decomposição, sendo essenciais na interpretação de ensaios laboratoriais de apodrecimento.</w:t>
      </w:r>
    </w:p>
    <w:p w14:paraId="7CD39975" w14:textId="77777777" w:rsidR="00521992" w:rsidRDefault="00BF6A8C">
      <w:pPr>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suma, os dados indicam que, apesar da presença de atividade fúngica, a degradação observada foi incipiente, reforçando a necessidade de ensaios mais prolongados ou condições laboratoriais ajustadas para avaliar de forma robusta a ação de fungos apodrecedores sobre a madeira estudada, conforme evidenciado na literatura especializada (Servilha, 2025; Huang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xml:space="preserve"> 2019; Blanchette, 1991).</w:t>
      </w:r>
    </w:p>
    <w:p w14:paraId="5CB3190F" w14:textId="77777777" w:rsidR="00521992" w:rsidRDefault="00BF6A8C">
      <w:pPr>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resultado do presente trabalho sugere que os isolados utilizados no experimento possuem baixa ou inexistente capacidade de deteriorar de forma significativa a estrutura lignocelulósica da madeira de </w:t>
      </w:r>
      <w:r>
        <w:rPr>
          <w:rFonts w:ascii="Times New Roman" w:eastAsia="Times New Roman" w:hAnsi="Times New Roman" w:cs="Times New Roman"/>
          <w:i/>
          <w:iCs/>
          <w:sz w:val="24"/>
          <w:szCs w:val="24"/>
        </w:rPr>
        <w:t>Schefflera morototoni</w:t>
      </w:r>
      <w:r>
        <w:rPr>
          <w:rFonts w:ascii="Times New Roman" w:eastAsia="Times New Roman" w:hAnsi="Times New Roman" w:cs="Times New Roman"/>
          <w:sz w:val="24"/>
          <w:szCs w:val="24"/>
        </w:rPr>
        <w:t>. Ademais, as dez amostras restantes não apresentaram qualquer redução de massa, reforçando a hipótese de que os fungos avaliados não promovem degradação mensurável do material, ao menos nas condições experimentais adotadas.</w:t>
      </w:r>
    </w:p>
    <w:p w14:paraId="5DD54284" w14:textId="77777777" w:rsidR="00521992" w:rsidRDefault="00BF6A8C">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CONCLUSÃO</w:t>
      </w:r>
    </w:p>
    <w:p w14:paraId="5965BBA3" w14:textId="77777777" w:rsidR="00521992" w:rsidRDefault="00BF6A8C">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ausência de perda de massa na maioria dos corpos de prova, aliada ao crescimento micelial superficial observado, sugere que parte dos isolados atuou predominantemente como fungos manchadores ou colonizadores secundários, sem capacidade enzimática suficiente para degradar a estrutura lignocelulósica da madeira. Esses achados reforçam que o simples crescimento micelial não constitui indicador confiável de apodrecimento, sendo imprescindível a análise quantitativa da perda de massa para caracterizar a ação d</w:t>
      </w:r>
      <w:r>
        <w:rPr>
          <w:rFonts w:ascii="Times New Roman" w:eastAsia="Times New Roman" w:hAnsi="Times New Roman" w:cs="Times New Roman"/>
          <w:sz w:val="24"/>
          <w:szCs w:val="24"/>
        </w:rPr>
        <w:t>eterioradora dos fungos.</w:t>
      </w:r>
    </w:p>
    <w:p w14:paraId="2EDC3575" w14:textId="77777777" w:rsidR="00521992" w:rsidRDefault="00BF6A8C">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REFERÊNCIAS</w:t>
      </w:r>
    </w:p>
    <w:p w14:paraId="50FB89CB" w14:textId="77777777" w:rsidR="00521992" w:rsidRDefault="00BF6A8C">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ALVES, M. V. D. S., COSTA, A. F. D., ESPIG, D. D. S., &amp; VALE, A. T. D. Resistência natural de seis espécies de madeiras da região amazônica a fungos apodrecedores, em ensaios de laboratório. </w:t>
      </w:r>
      <w:r>
        <w:rPr>
          <w:rFonts w:ascii="Times New Roman" w:eastAsia="Times New Roman" w:hAnsi="Times New Roman" w:cs="Times New Roman"/>
          <w:b/>
          <w:bCs/>
        </w:rPr>
        <w:t>Ciência Florestal</w:t>
      </w:r>
      <w:r>
        <w:rPr>
          <w:rFonts w:ascii="Times New Roman" w:eastAsia="Times New Roman" w:hAnsi="Times New Roman" w:cs="Times New Roman"/>
        </w:rPr>
        <w:t>, v. 16, n. 1, p. 17-26, 2006.</w:t>
      </w:r>
    </w:p>
    <w:p w14:paraId="5CE204BD" w14:textId="77777777" w:rsidR="00521992" w:rsidRDefault="00BF6A8C">
      <w:pPr>
        <w:spacing w:after="0"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BARBOSA, F. MA; CUAMBE, C. C.; BANDEIRA, S. O. Status and distribution of mangroves in Mozambique. </w:t>
      </w:r>
      <w:r>
        <w:rPr>
          <w:rFonts w:ascii="Times New Roman" w:eastAsia="Times New Roman" w:hAnsi="Times New Roman" w:cs="Times New Roman"/>
          <w:b/>
          <w:bCs/>
          <w:highlight w:val="white"/>
        </w:rPr>
        <w:t>South African Journal of Botany</w:t>
      </w:r>
      <w:r>
        <w:rPr>
          <w:rFonts w:ascii="Times New Roman" w:eastAsia="Times New Roman" w:hAnsi="Times New Roman" w:cs="Times New Roman"/>
          <w:highlight w:val="white"/>
        </w:rPr>
        <w:t>, v. 67, n. 3, p. 393-398, 2001.</w:t>
      </w:r>
    </w:p>
    <w:p w14:paraId="65DCB840" w14:textId="77777777" w:rsidR="00521992" w:rsidRDefault="00521992">
      <w:pPr>
        <w:spacing w:after="0" w:line="360" w:lineRule="auto"/>
        <w:jc w:val="both"/>
        <w:rPr>
          <w:rFonts w:ascii="Times New Roman" w:eastAsia="Times New Roman" w:hAnsi="Times New Roman" w:cs="Times New Roman"/>
          <w:sz w:val="16"/>
          <w:szCs w:val="16"/>
          <w:highlight w:val="white"/>
        </w:rPr>
      </w:pPr>
    </w:p>
    <w:p w14:paraId="5F95572D" w14:textId="77777777" w:rsidR="00521992" w:rsidRDefault="00BF6A8C">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CAMARGO, Tarcisio Francisco de. Resistência natural das madeiras de </w:t>
      </w:r>
      <w:r>
        <w:rPr>
          <w:rFonts w:ascii="Times New Roman" w:eastAsia="Times New Roman" w:hAnsi="Times New Roman" w:cs="Times New Roman"/>
          <w:i/>
          <w:iCs/>
          <w:highlight w:val="white"/>
        </w:rPr>
        <w:t>Liquidambar styraciflua L</w:t>
      </w:r>
      <w:r>
        <w:rPr>
          <w:rFonts w:ascii="Times New Roman" w:eastAsia="Times New Roman" w:hAnsi="Times New Roman" w:cs="Times New Roman"/>
          <w:highlight w:val="white"/>
        </w:rPr>
        <w:t xml:space="preserve">. e </w:t>
      </w:r>
      <w:r>
        <w:rPr>
          <w:rFonts w:ascii="Times New Roman" w:eastAsia="Times New Roman" w:hAnsi="Times New Roman" w:cs="Times New Roman"/>
          <w:i/>
          <w:iCs/>
          <w:highlight w:val="white"/>
        </w:rPr>
        <w:t xml:space="preserve">Pinus patula </w:t>
      </w:r>
      <w:r>
        <w:rPr>
          <w:rFonts w:ascii="Times New Roman" w:eastAsia="Times New Roman" w:hAnsi="Times New Roman" w:cs="Times New Roman"/>
          <w:highlight w:val="white"/>
        </w:rPr>
        <w:t xml:space="preserve">Schltdl. &amp; Cham ao ensaio de apodrecimento acelerado em laboratório. 2019. 38 f. Trabalho de Conclusão de Curso (Bacharelado em Engenharia Florestal) </w:t>
      </w:r>
      <w:r>
        <w:rPr>
          <w:rFonts w:ascii="Times New Roman" w:eastAsia="Times New Roman" w:hAnsi="Times New Roman" w:cs="Times New Roman"/>
          <w:b/>
          <w:bCs/>
          <w:highlight w:val="white"/>
        </w:rPr>
        <w:t>Centro de Ciências Rurai</w:t>
      </w:r>
      <w:r>
        <w:rPr>
          <w:rFonts w:ascii="Times New Roman" w:eastAsia="Times New Roman" w:hAnsi="Times New Roman" w:cs="Times New Roman"/>
          <w:highlight w:val="white"/>
        </w:rPr>
        <w:t>s, Universidade Federal de Santa Catarina, Curitibanos, 2019</w:t>
      </w:r>
    </w:p>
    <w:p w14:paraId="7F3E30B6" w14:textId="77777777" w:rsidR="00521992" w:rsidRDefault="00521992">
      <w:pPr>
        <w:spacing w:after="0" w:line="360" w:lineRule="auto"/>
        <w:jc w:val="both"/>
        <w:rPr>
          <w:rFonts w:ascii="Times New Roman" w:eastAsia="Times New Roman" w:hAnsi="Times New Roman" w:cs="Times New Roman"/>
          <w:highlight w:val="white"/>
        </w:rPr>
      </w:pPr>
    </w:p>
    <w:p w14:paraId="0FDFAE61" w14:textId="77777777" w:rsidR="00521992" w:rsidRDefault="00BF6A8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CARVALHO, D. E., SANTINI, E. J., GOUVEIA, F. N., &amp; ROCHA, M. P. D. Resistência natural de quatro espécies florestais submetidas a ensaio com fungos apodrecedores. </w:t>
      </w:r>
      <w:r>
        <w:rPr>
          <w:rFonts w:ascii="Times New Roman" w:eastAsia="Times New Roman" w:hAnsi="Times New Roman" w:cs="Times New Roman"/>
          <w:b/>
          <w:bCs/>
        </w:rPr>
        <w:t>Floresta e Ambiente</w:t>
      </w:r>
      <w:r>
        <w:rPr>
          <w:rFonts w:ascii="Times New Roman" w:eastAsia="Times New Roman" w:hAnsi="Times New Roman" w:cs="Times New Roman"/>
        </w:rPr>
        <w:t>, v. 22, n. 2, p. 271-276, 2015.</w:t>
      </w:r>
    </w:p>
    <w:p w14:paraId="1331873F" w14:textId="77777777" w:rsidR="00521992" w:rsidRDefault="00521992">
      <w:pPr>
        <w:spacing w:after="0" w:line="360" w:lineRule="auto"/>
        <w:jc w:val="both"/>
        <w:rPr>
          <w:rFonts w:ascii="Times New Roman" w:eastAsia="Times New Roman" w:hAnsi="Times New Roman" w:cs="Times New Roman"/>
          <w:sz w:val="12"/>
          <w:szCs w:val="12"/>
        </w:rPr>
      </w:pPr>
    </w:p>
    <w:p w14:paraId="6E1E44B7" w14:textId="77777777" w:rsidR="00521992" w:rsidRDefault="00BF6A8C">
      <w:pPr>
        <w:spacing w:after="0"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GARZÓN BARRERO, Nubia Mireya. Estudo da durabilidade de painéis de partículas de bagaço de cana-de açúcar e resina poliuretana a base de óleo de mamona para aplicação na construção civil. Tese (Doutorado). Faculdade de Zootecnia e Engenharia de Alimentos,</w:t>
      </w:r>
      <w:r>
        <w:rPr>
          <w:rFonts w:ascii="Times New Roman" w:eastAsia="Times New Roman" w:hAnsi="Times New Roman" w:cs="Times New Roman"/>
          <w:b/>
          <w:bCs/>
          <w:highlight w:val="white"/>
        </w:rPr>
        <w:t xml:space="preserve"> Universidade de São Paulo</w:t>
      </w:r>
      <w:r>
        <w:rPr>
          <w:rFonts w:ascii="Times New Roman" w:eastAsia="Times New Roman" w:hAnsi="Times New Roman" w:cs="Times New Roman"/>
          <w:highlight w:val="white"/>
        </w:rPr>
        <w:t>, Pirassununga, 2015.</w:t>
      </w:r>
    </w:p>
    <w:p w14:paraId="1A3F0F9A" w14:textId="77777777" w:rsidR="00521992" w:rsidRDefault="00521992">
      <w:pPr>
        <w:spacing w:after="0" w:line="360" w:lineRule="auto"/>
        <w:jc w:val="both"/>
        <w:rPr>
          <w:rFonts w:ascii="Times New Roman" w:eastAsia="Times New Roman" w:hAnsi="Times New Roman" w:cs="Times New Roman"/>
          <w:sz w:val="14"/>
          <w:szCs w:val="14"/>
        </w:rPr>
      </w:pPr>
    </w:p>
    <w:p w14:paraId="004648D0" w14:textId="77777777" w:rsidR="00521992" w:rsidRDefault="00BF6A8C">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HANADA, R. E., SALES-CAMPOS, C., ABREU, R. L. S. D., &amp; PFENNING, L. Fungos emboloradores e manchadores de madeira em toras estocadas em indústrias madeireiras no município de Manaus, Amazonas, Brasil. </w:t>
      </w:r>
      <w:r>
        <w:rPr>
          <w:rFonts w:ascii="Times New Roman" w:eastAsia="Times New Roman" w:hAnsi="Times New Roman" w:cs="Times New Roman"/>
          <w:b/>
          <w:bCs/>
          <w:highlight w:val="white"/>
        </w:rPr>
        <w:t>Acta Amazonica</w:t>
      </w:r>
      <w:r>
        <w:rPr>
          <w:rFonts w:ascii="Times New Roman" w:eastAsia="Times New Roman" w:hAnsi="Times New Roman" w:cs="Times New Roman"/>
          <w:highlight w:val="white"/>
        </w:rPr>
        <w:t>, v. 33, p. 483-488, 2003.</w:t>
      </w:r>
    </w:p>
    <w:p w14:paraId="2363FA14" w14:textId="77777777" w:rsidR="00521992" w:rsidRDefault="00521992">
      <w:pPr>
        <w:spacing w:after="0" w:line="360" w:lineRule="auto"/>
        <w:jc w:val="both"/>
        <w:rPr>
          <w:rFonts w:ascii="Times New Roman" w:eastAsia="Times New Roman" w:hAnsi="Times New Roman" w:cs="Times New Roman"/>
          <w:sz w:val="16"/>
          <w:szCs w:val="16"/>
        </w:rPr>
      </w:pPr>
    </w:p>
    <w:p w14:paraId="4D7D92AE" w14:textId="77777777" w:rsidR="00521992" w:rsidRDefault="00BF6A8C">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LOURENÇON, Tainise Vergara; MAGALHÃES, Washington Luiz Esteves. Lignina frente a fungos apodrecedores de madeira. Comunicado Técnico n. 455. Colombo, PR: </w:t>
      </w:r>
      <w:r>
        <w:rPr>
          <w:rFonts w:ascii="Times New Roman" w:eastAsia="Times New Roman" w:hAnsi="Times New Roman" w:cs="Times New Roman"/>
          <w:b/>
          <w:bCs/>
          <w:highlight w:val="white"/>
        </w:rPr>
        <w:t>Embrapa Florestas</w:t>
      </w:r>
      <w:r>
        <w:rPr>
          <w:rFonts w:ascii="Times New Roman" w:eastAsia="Times New Roman" w:hAnsi="Times New Roman" w:cs="Times New Roman"/>
          <w:highlight w:val="white"/>
        </w:rPr>
        <w:t>, out. 2020.</w:t>
      </w:r>
    </w:p>
    <w:p w14:paraId="6570F506" w14:textId="77777777" w:rsidR="00521992" w:rsidRDefault="00521992">
      <w:pPr>
        <w:spacing w:after="0" w:line="360" w:lineRule="auto"/>
        <w:jc w:val="both"/>
        <w:rPr>
          <w:rFonts w:ascii="Times New Roman" w:eastAsia="Times New Roman" w:hAnsi="Times New Roman" w:cs="Times New Roman"/>
          <w:sz w:val="12"/>
          <w:szCs w:val="12"/>
          <w:highlight w:val="white"/>
        </w:rPr>
      </w:pPr>
    </w:p>
    <w:p w14:paraId="3974E2E3" w14:textId="77777777" w:rsidR="00521992" w:rsidRDefault="00BF6A8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MELLO, Felipe Ricardo de. Isolamento e caracterização de fungos de manguezal e prospecção de polipeptídeos bioativos. Trabalho de Conclusão de Curso (Bacharelado em Ciências Biológicas com habilitação em Biologia Marinha). Universidade Estadual Paulista “Júlio de Mesquita Filho”, Instituto de Biociências, Câmpus do Litoral Paulista, São Vicente, 2025.</w:t>
      </w:r>
    </w:p>
    <w:p w14:paraId="5430F408" w14:textId="77777777" w:rsidR="00521992" w:rsidRDefault="00521992">
      <w:pPr>
        <w:spacing w:after="0" w:line="360" w:lineRule="auto"/>
        <w:jc w:val="both"/>
        <w:rPr>
          <w:rFonts w:ascii="Times New Roman" w:eastAsia="Times New Roman" w:hAnsi="Times New Roman" w:cs="Times New Roman"/>
        </w:rPr>
      </w:pPr>
    </w:p>
    <w:p w14:paraId="750EC160" w14:textId="77777777" w:rsidR="00521992" w:rsidRDefault="00BF6A8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MININI, D., Braga, B. D. A., Maria, D. D. M. B., Gmach, F., Albuês, T. A. S., Jesus, W. S., &amp; Monteiro, T. C. Qualidade e processamento da madeira serrada no Brasil: estado da arte. In: </w:t>
      </w:r>
      <w:r>
        <w:rPr>
          <w:rFonts w:ascii="Times New Roman" w:eastAsia="Times New Roman" w:hAnsi="Times New Roman" w:cs="Times New Roman"/>
          <w:b/>
          <w:bCs/>
        </w:rPr>
        <w:t>MADEIRAS NATIVAS E PLANTADAS DO BRASIL: QUALIDADE, PESQUISAS E ATUALIDADES</w:t>
      </w:r>
      <w:r>
        <w:rPr>
          <w:rFonts w:ascii="Times New Roman" w:eastAsia="Times New Roman" w:hAnsi="Times New Roman" w:cs="Times New Roman"/>
        </w:rPr>
        <w:t>. Editora Científica Digital, 2021. p. 401-419.</w:t>
      </w:r>
    </w:p>
    <w:p w14:paraId="521D8459" w14:textId="77777777" w:rsidR="00521992" w:rsidRDefault="00521992">
      <w:pPr>
        <w:spacing w:after="0" w:line="360" w:lineRule="auto"/>
        <w:jc w:val="both"/>
        <w:rPr>
          <w:rFonts w:ascii="Times New Roman" w:eastAsia="Times New Roman" w:hAnsi="Times New Roman" w:cs="Times New Roman"/>
          <w:sz w:val="14"/>
          <w:szCs w:val="14"/>
        </w:rPr>
      </w:pPr>
    </w:p>
    <w:p w14:paraId="516B2991" w14:textId="77777777" w:rsidR="00521992" w:rsidRDefault="00BF6A8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MOTTA, J. P., Oliveira, J. T. D. S., Braz, R. L., Duarte, A. P. C., &amp; Alves, R. C. Caracterização da madeira de quatro espécies florestais. </w:t>
      </w:r>
      <w:r>
        <w:rPr>
          <w:rFonts w:ascii="Times New Roman" w:eastAsia="Times New Roman" w:hAnsi="Times New Roman" w:cs="Times New Roman"/>
          <w:b/>
          <w:bCs/>
        </w:rPr>
        <w:t>Ciência Rural</w:t>
      </w:r>
      <w:r>
        <w:rPr>
          <w:rFonts w:ascii="Times New Roman" w:eastAsia="Times New Roman" w:hAnsi="Times New Roman" w:cs="Times New Roman"/>
        </w:rPr>
        <w:t>, v. 44, n. 12, p. 2186-2192, 2014.</w:t>
      </w:r>
    </w:p>
    <w:p w14:paraId="17267459" w14:textId="77777777" w:rsidR="00521992" w:rsidRDefault="00521992">
      <w:pPr>
        <w:spacing w:after="0" w:line="360" w:lineRule="auto"/>
        <w:jc w:val="both"/>
        <w:rPr>
          <w:rFonts w:ascii="Times New Roman" w:eastAsia="Times New Roman" w:hAnsi="Times New Roman" w:cs="Times New Roman"/>
          <w:sz w:val="14"/>
          <w:szCs w:val="14"/>
        </w:rPr>
      </w:pPr>
    </w:p>
    <w:p w14:paraId="394A378D" w14:textId="77777777" w:rsidR="00521992" w:rsidRDefault="00BF6A8C">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SEVILHA, Rayana Cristina. Avaliação do efeito de fungos prospectados do Cerrado em madeiras de</w:t>
      </w:r>
      <w:r>
        <w:rPr>
          <w:rFonts w:ascii="Times New Roman" w:eastAsia="Times New Roman" w:hAnsi="Times New Roman" w:cs="Times New Roman"/>
          <w:i/>
          <w:iCs/>
          <w:highlight w:val="white"/>
        </w:rPr>
        <w:t xml:space="preserve"> Eucalyptus sp.</w:t>
      </w:r>
      <w:r>
        <w:rPr>
          <w:rFonts w:ascii="Times New Roman" w:eastAsia="Times New Roman" w:hAnsi="Times New Roman" w:cs="Times New Roman"/>
          <w:highlight w:val="white"/>
        </w:rPr>
        <w:t xml:space="preserve"> 2025. Trabalho de Conclusão de Curso (Bacharelado em Engenharia Florestal). </w:t>
      </w:r>
      <w:r>
        <w:rPr>
          <w:rFonts w:ascii="Times New Roman" w:eastAsia="Times New Roman" w:hAnsi="Times New Roman" w:cs="Times New Roman"/>
          <w:b/>
          <w:bCs/>
          <w:highlight w:val="white"/>
        </w:rPr>
        <w:t>Universidade Federal de Uberlândia</w:t>
      </w:r>
      <w:r>
        <w:rPr>
          <w:rFonts w:ascii="Times New Roman" w:eastAsia="Times New Roman" w:hAnsi="Times New Roman" w:cs="Times New Roman"/>
          <w:highlight w:val="white"/>
        </w:rPr>
        <w:t>, Campus Monte Carmelo, Monte Carmelo, 2025.</w:t>
      </w:r>
    </w:p>
    <w:p w14:paraId="6F41DF0E" w14:textId="77777777" w:rsidR="00521992" w:rsidRDefault="00521992">
      <w:pPr>
        <w:spacing w:after="0" w:line="360" w:lineRule="auto"/>
        <w:jc w:val="both"/>
        <w:rPr>
          <w:rFonts w:ascii="Times New Roman" w:eastAsia="Times New Roman" w:hAnsi="Times New Roman" w:cs="Times New Roman"/>
          <w:sz w:val="14"/>
          <w:szCs w:val="14"/>
          <w:highlight w:val="white"/>
        </w:rPr>
      </w:pPr>
    </w:p>
    <w:p w14:paraId="4D171D30" w14:textId="77777777" w:rsidR="00521992" w:rsidRDefault="00BF6A8C">
      <w:p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STANGERLIN, D. M., COSTA, A. F. D., PASTORE, T. C. M., &amp; GARLET, A. . Dureza Rockwell da madeira de três espécies amazônicas submetidas a ensaios de apodrecimento acelerado.</w:t>
      </w:r>
      <w:r>
        <w:rPr>
          <w:rFonts w:ascii="Times New Roman" w:eastAsia="Times New Roman" w:hAnsi="Times New Roman" w:cs="Times New Roman"/>
          <w:b/>
          <w:bCs/>
          <w:highlight w:val="white"/>
        </w:rPr>
        <w:t xml:space="preserve"> Ciência Rural</w:t>
      </w:r>
      <w:r>
        <w:rPr>
          <w:rFonts w:ascii="Times New Roman" w:eastAsia="Times New Roman" w:hAnsi="Times New Roman" w:cs="Times New Roman"/>
          <w:highlight w:val="white"/>
        </w:rPr>
        <w:t>, v. 43, p. 623-630, 2013.</w:t>
      </w:r>
    </w:p>
    <w:p w14:paraId="0AC79315" w14:textId="77777777" w:rsidR="00521992" w:rsidRDefault="00521992">
      <w:pPr>
        <w:spacing w:after="0" w:line="360" w:lineRule="auto"/>
        <w:jc w:val="both"/>
        <w:rPr>
          <w:rFonts w:ascii="Times New Roman" w:eastAsia="Times New Roman" w:hAnsi="Times New Roman" w:cs="Times New Roman"/>
          <w:sz w:val="14"/>
          <w:szCs w:val="14"/>
          <w:highlight w:val="white"/>
        </w:rPr>
      </w:pPr>
    </w:p>
    <w:p w14:paraId="25623B89" w14:textId="77777777" w:rsidR="00521992" w:rsidRDefault="00BF6A8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VIVIAN, M. A. et al. Resistência biológica da madeira tratada de Eucalyptus grandis e Eucalyptus cloeziana a fungos apodrecedores em ensaios de laboratório. </w:t>
      </w:r>
      <w:r>
        <w:rPr>
          <w:rFonts w:ascii="Times New Roman" w:eastAsia="Times New Roman" w:hAnsi="Times New Roman" w:cs="Times New Roman"/>
          <w:b/>
          <w:bCs/>
        </w:rPr>
        <w:t>Ciência Florestal</w:t>
      </w:r>
      <w:r>
        <w:rPr>
          <w:rFonts w:ascii="Times New Roman" w:eastAsia="Times New Roman" w:hAnsi="Times New Roman" w:cs="Times New Roman"/>
        </w:rPr>
        <w:t>, v. 25, p. 175-183, 2015.</w:t>
      </w:r>
    </w:p>
    <w:sectPr w:rsidR="0052199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8BAC" w14:textId="77777777" w:rsidR="00BF6A8C" w:rsidRDefault="00BF6A8C">
      <w:pPr>
        <w:spacing w:after="0" w:line="240" w:lineRule="auto"/>
      </w:pPr>
      <w:r>
        <w:separator/>
      </w:r>
    </w:p>
  </w:endnote>
  <w:endnote w:type="continuationSeparator" w:id="0">
    <w:p w14:paraId="263D5204" w14:textId="77777777" w:rsidR="00BF6A8C" w:rsidRDefault="00BF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760E" w14:textId="77777777" w:rsidR="00521992" w:rsidRDefault="00521992">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6FC8" w14:textId="77777777" w:rsidR="00521992" w:rsidRDefault="00BF6A8C">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55521A3E" wp14:editId="49C5A918">
          <wp:extent cx="603250" cy="19494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03250" cy="194945"/>
                  </a:xfrm>
                  <a:prstGeom prst="rect">
                    <a:avLst/>
                  </a:prstGeom>
                  <a:ln/>
                </pic:spPr>
              </pic:pic>
            </a:graphicData>
          </a:graphic>
        </wp:inline>
      </w:drawing>
    </w:r>
    <w:r>
      <w:rPr>
        <w:color w:val="000000"/>
      </w:rPr>
      <w:t xml:space="preserve"> </w:t>
    </w:r>
    <w:r>
      <w:rPr>
        <w:noProof/>
        <w:color w:val="000000"/>
      </w:rPr>
      <w:drawing>
        <wp:inline distT="0" distB="0" distL="0" distR="0" wp14:anchorId="3EF4DF20" wp14:editId="5320AD8F">
          <wp:extent cx="1416410" cy="47079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416410" cy="470795"/>
                  </a:xfrm>
                  <a:prstGeom prst="rect">
                    <a:avLst/>
                  </a:prstGeom>
                  <a:ln/>
                </pic:spPr>
              </pic:pic>
            </a:graphicData>
          </a:graphic>
        </wp:inline>
      </w:drawing>
    </w:r>
    <w:r>
      <w:rPr>
        <w:color w:val="000000"/>
      </w:rPr>
      <w:t xml:space="preserve">          </w:t>
    </w:r>
    <w:r>
      <w:rPr>
        <w:noProof/>
        <w:color w:val="000000"/>
      </w:rPr>
      <w:drawing>
        <wp:inline distT="0" distB="0" distL="0" distR="0" wp14:anchorId="27AF261C" wp14:editId="0555CDE0">
          <wp:extent cx="420370" cy="24384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420370" cy="243840"/>
                  </a:xfrm>
                  <a:prstGeom prst="rect">
                    <a:avLst/>
                  </a:prstGeom>
                  <a:ln/>
                </pic:spPr>
              </pic:pic>
            </a:graphicData>
          </a:graphic>
        </wp:inline>
      </w:drawing>
    </w:r>
    <w:r>
      <w:rPr>
        <w:color w:val="000000"/>
      </w:rPr>
      <w:t xml:space="preserve">    </w:t>
    </w:r>
    <w:r>
      <w:rPr>
        <w:noProof/>
        <w:color w:val="000000"/>
      </w:rPr>
      <w:drawing>
        <wp:inline distT="0" distB="0" distL="0" distR="0" wp14:anchorId="47C7CBB6" wp14:editId="56DEEDF1">
          <wp:extent cx="542290" cy="384175"/>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
                  <a:srcRect/>
                  <a:stretch>
                    <a:fillRect/>
                  </a:stretch>
                </pic:blipFill>
                <pic:spPr>
                  <a:xfrm>
                    <a:off x="0" y="0"/>
                    <a:ext cx="542290" cy="384175"/>
                  </a:xfrm>
                  <a:prstGeom prst="rect">
                    <a:avLst/>
                  </a:prstGeom>
                  <a:ln/>
                </pic:spPr>
              </pic:pic>
            </a:graphicData>
          </a:graphic>
        </wp:inline>
      </w:drawing>
    </w:r>
    <w:r>
      <w:rPr>
        <w:color w:val="000000"/>
      </w:rPr>
      <w:t xml:space="preserve">      </w:t>
    </w:r>
    <w:r>
      <w:rPr>
        <w:noProof/>
        <w:color w:val="000000"/>
      </w:rPr>
      <w:drawing>
        <wp:inline distT="0" distB="0" distL="0" distR="0" wp14:anchorId="415B14D0" wp14:editId="5E3A365E">
          <wp:extent cx="914400" cy="353695"/>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914400" cy="353695"/>
                  </a:xfrm>
                  <a:prstGeom prst="rect">
                    <a:avLst/>
                  </a:prstGeom>
                  <a:ln/>
                </pic:spPr>
              </pic:pic>
            </a:graphicData>
          </a:graphic>
        </wp:inline>
      </w:drawing>
    </w:r>
    <w:r>
      <w:rPr>
        <w:color w:val="000000"/>
      </w:rPr>
      <w:t xml:space="preserve">   </w:t>
    </w:r>
    <w:r>
      <w:rPr>
        <w:noProof/>
        <w:color w:val="000000"/>
      </w:rPr>
      <w:drawing>
        <wp:inline distT="0" distB="0" distL="0" distR="0" wp14:anchorId="7A44A6EF" wp14:editId="36C52984">
          <wp:extent cx="762000" cy="335280"/>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762000" cy="33528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35D6" w14:textId="77777777" w:rsidR="00521992" w:rsidRDefault="0052199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F0DD" w14:textId="77777777" w:rsidR="00BF6A8C" w:rsidRDefault="00BF6A8C">
      <w:pPr>
        <w:spacing w:after="0" w:line="240" w:lineRule="auto"/>
      </w:pPr>
      <w:r>
        <w:separator/>
      </w:r>
    </w:p>
  </w:footnote>
  <w:footnote w:type="continuationSeparator" w:id="0">
    <w:p w14:paraId="4168C7E6" w14:textId="77777777" w:rsidR="00BF6A8C" w:rsidRDefault="00BF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BB89" w14:textId="77777777" w:rsidR="00521992" w:rsidRDefault="00521992">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4064" w14:textId="77777777" w:rsidR="00521992" w:rsidRDefault="00BF6A8C">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03B5457D" wp14:editId="5C376CB4">
          <wp:extent cx="3253105" cy="1610360"/>
          <wp:effectExtent l="0" t="0" r="0" b="0"/>
          <wp:docPr id="5" name="image5.pn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5.png" descr="Logotipo, nome da empresa&#10;&#10;O conteúdo gerado por IA pode estar incorreto."/>
                  <pic:cNvPicPr preferRelativeResize="0"/>
                </pic:nvPicPr>
                <pic:blipFill>
                  <a:blip r:embed="rId1"/>
                  <a:srcRect l="2865" t="33993" r="-2171" b="26667"/>
                  <a:stretch>
                    <a:fillRect/>
                  </a:stretch>
                </pic:blipFill>
                <pic:spPr>
                  <a:xfrm>
                    <a:off x="0" y="0"/>
                    <a:ext cx="3253105" cy="161036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E26B" w14:textId="77777777" w:rsidR="00521992" w:rsidRDefault="00521992">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TrueTypeFont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92"/>
    <w:rsid w:val="00521992"/>
    <w:rsid w:val="007337D7"/>
    <w:rsid w:val="00BF6A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6608C59"/>
  <w15:docId w15:val="{6D4D7F29-1AB8-6148-9B23-535E7E86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bCs/>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image" Target="media/image1.png"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mailto:milenybarrospessoa7@gmail.com" TargetMode="External" /><Relationship Id="rId11" Type="http://schemas.openxmlformats.org/officeDocument/2006/relationships/header" Target="header2.xml" /><Relationship Id="rId5" Type="http://schemas.openxmlformats.org/officeDocument/2006/relationships/endnotes" Target="end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image" Target="media/image3.png" /><Relationship Id="rId14" Type="http://schemas.openxmlformats.org/officeDocument/2006/relationships/header" Target="header3.xml" /></Relationships>
</file>

<file path=word/_rels/footer2.xml.rels><?xml version="1.0" encoding="UTF-8" standalone="yes"?>
<Relationships xmlns="http://schemas.openxmlformats.org/package/2006/relationships"><Relationship Id="rId3" Type="http://schemas.openxmlformats.org/officeDocument/2006/relationships/image" Target="media/image7.png" /><Relationship Id="rId2" Type="http://schemas.openxmlformats.org/officeDocument/2006/relationships/image" Target="media/image6.png" /><Relationship Id="rId1" Type="http://schemas.openxmlformats.org/officeDocument/2006/relationships/image" Target="media/image5.png" /><Relationship Id="rId6" Type="http://schemas.openxmlformats.org/officeDocument/2006/relationships/image" Target="media/image10.png" /><Relationship Id="rId5" Type="http://schemas.openxmlformats.org/officeDocument/2006/relationships/image" Target="media/image9.png" /><Relationship Id="rId4" Type="http://schemas.openxmlformats.org/officeDocument/2006/relationships/image" Target="media/image8.png" /></Relationships>
</file>

<file path=word/_rels/header2.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2602</Words>
  <Characters>14056</Characters>
  <Application>Microsoft Office Word</Application>
  <DocSecurity>0</DocSecurity>
  <Lines>117</Lines>
  <Paragraphs>33</Paragraphs>
  <ScaleCrop>false</ScaleCrop>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milenybarrospessoa7@gmail.com</cp:lastModifiedBy>
  <cp:revision>2</cp:revision>
  <dcterms:created xsi:type="dcterms:W3CDTF">2025-12-06T14:06:00Z</dcterms:created>
  <dcterms:modified xsi:type="dcterms:W3CDTF">2025-12-06T14:06:00Z</dcterms:modified>
</cp:coreProperties>
</file>