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01628" w14:textId="79AACBE7" w:rsidR="00713C8F" w:rsidRPr="00416EBB" w:rsidRDefault="00713C8F" w:rsidP="005A126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0736E82" w14:textId="329542CA" w:rsidR="00652C03" w:rsidRPr="00416EBB" w:rsidRDefault="00AA1780" w:rsidP="00AA17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6EBB">
        <w:rPr>
          <w:rFonts w:ascii="Times New Roman" w:hAnsi="Times New Roman" w:cs="Times New Roman"/>
          <w:b/>
          <w:bCs/>
          <w:sz w:val="24"/>
          <w:szCs w:val="24"/>
        </w:rPr>
        <w:t>FLORÍSTICA DE GRAMÍNEAS E CIPERÁCEAS EM AMBIENTE URBANO AMAZÔNICO: ESTUDO NO ICUÍ-GUAJARÁ, PARÁ</w:t>
      </w:r>
    </w:p>
    <w:p w14:paraId="05CBE253" w14:textId="77777777" w:rsidR="00AA1780" w:rsidRPr="00416EBB" w:rsidRDefault="00AA1780" w:rsidP="00AA178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381150" w14:textId="3EEEC50F" w:rsidR="0066529D" w:rsidRPr="00416EBB" w:rsidRDefault="00090B12" w:rsidP="00F06AEF">
      <w:pPr>
        <w:pStyle w:val="NormalWeb"/>
        <w:spacing w:before="0" w:beforeAutospacing="0" w:after="0" w:afterAutospacing="0"/>
        <w:jc w:val="center"/>
        <w:rPr>
          <w:rFonts w:eastAsia="SimSun"/>
          <w:u w:val="single"/>
        </w:rPr>
      </w:pPr>
      <w:r w:rsidRPr="00416EBB">
        <w:rPr>
          <w:rFonts w:eastAsia="SimSun"/>
        </w:rPr>
        <w:t>¹</w:t>
      </w:r>
      <w:r w:rsidR="00F06AEF" w:rsidRPr="00416EBB">
        <w:rPr>
          <w:rFonts w:eastAsia="SimSun"/>
        </w:rPr>
        <w:t xml:space="preserve"> </w:t>
      </w:r>
      <w:r w:rsidRPr="00416EBB">
        <w:rPr>
          <w:rFonts w:eastAsia="SimSun"/>
        </w:rPr>
        <w:t>Eduarda Cristina Rodrigues Moreira</w:t>
      </w:r>
      <w:r w:rsidR="00F06AEF" w:rsidRPr="00416EBB">
        <w:rPr>
          <w:rFonts w:eastAsia="SimSun"/>
        </w:rPr>
        <w:t xml:space="preserve">; </w:t>
      </w:r>
      <w:r w:rsidRPr="00416EBB">
        <w:rPr>
          <w:rFonts w:eastAsia="SimSun"/>
        </w:rPr>
        <w:t>²</w:t>
      </w:r>
      <w:r w:rsidR="00F06AEF" w:rsidRPr="00416EBB">
        <w:rPr>
          <w:rFonts w:eastAsia="SimSun"/>
        </w:rPr>
        <w:t xml:space="preserve"> Gabriel </w:t>
      </w:r>
      <w:proofErr w:type="spellStart"/>
      <w:r w:rsidR="00F06AEF" w:rsidRPr="00416EBB">
        <w:rPr>
          <w:rFonts w:eastAsia="SimSun"/>
        </w:rPr>
        <w:t>Kauê</w:t>
      </w:r>
      <w:proofErr w:type="spellEnd"/>
      <w:r w:rsidR="00F06AEF" w:rsidRPr="00416EBB">
        <w:rPr>
          <w:rFonts w:eastAsia="SimSun"/>
        </w:rPr>
        <w:t xml:space="preserve"> Pereira Vieira</w:t>
      </w:r>
      <w:r w:rsidRPr="00416EBB">
        <w:rPr>
          <w:rFonts w:eastAsia="SimSun"/>
        </w:rPr>
        <w:t>;</w:t>
      </w:r>
      <w:r w:rsidR="00F06AEF" w:rsidRPr="00416EBB">
        <w:rPr>
          <w:rFonts w:eastAsia="SimSun"/>
        </w:rPr>
        <w:t xml:space="preserve"> </w:t>
      </w:r>
      <w:r w:rsidR="00F06AEF" w:rsidRPr="00416EBB">
        <w:rPr>
          <w:rFonts w:eastAsia="SimSun"/>
          <w:u w:val="single"/>
        </w:rPr>
        <w:t xml:space="preserve">³ </w:t>
      </w:r>
      <w:r w:rsidRPr="00416EBB">
        <w:rPr>
          <w:rFonts w:eastAsia="SimSun"/>
          <w:u w:val="single"/>
        </w:rPr>
        <w:t>Eunice Gonçalves Macedo</w:t>
      </w:r>
    </w:p>
    <w:p w14:paraId="1758FD10" w14:textId="77777777" w:rsidR="00C82A5E" w:rsidRPr="00416EBB" w:rsidRDefault="00C82A5E" w:rsidP="002648AF">
      <w:pPr>
        <w:pStyle w:val="NormalWeb"/>
        <w:spacing w:before="0" w:beforeAutospacing="0" w:after="0" w:afterAutospacing="0"/>
        <w:jc w:val="center"/>
        <w:rPr>
          <w:rFonts w:eastAsia="SimSun"/>
        </w:rPr>
      </w:pPr>
    </w:p>
    <w:p w14:paraId="736B1ADD" w14:textId="348ABB9A" w:rsidR="00353568" w:rsidRPr="00416EBB" w:rsidRDefault="00353568" w:rsidP="00353568">
      <w:pPr>
        <w:pStyle w:val="NormalWeb"/>
        <w:spacing w:before="0" w:beforeAutospacing="0" w:after="0" w:afterAutospacing="0"/>
        <w:jc w:val="center"/>
        <w:rPr>
          <w:rFonts w:eastAsia="SimSun"/>
        </w:rPr>
      </w:pPr>
      <w:r w:rsidRPr="00416EBB">
        <w:rPr>
          <w:rFonts w:eastAsia="SimSun"/>
        </w:rPr>
        <w:t>¹ Graduanda em Engenharia Florestal, Universidade do Estado do Pará (UEPA), Campus XXII, Ananindeua, PA, Brasil. E-mail: eduarda.cr.moreira@aluno.uepa.br</w:t>
      </w:r>
    </w:p>
    <w:p w14:paraId="59586E0A" w14:textId="77777777" w:rsidR="00353568" w:rsidRPr="00416EBB" w:rsidRDefault="00353568" w:rsidP="00353568">
      <w:pPr>
        <w:pStyle w:val="NormalWeb"/>
        <w:spacing w:before="0" w:beforeAutospacing="0" w:after="0" w:afterAutospacing="0"/>
        <w:jc w:val="center"/>
        <w:rPr>
          <w:rFonts w:eastAsia="SimSun"/>
        </w:rPr>
      </w:pPr>
    </w:p>
    <w:p w14:paraId="6EF293EE" w14:textId="19310EAC" w:rsidR="00353568" w:rsidRPr="00416EBB" w:rsidRDefault="00353568" w:rsidP="00353568">
      <w:pPr>
        <w:pStyle w:val="NormalWeb"/>
        <w:spacing w:before="0" w:beforeAutospacing="0" w:after="0" w:afterAutospacing="0"/>
        <w:jc w:val="center"/>
        <w:rPr>
          <w:rFonts w:eastAsia="SimSun"/>
        </w:rPr>
      </w:pPr>
      <w:r w:rsidRPr="00416EBB">
        <w:rPr>
          <w:rFonts w:eastAsia="SimSun"/>
        </w:rPr>
        <w:t>² Graduando em Engenharia Florestal, Universidade do Estado do Pará (UEPA), Campus XXII, Ananindeua, PA, Brasil. E-mail: gabriel.kp.vieira@aluno.uepa.br</w:t>
      </w:r>
    </w:p>
    <w:p w14:paraId="43C8EA1E" w14:textId="77777777" w:rsidR="00353568" w:rsidRPr="00416EBB" w:rsidRDefault="00353568" w:rsidP="00353568">
      <w:pPr>
        <w:pStyle w:val="NormalWeb"/>
        <w:spacing w:before="0" w:beforeAutospacing="0" w:after="0" w:afterAutospacing="0"/>
        <w:jc w:val="center"/>
        <w:rPr>
          <w:rFonts w:eastAsia="SimSun"/>
        </w:rPr>
      </w:pPr>
    </w:p>
    <w:p w14:paraId="6B221735" w14:textId="5B42D23B" w:rsidR="00353568" w:rsidRPr="00416EBB" w:rsidRDefault="00353568" w:rsidP="00353568">
      <w:pPr>
        <w:pStyle w:val="NormalWeb"/>
        <w:spacing w:before="0" w:beforeAutospacing="0" w:after="0" w:afterAutospacing="0"/>
        <w:jc w:val="center"/>
        <w:rPr>
          <w:rFonts w:eastAsia="SimSun"/>
        </w:rPr>
      </w:pPr>
      <w:r w:rsidRPr="00416EBB">
        <w:rPr>
          <w:rFonts w:eastAsia="SimSun"/>
        </w:rPr>
        <w:t xml:space="preserve">³ Doutorado em Biodiversidade e Biotecnologia. </w:t>
      </w:r>
      <w:r w:rsidR="00416EBB" w:rsidRPr="00416EBB">
        <w:rPr>
          <w:rFonts w:eastAsia="SimSun"/>
        </w:rPr>
        <w:t xml:space="preserve">Departamento de Ciências Naturais e Tecnologia/ Engenharia Florestal. </w:t>
      </w:r>
      <w:r w:rsidRPr="00416EBB">
        <w:rPr>
          <w:rFonts w:eastAsia="SimSun"/>
        </w:rPr>
        <w:t>E-mail: Macedo@uepa.br</w:t>
      </w:r>
    </w:p>
    <w:p w14:paraId="70C6FE3A" w14:textId="77777777" w:rsidR="002D59C3" w:rsidRPr="00416EBB" w:rsidRDefault="002D59C3" w:rsidP="002648AF">
      <w:pPr>
        <w:pStyle w:val="NormalWeb"/>
        <w:spacing w:before="0" w:beforeAutospacing="0" w:after="0" w:afterAutospacing="0"/>
        <w:rPr>
          <w:rFonts w:eastAsia="SimSun"/>
        </w:rPr>
      </w:pPr>
    </w:p>
    <w:p w14:paraId="24E901EE" w14:textId="19FBBC70" w:rsidR="005A126A" w:rsidRPr="00416EBB" w:rsidRDefault="002D59C3" w:rsidP="005A126A">
      <w:pPr>
        <w:pStyle w:val="NormalWeb"/>
        <w:spacing w:before="0" w:beforeAutospacing="0" w:after="0" w:afterAutospacing="0"/>
        <w:jc w:val="center"/>
        <w:rPr>
          <w:rFonts w:eastAsia="SimSun"/>
          <w:b/>
          <w:bCs/>
          <w:u w:val="thick"/>
        </w:rPr>
      </w:pPr>
      <w:r w:rsidRPr="00416EBB">
        <w:rPr>
          <w:rFonts w:eastAsia="SimSun"/>
          <w:b/>
          <w:bCs/>
          <w:u w:val="thick"/>
        </w:rPr>
        <w:t>RESUMO</w:t>
      </w:r>
    </w:p>
    <w:p w14:paraId="3CA87C9B" w14:textId="77777777" w:rsidR="004D0D7A" w:rsidRPr="00416EBB" w:rsidRDefault="004D0D7A" w:rsidP="005A126A">
      <w:pPr>
        <w:pStyle w:val="NormalWeb"/>
        <w:spacing w:before="0" w:beforeAutospacing="0" w:after="0" w:afterAutospacing="0"/>
        <w:jc w:val="center"/>
        <w:rPr>
          <w:rFonts w:eastAsia="SimSun"/>
          <w:b/>
          <w:bCs/>
          <w:u w:val="thick"/>
        </w:rPr>
      </w:pPr>
    </w:p>
    <w:p w14:paraId="6E321338" w14:textId="42FC79F9" w:rsidR="00E0083E" w:rsidRPr="00416EBB" w:rsidRDefault="00E0083E" w:rsidP="00A33BB0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416EBB">
        <w:rPr>
          <w:rFonts w:ascii="Times New Roman" w:eastAsia="SimSun" w:hAnsi="Times New Roman" w:cs="Times New Roman"/>
          <w:sz w:val="24"/>
          <w:szCs w:val="24"/>
        </w:rPr>
        <w:t xml:space="preserve">O estudo teve como objeto de investigação a composição florística das famílias Poaceae e Cyperaceae em áreas urbanas do bairro </w:t>
      </w:r>
      <w:proofErr w:type="spellStart"/>
      <w:r w:rsidRPr="00416EBB">
        <w:rPr>
          <w:rFonts w:ascii="Times New Roman" w:eastAsia="SimSun" w:hAnsi="Times New Roman" w:cs="Times New Roman"/>
          <w:sz w:val="24"/>
          <w:szCs w:val="24"/>
        </w:rPr>
        <w:t>Icuí</w:t>
      </w:r>
      <w:proofErr w:type="spellEnd"/>
      <w:r w:rsidRPr="00416EBB">
        <w:rPr>
          <w:rFonts w:ascii="Times New Roman" w:eastAsia="SimSun" w:hAnsi="Times New Roman" w:cs="Times New Roman"/>
          <w:sz w:val="24"/>
          <w:szCs w:val="24"/>
        </w:rPr>
        <w:t xml:space="preserve">-Guajará, Campus XXII da UEPA, Ananindeua-PA. O problema abordado refere-se à redução das áreas verdes </w:t>
      </w:r>
      <w:r w:rsidR="00567CFD" w:rsidRPr="00416EBB">
        <w:rPr>
          <w:rFonts w:ascii="Times New Roman" w:eastAsia="SimSun" w:hAnsi="Times New Roman" w:cs="Times New Roman"/>
          <w:sz w:val="24"/>
          <w:szCs w:val="24"/>
        </w:rPr>
        <w:t>em virtude da</w:t>
      </w:r>
      <w:r w:rsidRPr="00416EBB">
        <w:rPr>
          <w:rFonts w:ascii="Times New Roman" w:eastAsia="SimSun" w:hAnsi="Times New Roman" w:cs="Times New Roman"/>
          <w:sz w:val="24"/>
          <w:szCs w:val="24"/>
        </w:rPr>
        <w:t xml:space="preserve"> urbanização, levantando a questão de como essas espécies contribuem para a recuperação ambiental em ambientes urbanos. A justificativa do estudo baseia-se na importância ecológica dessas espécies, que atuam na estabilização do solo, retenção de umidade, ciclagem de nutrientes e como </w:t>
      </w:r>
      <w:proofErr w:type="spellStart"/>
      <w:r w:rsidRPr="00416EBB">
        <w:rPr>
          <w:rFonts w:ascii="Times New Roman" w:eastAsia="SimSun" w:hAnsi="Times New Roman" w:cs="Times New Roman"/>
          <w:sz w:val="24"/>
          <w:szCs w:val="24"/>
        </w:rPr>
        <w:t>bioindicadoras</w:t>
      </w:r>
      <w:proofErr w:type="spellEnd"/>
      <w:r w:rsidRPr="00416EBB">
        <w:rPr>
          <w:rFonts w:ascii="Times New Roman" w:eastAsia="SimSun" w:hAnsi="Times New Roman" w:cs="Times New Roman"/>
          <w:sz w:val="24"/>
          <w:szCs w:val="24"/>
        </w:rPr>
        <w:t xml:space="preserve"> da qualidade ambiental. O objetivo geral foi levantar a composição florística das famílias estudadas e avaliar sua função na regeneração ambiental. Os objetivos específicos incluíram catalogar e identificar as espécies, classificar sua origem (nativa ou exótica) e analisar suas funções ecológicas. A metodologia envolveu duas coletas em setembro de 2025, com registro fotográfico e catalogação dos espécimes, identificação por literatura especializada e consulta a especialistas, utilizando o sistema APG IV (2016) e descrição de hábitos. Nos resultados, foram registradas 10 espécies, sendo cinco de Cyperaceae e cinco de Poaceae, com três exóticas e sete nativas. Espécies como </w:t>
      </w:r>
      <w:proofErr w:type="spellStart"/>
      <w:r w:rsidRPr="00416EBB">
        <w:rPr>
          <w:rFonts w:ascii="Times New Roman" w:eastAsia="SimSun" w:hAnsi="Times New Roman" w:cs="Times New Roman"/>
          <w:i/>
          <w:iCs/>
          <w:sz w:val="24"/>
          <w:szCs w:val="24"/>
        </w:rPr>
        <w:t>Rhynchospora</w:t>
      </w:r>
      <w:proofErr w:type="spellEnd"/>
      <w:r w:rsidRPr="00416EBB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16EBB">
        <w:rPr>
          <w:rFonts w:ascii="Times New Roman" w:eastAsia="SimSun" w:hAnsi="Times New Roman" w:cs="Times New Roman"/>
          <w:i/>
          <w:iCs/>
          <w:sz w:val="24"/>
          <w:szCs w:val="24"/>
        </w:rPr>
        <w:t>cephalotes</w:t>
      </w:r>
      <w:proofErr w:type="spellEnd"/>
      <w:r w:rsidRPr="00416EBB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416EBB">
        <w:rPr>
          <w:rFonts w:ascii="Times New Roman" w:eastAsia="SimSun" w:hAnsi="Times New Roman" w:cs="Times New Roman"/>
          <w:i/>
          <w:iCs/>
          <w:sz w:val="24"/>
          <w:szCs w:val="24"/>
        </w:rPr>
        <w:t>Cyperus</w:t>
      </w:r>
      <w:proofErr w:type="spellEnd"/>
      <w:r w:rsidRPr="00416EBB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16EBB">
        <w:rPr>
          <w:rFonts w:ascii="Times New Roman" w:eastAsia="SimSun" w:hAnsi="Times New Roman" w:cs="Times New Roman"/>
          <w:i/>
          <w:iCs/>
          <w:sz w:val="24"/>
          <w:szCs w:val="24"/>
        </w:rPr>
        <w:t>luzulae</w:t>
      </w:r>
      <w:proofErr w:type="spellEnd"/>
      <w:r w:rsidRPr="00416EBB">
        <w:rPr>
          <w:rFonts w:ascii="Times New Roman" w:eastAsia="SimSun" w:hAnsi="Times New Roman" w:cs="Times New Roman"/>
          <w:sz w:val="24"/>
          <w:szCs w:val="24"/>
        </w:rPr>
        <w:t xml:space="preserve"> e </w:t>
      </w:r>
      <w:proofErr w:type="spellStart"/>
      <w:r w:rsidRPr="00416EBB">
        <w:rPr>
          <w:rFonts w:ascii="Times New Roman" w:eastAsia="SimSun" w:hAnsi="Times New Roman" w:cs="Times New Roman"/>
          <w:i/>
          <w:iCs/>
          <w:sz w:val="24"/>
          <w:szCs w:val="24"/>
        </w:rPr>
        <w:t>Paspalum</w:t>
      </w:r>
      <w:proofErr w:type="spellEnd"/>
      <w:r w:rsidRPr="00416EBB"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16EBB">
        <w:rPr>
          <w:rFonts w:ascii="Times New Roman" w:eastAsia="SimSun" w:hAnsi="Times New Roman" w:cs="Times New Roman"/>
          <w:i/>
          <w:iCs/>
          <w:sz w:val="24"/>
          <w:szCs w:val="24"/>
        </w:rPr>
        <w:t>paniculatum</w:t>
      </w:r>
      <w:proofErr w:type="spellEnd"/>
      <w:r w:rsidRPr="00416EBB">
        <w:rPr>
          <w:rFonts w:ascii="Times New Roman" w:eastAsia="SimSun" w:hAnsi="Times New Roman" w:cs="Times New Roman"/>
          <w:sz w:val="24"/>
          <w:szCs w:val="24"/>
        </w:rPr>
        <w:t xml:space="preserve"> destacaram-se na recuperação ambiental. Conclui-se que essas espécies exercem funções ecológicas essenciais, reforçando a importância de conservar e manejar os remanescentes verdes urbanos do </w:t>
      </w:r>
      <w:proofErr w:type="spellStart"/>
      <w:r w:rsidRPr="00416EBB">
        <w:rPr>
          <w:rFonts w:ascii="Times New Roman" w:eastAsia="SimSun" w:hAnsi="Times New Roman" w:cs="Times New Roman"/>
          <w:sz w:val="24"/>
          <w:szCs w:val="24"/>
        </w:rPr>
        <w:t>Icuí</w:t>
      </w:r>
      <w:proofErr w:type="spellEnd"/>
      <w:r w:rsidRPr="00416EBB">
        <w:rPr>
          <w:rFonts w:ascii="Times New Roman" w:eastAsia="SimSun" w:hAnsi="Times New Roman" w:cs="Times New Roman"/>
          <w:sz w:val="24"/>
          <w:szCs w:val="24"/>
        </w:rPr>
        <w:t>-Guajará.</w:t>
      </w:r>
    </w:p>
    <w:p w14:paraId="1D4BE7BB" w14:textId="4661C779" w:rsidR="0067315A" w:rsidRPr="00416EBB" w:rsidRDefault="0067315A" w:rsidP="002648AF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55B6509B" w14:textId="4E3F3C20" w:rsidR="00D365F1" w:rsidRPr="00416EBB" w:rsidRDefault="007814F9" w:rsidP="002648A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416EBB">
        <w:rPr>
          <w:rFonts w:ascii="Times New Roman" w:eastAsia="SimSun" w:hAnsi="Times New Roman" w:cs="Times New Roman"/>
          <w:b/>
          <w:bCs/>
          <w:sz w:val="24"/>
          <w:szCs w:val="24"/>
        </w:rPr>
        <w:t>Palavras-chave:</w:t>
      </w:r>
      <w:r w:rsidR="00732D6A" w:rsidRPr="00416EB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67315A" w:rsidRPr="00416EBB">
        <w:rPr>
          <w:rFonts w:ascii="Times New Roman" w:eastAsia="SimSun" w:hAnsi="Times New Roman" w:cs="Times New Roman"/>
          <w:sz w:val="24"/>
          <w:szCs w:val="24"/>
        </w:rPr>
        <w:t xml:space="preserve">Área </w:t>
      </w:r>
      <w:r w:rsidRPr="00416EBB">
        <w:rPr>
          <w:rFonts w:ascii="Times New Roman" w:eastAsia="SimSun" w:hAnsi="Times New Roman" w:cs="Times New Roman"/>
          <w:sz w:val="24"/>
          <w:szCs w:val="24"/>
        </w:rPr>
        <w:t>urbana.</w:t>
      </w:r>
      <w:r w:rsidR="0067315A" w:rsidRPr="00416EBB">
        <w:rPr>
          <w:rFonts w:ascii="Times New Roman" w:eastAsia="SimSun" w:hAnsi="Times New Roman" w:cs="Times New Roman"/>
          <w:sz w:val="24"/>
          <w:szCs w:val="24"/>
        </w:rPr>
        <w:t xml:space="preserve"> Identificação botânica. Espécies ruderais.</w:t>
      </w:r>
    </w:p>
    <w:p w14:paraId="717659B8" w14:textId="77777777" w:rsidR="00D365F1" w:rsidRPr="00416EBB" w:rsidRDefault="00D365F1" w:rsidP="002648A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40FD4CF9" w14:textId="6978D845" w:rsidR="00D365F1" w:rsidRPr="00416EBB" w:rsidRDefault="00D365F1" w:rsidP="002648A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416EBB">
        <w:rPr>
          <w:rFonts w:ascii="Times New Roman" w:eastAsia="SimSun" w:hAnsi="Times New Roman" w:cs="Times New Roman"/>
          <w:b/>
          <w:bCs/>
          <w:sz w:val="24"/>
          <w:szCs w:val="24"/>
        </w:rPr>
        <w:t>Área de Interesse</w:t>
      </w:r>
      <w:r w:rsidRPr="00416EBB">
        <w:rPr>
          <w:rFonts w:ascii="Times New Roman" w:eastAsia="SimSun" w:hAnsi="Times New Roman" w:cs="Times New Roman"/>
          <w:sz w:val="24"/>
          <w:szCs w:val="24"/>
        </w:rPr>
        <w:t>: Ciências Agrárias</w:t>
      </w:r>
      <w:r w:rsidR="005A126A" w:rsidRPr="00416EBB">
        <w:rPr>
          <w:rFonts w:ascii="Times New Roman" w:eastAsia="SimSun" w:hAnsi="Times New Roman" w:cs="Times New Roman"/>
          <w:sz w:val="24"/>
          <w:szCs w:val="24"/>
        </w:rPr>
        <w:t>.</w:t>
      </w:r>
    </w:p>
    <w:p w14:paraId="5776327A" w14:textId="77777777" w:rsidR="00C613C1" w:rsidRPr="00416EBB" w:rsidRDefault="00C613C1" w:rsidP="002648AF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675B805" w14:textId="3483A9FF" w:rsidR="005A126A" w:rsidRPr="00416EBB" w:rsidRDefault="00C613C1" w:rsidP="00C613C1">
      <w:pPr>
        <w:pStyle w:val="PargrafodaLista"/>
        <w:spacing w:after="0" w:line="240" w:lineRule="auto"/>
        <w:ind w:left="0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416EBB">
        <w:rPr>
          <w:rFonts w:ascii="Times New Roman" w:eastAsia="SimSun" w:hAnsi="Times New Roman" w:cs="Times New Roman"/>
          <w:b/>
          <w:bCs/>
          <w:sz w:val="24"/>
          <w:szCs w:val="24"/>
        </w:rPr>
        <w:t>1. INTRODUÇ</w:t>
      </w:r>
      <w:r w:rsidR="00A33BB0" w:rsidRPr="00416EBB">
        <w:rPr>
          <w:rFonts w:ascii="Times New Roman" w:eastAsia="SimSun" w:hAnsi="Times New Roman" w:cs="Times New Roman"/>
          <w:b/>
          <w:bCs/>
          <w:sz w:val="24"/>
          <w:szCs w:val="24"/>
        </w:rPr>
        <w:t>Ã</w:t>
      </w:r>
      <w:r w:rsidRPr="00416EBB">
        <w:rPr>
          <w:rFonts w:ascii="Times New Roman" w:eastAsia="SimSun" w:hAnsi="Times New Roman" w:cs="Times New Roman"/>
          <w:b/>
          <w:bCs/>
          <w:sz w:val="24"/>
          <w:szCs w:val="24"/>
        </w:rPr>
        <w:t>O</w:t>
      </w:r>
    </w:p>
    <w:p w14:paraId="7AA0FB12" w14:textId="672E2829" w:rsidR="00187C6D" w:rsidRPr="00416EBB" w:rsidRDefault="00187C6D" w:rsidP="00A33BB0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>Os centros urbanos são espaços dinâmicos e, nos últimos anos, têm passado por uma intensificação de mudanças espaciais, evidenciadas principalmente pelo fenômeno do crescimento urbano (</w:t>
      </w:r>
      <w:r w:rsidR="00286301" w:rsidRPr="00416EBB">
        <w:t>Martins</w:t>
      </w:r>
      <w:r w:rsidRPr="00416EBB">
        <w:t>, 2013). Mesmo nesses ambientes, ainda é possível encontrar Áreas Verdes Urbanas (AVU), que, segundo Aronson (2017) e Gómez-</w:t>
      </w:r>
      <w:proofErr w:type="spellStart"/>
      <w:r w:rsidRPr="00416EBB">
        <w:t>Baggethun</w:t>
      </w:r>
      <w:proofErr w:type="spellEnd"/>
      <w:r w:rsidRPr="00416EBB">
        <w:t xml:space="preserve"> (2013), desempenham papel fundamental na conservação da biodiversidade e na provisão de serviços ecossistêmicos.</w:t>
      </w:r>
    </w:p>
    <w:p w14:paraId="0CCCE4AB" w14:textId="0AEAE747" w:rsidR="00187C6D" w:rsidRPr="00416EBB" w:rsidRDefault="00187C6D" w:rsidP="00A33BB0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 xml:space="preserve">Entretanto, de acordo com </w:t>
      </w:r>
      <w:proofErr w:type="spellStart"/>
      <w:r w:rsidRPr="00416EBB">
        <w:t>Streglio</w:t>
      </w:r>
      <w:proofErr w:type="spellEnd"/>
      <w:r w:rsidRPr="00416EBB">
        <w:t>, Ferreira e Oliveira (2013), à medida que o processo de urbanização se intensifica, observa-se um considerável recuo da natureza, o que acarreta diversos problemas ambientais urbanos</w:t>
      </w:r>
      <w:r w:rsidR="00477986" w:rsidRPr="00416EBB">
        <w:t xml:space="preserve">, </w:t>
      </w:r>
      <w:r w:rsidRPr="00416EBB">
        <w:t xml:space="preserve">um dos principais desafios das cidades contemporâneas. Essas áreas urbanas podem abrigar diversas famílias botânicas, entre elas Poaceae e Cyperaceae, ambas pertencentes ao grupo das monocotiledôneas e inseridas na ordem </w:t>
      </w:r>
      <w:proofErr w:type="spellStart"/>
      <w:r w:rsidRPr="00416EBB">
        <w:t>Poales</w:t>
      </w:r>
      <w:proofErr w:type="spellEnd"/>
      <w:r w:rsidRPr="00416EBB">
        <w:t xml:space="preserve"> (APG, 2016).</w:t>
      </w:r>
    </w:p>
    <w:p w14:paraId="2B6D22CE" w14:textId="0E79C751" w:rsidR="00187C6D" w:rsidRPr="00416EBB" w:rsidRDefault="00C33A86" w:rsidP="00A33BB0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 xml:space="preserve">A família Cyperaceae apresenta cerca de cinco mil espécies no mundo, e, no Brasil, são conhecidos 39 gêneros e 655 espécies, das quais cerca de 200 são endêmicas, conforme indicado por Oliveira, Gil e </w:t>
      </w:r>
      <w:proofErr w:type="spellStart"/>
      <w:r w:rsidRPr="00416EBB">
        <w:t>Bove</w:t>
      </w:r>
      <w:proofErr w:type="spellEnd"/>
      <w:r w:rsidRPr="00416EBB">
        <w:t xml:space="preserve"> (2011). </w:t>
      </w:r>
      <w:r w:rsidR="00187C6D" w:rsidRPr="00416EBB">
        <w:t>Esses números têm sido continuamente revisados e, segundo o Flora do Brasil (2025), atualmente são registrados 16 gêneros e 191 espécies ocorrentes na região Norte Amazônica.</w:t>
      </w:r>
    </w:p>
    <w:p w14:paraId="19D05F5F" w14:textId="6AE028BC" w:rsidR="00713C8F" w:rsidRPr="00416EBB" w:rsidRDefault="00187C6D" w:rsidP="00A33BB0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>Já a família Poaceae</w:t>
      </w:r>
      <w:r w:rsidR="00C33A86" w:rsidRPr="00416EBB">
        <w:t xml:space="preserve">, </w:t>
      </w:r>
      <w:proofErr w:type="spellStart"/>
      <w:r w:rsidR="00C33A86" w:rsidRPr="00416EBB">
        <w:t>Filgueiras</w:t>
      </w:r>
      <w:proofErr w:type="spellEnd"/>
      <w:r w:rsidR="00C33A86" w:rsidRPr="00416EBB">
        <w:t xml:space="preserve">, Viana e </w:t>
      </w:r>
      <w:proofErr w:type="spellStart"/>
      <w:r w:rsidR="00C33A86" w:rsidRPr="00416EBB">
        <w:t>Zuloaga</w:t>
      </w:r>
      <w:proofErr w:type="spellEnd"/>
      <w:r w:rsidR="00C33A86" w:rsidRPr="00416EBB">
        <w:t xml:space="preserve"> (2012)</w:t>
      </w:r>
      <w:r w:rsidR="002B22F4" w:rsidRPr="00416EBB">
        <w:t xml:space="preserve"> </w:t>
      </w:r>
      <w:r w:rsidR="00C33A86" w:rsidRPr="00416EBB">
        <w:t>registram</w:t>
      </w:r>
      <w:r w:rsidRPr="00416EBB">
        <w:t xml:space="preserve"> 1.401 espécies distribuídas em 204 gêneros, sendo que, especificamente no estado do Pará, foram identificadas 285 espécies pertencentes a 62 gêneros</w:t>
      </w:r>
      <w:r w:rsidR="00C33A86" w:rsidRPr="00416EBB">
        <w:t xml:space="preserve">. </w:t>
      </w:r>
      <w:r w:rsidRPr="00416EBB">
        <w:t xml:space="preserve">Em áreas de estrato herbáceo, as gramíneas destacam-se como um dos grupos mais ricos, podendo representar mais de 25% do número total de espécies e cobrindo, em média, 63% da </w:t>
      </w:r>
      <w:r w:rsidR="00C33A86" w:rsidRPr="00416EBB">
        <w:t xml:space="preserve">vegetação conforme ressaltado por </w:t>
      </w:r>
      <w:proofErr w:type="spellStart"/>
      <w:r w:rsidR="00C33A86" w:rsidRPr="00416EBB">
        <w:t>Filgueiras</w:t>
      </w:r>
      <w:proofErr w:type="spellEnd"/>
      <w:r w:rsidR="00C33A86" w:rsidRPr="00416EBB">
        <w:t>, Silva e Viana (1998).</w:t>
      </w:r>
      <w:r w:rsidRPr="00416EBB">
        <w:t xml:space="preserve">Dessa forma, este estudo teve como objetivo levantar a composição florística das famílias Cyperaceae e Poaceae no Campus </w:t>
      </w:r>
      <w:r w:rsidR="00D365F1" w:rsidRPr="00416EBB">
        <w:t>XXII</w:t>
      </w:r>
      <w:r w:rsidRPr="00416EBB">
        <w:t xml:space="preserve"> da UEPA, em Ananindeua-PA, visando compreender a biodiversidade em áreas urbanizadas e subsidiar estratégias de manejo e conservação da vegetação remanescente. Busca-se, assim, registrar as espécies presentes e contribuir para o conhecimento científico e a valorização dos espaços verdes urbanos.</w:t>
      </w:r>
    </w:p>
    <w:p w14:paraId="6A6CF11C" w14:textId="77777777" w:rsidR="00652C03" w:rsidRPr="00416EBB" w:rsidRDefault="00652C03" w:rsidP="00E0083E">
      <w:pPr>
        <w:pStyle w:val="NormalWeb"/>
        <w:spacing w:before="0" w:beforeAutospacing="0" w:after="0" w:afterAutospacing="0" w:line="360" w:lineRule="auto"/>
        <w:ind w:firstLine="709"/>
        <w:jc w:val="both"/>
      </w:pPr>
    </w:p>
    <w:p w14:paraId="78BE3F65" w14:textId="03D05147" w:rsidR="001B5D71" w:rsidRPr="00416EBB" w:rsidRDefault="00C613C1" w:rsidP="005A126A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16EBB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C33A86" w:rsidRPr="00416EBB">
        <w:rPr>
          <w:rFonts w:ascii="Times New Roman" w:hAnsi="Times New Roman" w:cs="Times New Roman"/>
          <w:b/>
          <w:bCs/>
          <w:sz w:val="24"/>
          <w:szCs w:val="24"/>
        </w:rPr>
        <w:t>MATERIAL E</w:t>
      </w:r>
      <w:r w:rsidR="00567CFD" w:rsidRPr="00416EBB">
        <w:rPr>
          <w:rFonts w:ascii="Times New Roman" w:hAnsi="Times New Roman" w:cs="Times New Roman"/>
          <w:b/>
          <w:bCs/>
          <w:sz w:val="24"/>
          <w:szCs w:val="24"/>
        </w:rPr>
        <w:t xml:space="preserve"> MÉTODOS </w:t>
      </w:r>
      <w:r w:rsidR="00836B0A" w:rsidRPr="00416E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CBDCD26" w14:textId="77777777" w:rsidR="0067315A" w:rsidRPr="00416EBB" w:rsidRDefault="001B5D71" w:rsidP="00E008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6EBB">
        <w:rPr>
          <w:rFonts w:ascii="Times New Roman" w:hAnsi="Times New Roman" w:cs="Times New Roman"/>
          <w:sz w:val="24"/>
          <w:szCs w:val="24"/>
        </w:rPr>
        <w:t xml:space="preserve">O presente manuscrito foi conduzido na cidade de Ananindeua, situada na Região Metropolitana de Belém (RMB), no Campus XXII da Universidade do Estado do Pará (UEPA) (Figura 1). A área está localizada no bairro </w:t>
      </w:r>
      <w:proofErr w:type="spellStart"/>
      <w:r w:rsidRPr="00416EBB">
        <w:rPr>
          <w:rFonts w:ascii="Times New Roman" w:hAnsi="Times New Roman" w:cs="Times New Roman"/>
          <w:sz w:val="24"/>
          <w:szCs w:val="24"/>
        </w:rPr>
        <w:t>Icuí</w:t>
      </w:r>
      <w:proofErr w:type="spellEnd"/>
      <w:r w:rsidRPr="00416EBB">
        <w:rPr>
          <w:rFonts w:ascii="Times New Roman" w:hAnsi="Times New Roman" w:cs="Times New Roman"/>
          <w:sz w:val="24"/>
          <w:szCs w:val="24"/>
        </w:rPr>
        <w:t>-Guajará, nas coordenadas geográficas: latitude 1°20'39.15"S e longitude 48°24'28.12"W.</w:t>
      </w:r>
    </w:p>
    <w:p w14:paraId="6188558F" w14:textId="3651ED17" w:rsidR="002D59C3" w:rsidRPr="00416EBB" w:rsidRDefault="001B5D71" w:rsidP="00A33B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16EBB">
        <w:rPr>
          <w:rFonts w:ascii="Times New Roman" w:hAnsi="Times New Roman" w:cs="Times New Roman"/>
          <w:sz w:val="24"/>
          <w:szCs w:val="24"/>
        </w:rPr>
        <w:t xml:space="preserve">De acordo com a classificação climática de </w:t>
      </w:r>
      <w:proofErr w:type="spellStart"/>
      <w:r w:rsidRPr="00416EBB">
        <w:rPr>
          <w:rFonts w:ascii="Times New Roman" w:hAnsi="Times New Roman" w:cs="Times New Roman"/>
          <w:sz w:val="24"/>
          <w:szCs w:val="24"/>
        </w:rPr>
        <w:t>Köppen</w:t>
      </w:r>
      <w:proofErr w:type="spellEnd"/>
      <w:r w:rsidRPr="00416EBB">
        <w:rPr>
          <w:rFonts w:ascii="Times New Roman" w:hAnsi="Times New Roman" w:cs="Times New Roman"/>
          <w:sz w:val="24"/>
          <w:szCs w:val="24"/>
        </w:rPr>
        <w:t xml:space="preserve">, o clima da região é do tipo </w:t>
      </w:r>
      <w:proofErr w:type="spellStart"/>
      <w:r w:rsidRPr="00416EBB">
        <w:rPr>
          <w:rFonts w:ascii="Times New Roman" w:hAnsi="Times New Roman" w:cs="Times New Roman"/>
          <w:sz w:val="24"/>
          <w:szCs w:val="24"/>
        </w:rPr>
        <w:t>Af</w:t>
      </w:r>
      <w:proofErr w:type="spellEnd"/>
      <w:r w:rsidRPr="00416EBB">
        <w:rPr>
          <w:rFonts w:ascii="Times New Roman" w:hAnsi="Times New Roman" w:cs="Times New Roman"/>
          <w:sz w:val="24"/>
          <w:szCs w:val="24"/>
        </w:rPr>
        <w:t>, caracterizado como Equatorial</w:t>
      </w:r>
      <w:r w:rsidRPr="00416E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6EBB">
        <w:rPr>
          <w:rFonts w:ascii="Times New Roman" w:hAnsi="Times New Roman" w:cs="Times New Roman"/>
          <w:sz w:val="24"/>
          <w:szCs w:val="24"/>
        </w:rPr>
        <w:t>Úmido, com altas temperaturas e precipitação abundante ao longo do ano. A vegetação local pertence ao bioma</w:t>
      </w:r>
      <w:r w:rsidRPr="00416E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6EBB">
        <w:rPr>
          <w:rFonts w:ascii="Times New Roman" w:hAnsi="Times New Roman" w:cs="Times New Roman"/>
          <w:sz w:val="24"/>
          <w:szCs w:val="24"/>
        </w:rPr>
        <w:t>Amazônico. Além disso, a área de estudo apresenta, atualmente, vegetação</w:t>
      </w:r>
      <w:r w:rsidRPr="00416E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6EBB">
        <w:rPr>
          <w:rFonts w:ascii="Times New Roman" w:hAnsi="Times New Roman" w:cs="Times New Roman"/>
          <w:sz w:val="24"/>
          <w:szCs w:val="24"/>
        </w:rPr>
        <w:t>secundária.</w:t>
      </w:r>
    </w:p>
    <w:p w14:paraId="4ECAF566" w14:textId="77777777" w:rsidR="00A33BB0" w:rsidRPr="00416EBB" w:rsidRDefault="00A33BB0" w:rsidP="00A33BB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59AB198" w14:textId="3CD5F35D" w:rsidR="00652C03" w:rsidRPr="00416EBB" w:rsidRDefault="00836B0A" w:rsidP="002648AF">
      <w:pPr>
        <w:pStyle w:val="Legenda"/>
        <w:keepNext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416EB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t xml:space="preserve">Figura </w:t>
      </w:r>
      <w:r w:rsidRPr="00416EB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416EB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instrText xml:space="preserve"> SEQ Figura \* ARABIC </w:instrText>
      </w:r>
      <w:r w:rsidRPr="00416EB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F06AEF" w:rsidRPr="00416EBB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416EBB">
        <w:rPr>
          <w:rFonts w:ascii="Times New Roman" w:hAnsi="Times New Roman" w:cs="Times New Roman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416EB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– </w:t>
      </w:r>
      <w:r w:rsidR="00E407FA" w:rsidRPr="00416EB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Panorama da á</w:t>
      </w:r>
      <w:r w:rsidRPr="00416EB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rea </w:t>
      </w:r>
      <w:r w:rsidR="00E407FA" w:rsidRPr="00416EB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de estudo localizada no Campus da </w:t>
      </w:r>
      <w:r w:rsidRPr="00416EBB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Universidade do Estado do Pará, Ananindeua.</w:t>
      </w:r>
    </w:p>
    <w:p w14:paraId="6A9BCCB6" w14:textId="77777777" w:rsidR="00652C03" w:rsidRPr="00416EBB" w:rsidRDefault="00836B0A" w:rsidP="002648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6EB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57A02F14" wp14:editId="332AF5E5">
            <wp:extent cx="5760085" cy="3750733"/>
            <wp:effectExtent l="0" t="0" r="0" b="2540"/>
            <wp:docPr id="19116843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84395" name="Imagem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6" cy="37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60AB" w14:textId="69B104F4" w:rsidR="00652C03" w:rsidRPr="00416EBB" w:rsidRDefault="00836B0A" w:rsidP="00355533">
      <w:pPr>
        <w:pStyle w:val="NormalWeb"/>
        <w:rPr>
          <w:i/>
          <w:iCs/>
          <w:sz w:val="22"/>
          <w:szCs w:val="22"/>
        </w:rPr>
      </w:pPr>
      <w:r w:rsidRPr="00416EBB">
        <w:rPr>
          <w:rStyle w:val="nfase"/>
          <w:b/>
          <w:bCs/>
          <w:i w:val="0"/>
          <w:iCs w:val="0"/>
          <w:sz w:val="22"/>
          <w:szCs w:val="22"/>
        </w:rPr>
        <w:t>Fonte</w:t>
      </w:r>
      <w:r w:rsidRPr="00416EBB">
        <w:rPr>
          <w:rStyle w:val="nfase"/>
          <w:i w:val="0"/>
          <w:iCs w:val="0"/>
          <w:sz w:val="22"/>
          <w:szCs w:val="22"/>
        </w:rPr>
        <w:t xml:space="preserve">: </w:t>
      </w:r>
      <w:r w:rsidR="0049346A" w:rsidRPr="00416EBB">
        <w:rPr>
          <w:rStyle w:val="nfase"/>
          <w:i w:val="0"/>
          <w:iCs w:val="0"/>
          <w:sz w:val="22"/>
          <w:szCs w:val="22"/>
        </w:rPr>
        <w:t xml:space="preserve">Elaborado por </w:t>
      </w:r>
      <w:proofErr w:type="spellStart"/>
      <w:r w:rsidR="0049346A" w:rsidRPr="00416EBB">
        <w:rPr>
          <w:rStyle w:val="nfase"/>
          <w:i w:val="0"/>
          <w:iCs w:val="0"/>
          <w:sz w:val="22"/>
          <w:szCs w:val="22"/>
        </w:rPr>
        <w:t>Maythê</w:t>
      </w:r>
      <w:proofErr w:type="spellEnd"/>
      <w:r w:rsidR="0049346A" w:rsidRPr="00416EBB">
        <w:rPr>
          <w:rStyle w:val="nfase"/>
          <w:i w:val="0"/>
          <w:iCs w:val="0"/>
          <w:sz w:val="22"/>
          <w:szCs w:val="22"/>
        </w:rPr>
        <w:t xml:space="preserve"> Gusmão Leite </w:t>
      </w:r>
      <w:r w:rsidRPr="00416EBB">
        <w:rPr>
          <w:rStyle w:val="nfase"/>
          <w:i w:val="0"/>
          <w:iCs w:val="0"/>
          <w:sz w:val="22"/>
          <w:szCs w:val="22"/>
        </w:rPr>
        <w:t>(2025).</w:t>
      </w:r>
    </w:p>
    <w:p w14:paraId="55FA0F86" w14:textId="4D29918B" w:rsidR="00652C03" w:rsidRPr="00416EBB" w:rsidRDefault="001B5D71" w:rsidP="00E008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6EBB">
        <w:rPr>
          <w:rFonts w:ascii="Times New Roman" w:hAnsi="Times New Roman" w:cs="Times New Roman"/>
          <w:sz w:val="24"/>
          <w:szCs w:val="24"/>
        </w:rPr>
        <w:t xml:space="preserve">Para a realização do trabalho, foram realizadas duas coletas no mês de setembro de 2025. A coleta e a procura das espécies foram conduzidas nas trilhas e áreas de mata. Cada espécime foi catalogado e etiquetado com informações de local, data, coordenadas, coletor, e suas características morfológicas registradas </w:t>
      </w:r>
      <w:r w:rsidR="000115B1" w:rsidRPr="00416EBB">
        <w:rPr>
          <w:rFonts w:ascii="Times New Roman" w:hAnsi="Times New Roman" w:cs="Times New Roman"/>
          <w:sz w:val="24"/>
          <w:szCs w:val="24"/>
        </w:rPr>
        <w:t xml:space="preserve">com </w:t>
      </w:r>
      <w:r w:rsidRPr="00416EBB">
        <w:rPr>
          <w:rFonts w:ascii="Times New Roman" w:hAnsi="Times New Roman" w:cs="Times New Roman"/>
          <w:sz w:val="24"/>
          <w:szCs w:val="24"/>
        </w:rPr>
        <w:t xml:space="preserve">câmera digital. A identificação foi realizada com base em literatura especializada, em sites da Flora do Brasil (2025) e mediante consulta a especialistas. O sistema de classificação utilizado foi o proposto pela APG IV (APG, 2016), e a descrição dos hábitos seguiu </w:t>
      </w:r>
      <w:proofErr w:type="spellStart"/>
      <w:r w:rsidRPr="00416EBB">
        <w:rPr>
          <w:rFonts w:ascii="Times New Roman" w:hAnsi="Times New Roman" w:cs="Times New Roman"/>
          <w:sz w:val="24"/>
          <w:szCs w:val="24"/>
        </w:rPr>
        <w:t>Radford</w:t>
      </w:r>
      <w:proofErr w:type="spellEnd"/>
      <w:r w:rsidRPr="00416E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6EBB">
        <w:rPr>
          <w:rFonts w:ascii="Times New Roman" w:hAnsi="Times New Roman" w:cs="Times New Roman"/>
          <w:sz w:val="24"/>
          <w:szCs w:val="24"/>
        </w:rPr>
        <w:t>Dickison</w:t>
      </w:r>
      <w:proofErr w:type="spellEnd"/>
      <w:r w:rsidRPr="00416E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6EBB">
        <w:rPr>
          <w:rFonts w:ascii="Times New Roman" w:hAnsi="Times New Roman" w:cs="Times New Roman"/>
          <w:sz w:val="24"/>
          <w:szCs w:val="24"/>
        </w:rPr>
        <w:t>Massey</w:t>
      </w:r>
      <w:proofErr w:type="spellEnd"/>
      <w:r w:rsidRPr="00416EBB">
        <w:rPr>
          <w:rFonts w:ascii="Times New Roman" w:hAnsi="Times New Roman" w:cs="Times New Roman"/>
          <w:sz w:val="24"/>
          <w:szCs w:val="24"/>
        </w:rPr>
        <w:t xml:space="preserve"> e Bell (1974). Os dados de distribuição das espécies foram obtidos na Lista de Espécies da Flora do Brasil (2025). Para a confecção do mapa de localização da área de estudo, foi utilizado o software QGIS (ESRI, 2010).</w:t>
      </w:r>
    </w:p>
    <w:p w14:paraId="10C77DCE" w14:textId="77777777" w:rsidR="001B5D71" w:rsidRPr="00416EBB" w:rsidRDefault="001B5D71" w:rsidP="002648AF">
      <w:pPr>
        <w:spacing w:after="0" w:line="240" w:lineRule="auto"/>
        <w:ind w:firstLine="709"/>
        <w:jc w:val="both"/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</w:pPr>
    </w:p>
    <w:p w14:paraId="753272F9" w14:textId="5EC601BD" w:rsidR="00652C03" w:rsidRPr="00416EBB" w:rsidRDefault="00C613C1" w:rsidP="00C613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EBB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836B0A" w:rsidRPr="00416EBB">
        <w:rPr>
          <w:rFonts w:ascii="Times New Roman" w:hAnsi="Times New Roman" w:cs="Times New Roman"/>
          <w:b/>
          <w:bCs/>
          <w:sz w:val="24"/>
          <w:szCs w:val="24"/>
        </w:rPr>
        <w:t xml:space="preserve">RESULTADOS E DISCUSSÃO </w:t>
      </w:r>
    </w:p>
    <w:p w14:paraId="6CC66AD9" w14:textId="77777777" w:rsidR="0067315A" w:rsidRPr="00416EBB" w:rsidRDefault="00836B0A" w:rsidP="00E0083E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FF0000"/>
        </w:rPr>
      </w:pPr>
      <w:r w:rsidRPr="00416EBB">
        <w:t xml:space="preserve">A área de estudo caracteriza-se como uma vegetação secundária em processo de regeneração natural após o desmatamento. Representada por espécies herbáceas, arbustivas e algumas árvores. </w:t>
      </w:r>
      <w:r w:rsidR="002D59C3" w:rsidRPr="00416EBB">
        <w:t xml:space="preserve"> </w:t>
      </w:r>
      <w:r w:rsidRPr="00416EBB">
        <w:t xml:space="preserve">Foram registradas </w:t>
      </w:r>
      <w:r w:rsidR="00161B80" w:rsidRPr="00416EBB">
        <w:t>10</w:t>
      </w:r>
      <w:r w:rsidRPr="00416EBB">
        <w:t xml:space="preserve"> espécies, sendo </w:t>
      </w:r>
      <w:r w:rsidR="0067315A" w:rsidRPr="00416EBB">
        <w:rPr>
          <w:color w:val="000000" w:themeColor="text1"/>
        </w:rPr>
        <w:t>cinco</w:t>
      </w:r>
      <w:r w:rsidRPr="00416EBB">
        <w:rPr>
          <w:color w:val="000000" w:themeColor="text1"/>
        </w:rPr>
        <w:t xml:space="preserve"> </w:t>
      </w:r>
      <w:r w:rsidRPr="00416EBB">
        <w:t xml:space="preserve">espécies de Cyperaceae e </w:t>
      </w:r>
      <w:r w:rsidR="0067315A" w:rsidRPr="00416EBB">
        <w:rPr>
          <w:color w:val="000000" w:themeColor="text1"/>
        </w:rPr>
        <w:t>cinco</w:t>
      </w:r>
      <w:r w:rsidRPr="00416EBB">
        <w:rPr>
          <w:color w:val="000000" w:themeColor="text1"/>
        </w:rPr>
        <w:t xml:space="preserve"> </w:t>
      </w:r>
      <w:r w:rsidRPr="00416EBB">
        <w:t>de Poaceae (Quadro 1).</w:t>
      </w:r>
      <w:r w:rsidRPr="00416EBB">
        <w:rPr>
          <w:color w:val="FF0000"/>
        </w:rPr>
        <w:t xml:space="preserve"> </w:t>
      </w:r>
    </w:p>
    <w:p w14:paraId="25518181" w14:textId="029D6F60" w:rsidR="00C31316" w:rsidRPr="00416EBB" w:rsidRDefault="00836B0A" w:rsidP="00E0083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 xml:space="preserve">A família </w:t>
      </w:r>
      <w:r w:rsidRPr="00416EBB">
        <w:rPr>
          <w:rStyle w:val="Forte"/>
          <w:b w:val="0"/>
          <w:bCs w:val="0"/>
        </w:rPr>
        <w:t>Cyperaceae</w:t>
      </w:r>
      <w:r w:rsidRPr="00416EBB">
        <w:t xml:space="preserve"> é representada por apenas dois gêneros, </w:t>
      </w:r>
      <w:proofErr w:type="spellStart"/>
      <w:r w:rsidRPr="00416EBB">
        <w:rPr>
          <w:rStyle w:val="nfase"/>
        </w:rPr>
        <w:t>Cyperus</w:t>
      </w:r>
      <w:proofErr w:type="spellEnd"/>
      <w:r w:rsidRPr="00416EBB">
        <w:rPr>
          <w:rStyle w:val="nfase"/>
          <w:i w:val="0"/>
          <w:iCs w:val="0"/>
        </w:rPr>
        <w:t xml:space="preserve"> e</w:t>
      </w:r>
      <w:r w:rsidRPr="00416EBB">
        <w:rPr>
          <w:rStyle w:val="nfase"/>
        </w:rPr>
        <w:t xml:space="preserve"> </w:t>
      </w:r>
      <w:proofErr w:type="spellStart"/>
      <w:r w:rsidRPr="00416EBB">
        <w:rPr>
          <w:rStyle w:val="nfase"/>
        </w:rPr>
        <w:t>Rhynchospora</w:t>
      </w:r>
      <w:proofErr w:type="spellEnd"/>
      <w:r w:rsidRPr="00416EBB">
        <w:rPr>
          <w:rStyle w:val="nfase"/>
          <w:i w:val="0"/>
          <w:iCs w:val="0"/>
        </w:rPr>
        <w:t xml:space="preserve">, </w:t>
      </w:r>
      <w:r w:rsidR="007814F9" w:rsidRPr="00416EBB">
        <w:rPr>
          <w:rStyle w:val="nfase"/>
          <w:i w:val="0"/>
          <w:iCs w:val="0"/>
        </w:rPr>
        <w:t>enquanto</w:t>
      </w:r>
      <w:r w:rsidRPr="00416EBB">
        <w:rPr>
          <w:rStyle w:val="nfase"/>
          <w:i w:val="0"/>
          <w:iCs w:val="0"/>
        </w:rPr>
        <w:t xml:space="preserve"> Poaceae por seis gêneros. </w:t>
      </w:r>
      <w:r w:rsidR="00C31316" w:rsidRPr="00416EBB">
        <w:t>Das espécies encontradas na área três são exóticas e as outras são nativas do Brasil.</w:t>
      </w:r>
    </w:p>
    <w:p w14:paraId="1364F267" w14:textId="77777777" w:rsidR="00C31316" w:rsidRPr="00416EBB" w:rsidRDefault="00C31316" w:rsidP="00E0083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 xml:space="preserve">A ocorrência do gênero </w:t>
      </w:r>
      <w:proofErr w:type="spellStart"/>
      <w:r w:rsidRPr="00416EBB">
        <w:rPr>
          <w:rStyle w:val="nfase"/>
        </w:rPr>
        <w:t>Rhynchospora</w:t>
      </w:r>
      <w:proofErr w:type="spellEnd"/>
      <w:r w:rsidRPr="00416EBB">
        <w:rPr>
          <w:rStyle w:val="nfase"/>
        </w:rPr>
        <w:t xml:space="preserve"> </w:t>
      </w:r>
      <w:r w:rsidRPr="00416EBB">
        <w:t xml:space="preserve">sugere adaptação a solos com maior disponibilidade hídrica, enquanto espécies de </w:t>
      </w:r>
      <w:proofErr w:type="spellStart"/>
      <w:r w:rsidRPr="00416EBB">
        <w:rPr>
          <w:rStyle w:val="nfase"/>
        </w:rPr>
        <w:t>Cyperus</w:t>
      </w:r>
      <w:proofErr w:type="spellEnd"/>
      <w:r w:rsidRPr="00416EBB">
        <w:t xml:space="preserve"> ocupam nichos mais diversos, incluindo áreas antropizadas (</w:t>
      </w:r>
      <w:proofErr w:type="spellStart"/>
      <w:r w:rsidRPr="00416EBB">
        <w:t>Goetghebeur</w:t>
      </w:r>
      <w:proofErr w:type="spellEnd"/>
      <w:r w:rsidRPr="00416EBB">
        <w:t xml:space="preserve">, 1998). </w:t>
      </w:r>
    </w:p>
    <w:p w14:paraId="1975B6F5" w14:textId="53F89F2F" w:rsidR="004D0D7A" w:rsidRPr="00416EBB" w:rsidRDefault="00C31316" w:rsidP="004D0D7A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 xml:space="preserve">Assim, a composição florística é registrada reforça o papel das famílias </w:t>
      </w:r>
      <w:r w:rsidRPr="00416EBB">
        <w:rPr>
          <w:rStyle w:val="Forte"/>
          <w:b w:val="0"/>
          <w:bCs w:val="0"/>
        </w:rPr>
        <w:t>Cyperaceae</w:t>
      </w:r>
      <w:r w:rsidRPr="00416EBB">
        <w:t xml:space="preserve"> e </w:t>
      </w:r>
      <w:r w:rsidRPr="00416EBB">
        <w:rPr>
          <w:rStyle w:val="Forte"/>
          <w:b w:val="0"/>
          <w:bCs w:val="0"/>
        </w:rPr>
        <w:t>Poaceae</w:t>
      </w:r>
      <w:r w:rsidRPr="00416EBB">
        <w:t xml:space="preserve"> como grupos indicadores da estruturação da comunidade vegetal em áreas abertas e em transição, refletindo tanto as condições ambientais locais quanto as pressões antrópicas.</w:t>
      </w:r>
    </w:p>
    <w:p w14:paraId="00D6D953" w14:textId="77777777" w:rsidR="004D0D7A" w:rsidRPr="00416EBB" w:rsidRDefault="004D0D7A" w:rsidP="004D0D7A">
      <w:pPr>
        <w:pStyle w:val="NormalWeb"/>
        <w:spacing w:before="0" w:beforeAutospacing="0" w:after="0" w:afterAutospacing="0" w:line="360" w:lineRule="auto"/>
        <w:ind w:firstLine="709"/>
        <w:jc w:val="both"/>
      </w:pPr>
    </w:p>
    <w:p w14:paraId="52631E89" w14:textId="2AC40982" w:rsidR="00652C03" w:rsidRPr="00416EBB" w:rsidRDefault="00836B0A" w:rsidP="002648AF">
      <w:pPr>
        <w:pStyle w:val="NormalWeb"/>
        <w:spacing w:before="0" w:beforeAutospacing="0" w:after="0" w:afterAutospacing="0"/>
        <w:jc w:val="center"/>
        <w:rPr>
          <w:sz w:val="22"/>
          <w:szCs w:val="22"/>
        </w:rPr>
      </w:pPr>
      <w:r w:rsidRPr="00416EBB">
        <w:rPr>
          <w:b/>
          <w:bCs/>
          <w:sz w:val="22"/>
          <w:szCs w:val="22"/>
        </w:rPr>
        <w:t>Quadro</w:t>
      </w:r>
      <w:r w:rsidR="00E17172" w:rsidRPr="00416EBB">
        <w:rPr>
          <w:b/>
          <w:bCs/>
          <w:sz w:val="22"/>
          <w:szCs w:val="22"/>
        </w:rPr>
        <w:t xml:space="preserve"> </w:t>
      </w:r>
      <w:r w:rsidRPr="00416EBB">
        <w:rPr>
          <w:b/>
          <w:bCs/>
          <w:sz w:val="22"/>
          <w:szCs w:val="22"/>
        </w:rPr>
        <w:fldChar w:fldCharType="begin"/>
      </w:r>
      <w:r w:rsidRPr="00416EBB">
        <w:rPr>
          <w:b/>
          <w:bCs/>
          <w:sz w:val="22"/>
          <w:szCs w:val="22"/>
        </w:rPr>
        <w:instrText xml:space="preserve"> SEQ Tabela \* ARABIC </w:instrText>
      </w:r>
      <w:r w:rsidRPr="00416EBB">
        <w:rPr>
          <w:b/>
          <w:bCs/>
          <w:sz w:val="22"/>
          <w:szCs w:val="22"/>
        </w:rPr>
        <w:fldChar w:fldCharType="separate"/>
      </w:r>
      <w:r w:rsidR="00F06AEF" w:rsidRPr="00416EBB">
        <w:rPr>
          <w:b/>
          <w:bCs/>
          <w:noProof/>
          <w:sz w:val="22"/>
          <w:szCs w:val="22"/>
        </w:rPr>
        <w:t>1</w:t>
      </w:r>
      <w:r w:rsidRPr="00416EBB">
        <w:rPr>
          <w:b/>
          <w:bCs/>
          <w:sz w:val="22"/>
          <w:szCs w:val="22"/>
        </w:rPr>
        <w:fldChar w:fldCharType="end"/>
      </w:r>
      <w:r w:rsidRPr="00416EBB">
        <w:rPr>
          <w:sz w:val="22"/>
          <w:szCs w:val="22"/>
        </w:rPr>
        <w:t xml:space="preserve"> – Identificação das espécies de Poaceae e Cyperaceae encontradas na área pertencente a Universidade do Estado do Pará, Ananindeua.</w:t>
      </w:r>
    </w:p>
    <w:p w14:paraId="64D3960F" w14:textId="77777777" w:rsidR="00BE1FD6" w:rsidRPr="00416EBB" w:rsidRDefault="00BE1FD6" w:rsidP="002648AF">
      <w:pPr>
        <w:pStyle w:val="NormalWeb"/>
        <w:spacing w:before="0" w:beforeAutospacing="0" w:after="0" w:afterAutospacing="0"/>
        <w:jc w:val="both"/>
      </w:pPr>
    </w:p>
    <w:tbl>
      <w:tblPr>
        <w:tblW w:w="135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3957"/>
        <w:gridCol w:w="1134"/>
        <w:gridCol w:w="1134"/>
        <w:gridCol w:w="1417"/>
        <w:gridCol w:w="2410"/>
        <w:gridCol w:w="2126"/>
      </w:tblGrid>
      <w:tr w:rsidR="007814F9" w:rsidRPr="00416EBB" w14:paraId="6303E722" w14:textId="4C338330" w:rsidTr="007F0714">
        <w:trPr>
          <w:trHeight w:val="288"/>
        </w:trPr>
        <w:tc>
          <w:tcPr>
            <w:tcW w:w="14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B8D746" w14:textId="77777777" w:rsidR="007814F9" w:rsidRPr="00416EBB" w:rsidRDefault="007814F9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FAMÍLIA</w:t>
            </w:r>
          </w:p>
        </w:tc>
        <w:tc>
          <w:tcPr>
            <w:tcW w:w="39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277544" w14:textId="77777777" w:rsidR="007814F9" w:rsidRPr="00416EBB" w:rsidRDefault="007814F9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ESPÉCIE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70CA8D90" w14:textId="77777777" w:rsidR="007814F9" w:rsidRPr="00416EBB" w:rsidRDefault="007814F9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ORIGEM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25A5C1AE" w14:textId="1B5EC89C" w:rsidR="007814F9" w:rsidRPr="00416EBB" w:rsidRDefault="007814F9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USO</w:t>
            </w:r>
          </w:p>
        </w:tc>
        <w:tc>
          <w:tcPr>
            <w:tcW w:w="2410" w:type="dxa"/>
          </w:tcPr>
          <w:p w14:paraId="11ADD495" w14:textId="77777777" w:rsidR="007814F9" w:rsidRPr="00416EBB" w:rsidRDefault="007814F9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6F3CA250" w14:textId="2FDB7896" w:rsidR="007814F9" w:rsidRPr="00416EBB" w:rsidRDefault="007814F9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7814F9" w:rsidRPr="00416EBB" w14:paraId="572B04A3" w14:textId="042BBF5E" w:rsidTr="007F0714">
        <w:trPr>
          <w:trHeight w:val="441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C6E2AA" w14:textId="77777777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24909" w14:textId="77777777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50E8975D" w14:textId="77777777" w:rsidR="007814F9" w:rsidRPr="00416EBB" w:rsidRDefault="007814F9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NO BRASIL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03B45D" w14:textId="77777777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0E17BD46" w14:textId="77777777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1D5926A2" w14:textId="54C1138C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7814F9" w:rsidRPr="00416EBB" w14:paraId="7AE5E861" w14:textId="002BD226" w:rsidTr="007F0714">
        <w:trPr>
          <w:trHeight w:val="40"/>
        </w:trPr>
        <w:tc>
          <w:tcPr>
            <w:tcW w:w="14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5DCB8A" w14:textId="77777777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563D4F" w14:textId="77777777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7AC0D0" w14:textId="6C2CF4A7" w:rsidR="007814F9" w:rsidRPr="00416EBB" w:rsidRDefault="007814F9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Ex</w:t>
            </w:r>
            <w:r w:rsidR="000115B1"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ó</w:t>
            </w: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tica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43BF7C" w14:textId="77777777" w:rsidR="007814F9" w:rsidRPr="00416EBB" w:rsidRDefault="007814F9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Nativa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15BC4F" w14:textId="77777777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015DC320" w14:textId="77777777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2C299F3F" w14:textId="3FC4F0FC" w:rsidR="007814F9" w:rsidRPr="00416EBB" w:rsidRDefault="007814F9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67315A" w:rsidRPr="00416EBB" w14:paraId="66FDBF8A" w14:textId="53CF0A81" w:rsidTr="007F0714">
        <w:trPr>
          <w:trHeight w:val="588"/>
        </w:trPr>
        <w:tc>
          <w:tcPr>
            <w:tcW w:w="14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0CE97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Cyperaceae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D272B6" w14:textId="77777777" w:rsidR="0067315A" w:rsidRPr="00416EBB" w:rsidRDefault="0067315A" w:rsidP="0026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Cyperus strigosus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70AD47"/>
            <w:vAlign w:val="center"/>
            <w:hideMark/>
          </w:tcPr>
          <w:p w14:paraId="108793A0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371CFE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  <w:hideMark/>
          </w:tcPr>
          <w:p w14:paraId="61848E54" w14:textId="11B3037D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Recuperação de áreas degrada</w:t>
            </w:r>
            <w:r w:rsidR="000115B1"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das</w:t>
            </w:r>
          </w:p>
          <w:p w14:paraId="29601B22" w14:textId="35CC8860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514B3B95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48D2DE30" w14:textId="0513525C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67315A" w:rsidRPr="00416EBB" w14:paraId="3E3F32A2" w14:textId="5CA2C3C8" w:rsidTr="007F0714">
        <w:trPr>
          <w:trHeight w:val="553"/>
        </w:trPr>
        <w:tc>
          <w:tcPr>
            <w:tcW w:w="1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AA0952" w14:textId="77777777" w:rsidR="0067315A" w:rsidRPr="00416EBB" w:rsidRDefault="0067315A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44FC1" w14:textId="77777777" w:rsidR="0067315A" w:rsidRPr="00416EBB" w:rsidRDefault="0067315A" w:rsidP="0026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Rhynchospora cephalotes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(L.) Vahl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E46518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9"/>
            <w:vAlign w:val="center"/>
            <w:hideMark/>
          </w:tcPr>
          <w:p w14:paraId="13073C96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Ⓝ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17AC0B6E" w14:textId="7CCD0D4F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17119E27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6B3DC285" w14:textId="4E39B640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67315A" w:rsidRPr="00416EBB" w14:paraId="627399D5" w14:textId="3B5C539D" w:rsidTr="007F0714">
        <w:trPr>
          <w:trHeight w:val="253"/>
        </w:trPr>
        <w:tc>
          <w:tcPr>
            <w:tcW w:w="1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6491F" w14:textId="77777777" w:rsidR="0067315A" w:rsidRPr="00416EBB" w:rsidRDefault="0067315A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AFDCB0" w14:textId="77777777" w:rsidR="0067315A" w:rsidRPr="00416EBB" w:rsidRDefault="0067315A" w:rsidP="0026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Rhynchospora radicans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(Schltdl. &amp; Cham.) H.Pfeiff.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B22F25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9"/>
            <w:vAlign w:val="center"/>
            <w:hideMark/>
          </w:tcPr>
          <w:p w14:paraId="56C764CC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Ⓝ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3A72D574" w14:textId="0FA15753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33B404F5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60008C12" w14:textId="19ECFD09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67315A" w:rsidRPr="00416EBB" w14:paraId="76359A0C" w14:textId="100A66CF" w:rsidTr="007F0714">
        <w:trPr>
          <w:trHeight w:val="394"/>
        </w:trPr>
        <w:tc>
          <w:tcPr>
            <w:tcW w:w="1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E1604A" w14:textId="77777777" w:rsidR="0067315A" w:rsidRPr="00416EBB" w:rsidRDefault="0067315A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37BD8A" w14:textId="77777777" w:rsidR="0067315A" w:rsidRPr="00416EBB" w:rsidRDefault="0067315A" w:rsidP="0026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Cyperus eragrostis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Lam.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6F3BFD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9"/>
            <w:vAlign w:val="center"/>
            <w:hideMark/>
          </w:tcPr>
          <w:p w14:paraId="135D1F45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Ⓝ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7685630B" w14:textId="022623C1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50E57AA5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7A16C59F" w14:textId="1C2EF7CF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67315A" w:rsidRPr="00416EBB" w14:paraId="0A43192E" w14:textId="56A86E54" w:rsidTr="007F0714">
        <w:trPr>
          <w:trHeight w:val="204"/>
        </w:trPr>
        <w:tc>
          <w:tcPr>
            <w:tcW w:w="1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63C4B6" w14:textId="77777777" w:rsidR="0067315A" w:rsidRPr="00416EBB" w:rsidRDefault="0067315A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E2174" w14:textId="77777777" w:rsidR="0067315A" w:rsidRPr="00416EBB" w:rsidRDefault="0067315A" w:rsidP="0026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Cyperus luzulae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(L.) Retz.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646D7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9"/>
            <w:vAlign w:val="center"/>
            <w:hideMark/>
          </w:tcPr>
          <w:p w14:paraId="17689A79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Ⓝ</w:t>
            </w:r>
          </w:p>
        </w:tc>
        <w:tc>
          <w:tcPr>
            <w:tcW w:w="1417" w:type="dxa"/>
            <w:vMerge/>
            <w:tcBorders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22FACACF" w14:textId="1F427151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7F0A9089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169D793D" w14:textId="0E9ED97F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67315A" w:rsidRPr="00416EBB" w14:paraId="4C4F300D" w14:textId="3240E224" w:rsidTr="007F0714">
        <w:trPr>
          <w:trHeight w:val="301"/>
        </w:trPr>
        <w:tc>
          <w:tcPr>
            <w:tcW w:w="14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29B31B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Poaceae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C8F1E5" w14:textId="77777777" w:rsidR="0067315A" w:rsidRPr="00416EBB" w:rsidRDefault="0067315A" w:rsidP="0026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Digitaria sanguinalis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(L.) Scop.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70AD47"/>
            <w:vAlign w:val="center"/>
            <w:hideMark/>
          </w:tcPr>
          <w:p w14:paraId="4CF4A4EC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67DD8E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14:paraId="0BAB790A" w14:textId="6F7E75ED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Alimento para animais (pastagem)</w:t>
            </w:r>
          </w:p>
        </w:tc>
        <w:tc>
          <w:tcPr>
            <w:tcW w:w="2410" w:type="dxa"/>
          </w:tcPr>
          <w:p w14:paraId="69C09753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7E3055C4" w14:textId="5357C8D6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67315A" w:rsidRPr="00416EBB" w14:paraId="0D48435B" w14:textId="1F57467A" w:rsidTr="007F0714">
        <w:trPr>
          <w:trHeight w:val="718"/>
        </w:trPr>
        <w:tc>
          <w:tcPr>
            <w:tcW w:w="1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F33E23" w14:textId="77777777" w:rsidR="0067315A" w:rsidRPr="00416EBB" w:rsidRDefault="0067315A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A38F45" w14:textId="77777777" w:rsidR="0067315A" w:rsidRPr="00416EBB" w:rsidRDefault="0067315A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Sporobolus pyramidalis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P. Beauv.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70AD47"/>
            <w:vAlign w:val="center"/>
            <w:hideMark/>
          </w:tcPr>
          <w:p w14:paraId="67BC19A3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307EAC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pt-BR"/>
                <w14:ligatures w14:val="none"/>
              </w:rPr>
              <w:t> </w:t>
            </w:r>
          </w:p>
        </w:tc>
        <w:tc>
          <w:tcPr>
            <w:tcW w:w="1417" w:type="dxa"/>
            <w:vMerge/>
            <w:tcBorders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D785B01" w14:textId="32E09FB8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19E91C66" w14:textId="77777777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72377CFA" w14:textId="1C7A4656" w:rsidR="0067315A" w:rsidRPr="00416EBB" w:rsidRDefault="0067315A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7F0714" w:rsidRPr="00416EBB" w14:paraId="430B72BB" w14:textId="55C267AC" w:rsidTr="007F0714">
        <w:trPr>
          <w:trHeight w:val="161"/>
        </w:trPr>
        <w:tc>
          <w:tcPr>
            <w:tcW w:w="1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4CB5A1" w14:textId="77777777" w:rsidR="007F0714" w:rsidRPr="00416EBB" w:rsidRDefault="007F0714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E0A47A" w14:textId="77777777" w:rsidR="007F0714" w:rsidRPr="00416EBB" w:rsidRDefault="007F0714" w:rsidP="0026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Homolepis aturensis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(Kunth) Chase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129EA2" w14:textId="7777777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9"/>
            <w:vAlign w:val="center"/>
            <w:hideMark/>
          </w:tcPr>
          <w:p w14:paraId="5F5C7D2C" w14:textId="7777777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Ⓝ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  <w:hideMark/>
          </w:tcPr>
          <w:p w14:paraId="0DDF52D7" w14:textId="7D4DEC78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Recuperação de áreas degrada</w:t>
            </w:r>
            <w:r w:rsidR="000115B1"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da</w:t>
            </w: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s</w:t>
            </w:r>
          </w:p>
          <w:p w14:paraId="7A3AF665" w14:textId="4B23932E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7277CECA" w14:textId="7777777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1E101E35" w14:textId="1EF32FA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7F0714" w:rsidRPr="00416EBB" w14:paraId="3620573B" w14:textId="6B63A03B" w:rsidTr="007F0714">
        <w:trPr>
          <w:trHeight w:val="110"/>
        </w:trPr>
        <w:tc>
          <w:tcPr>
            <w:tcW w:w="1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D5B75" w14:textId="77777777" w:rsidR="007F0714" w:rsidRPr="00416EBB" w:rsidRDefault="007F0714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EA6415" w14:textId="77777777" w:rsidR="007F0714" w:rsidRPr="00416EBB" w:rsidRDefault="007F0714" w:rsidP="0026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Paspalum paniculatum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0E4589" w14:textId="7777777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9"/>
            <w:vAlign w:val="center"/>
            <w:hideMark/>
          </w:tcPr>
          <w:p w14:paraId="268E4C52" w14:textId="7777777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Ⓝ</w:t>
            </w:r>
          </w:p>
        </w:tc>
        <w:tc>
          <w:tcPr>
            <w:tcW w:w="1417" w:type="dxa"/>
            <w:vMerge/>
            <w:tcBorders>
              <w:left w:val="nil"/>
              <w:right w:val="single" w:sz="8" w:space="0" w:color="auto"/>
            </w:tcBorders>
            <w:vAlign w:val="center"/>
            <w:hideMark/>
          </w:tcPr>
          <w:p w14:paraId="3C12BE6E" w14:textId="3B74E0C2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6A010984" w14:textId="7777777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6806F47D" w14:textId="79451344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7F0714" w:rsidRPr="00416EBB" w14:paraId="67682FBB" w14:textId="6DDE3F64" w:rsidTr="007F0714">
        <w:trPr>
          <w:trHeight w:val="419"/>
        </w:trPr>
        <w:tc>
          <w:tcPr>
            <w:tcW w:w="14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BF4109" w14:textId="77777777" w:rsidR="007F0714" w:rsidRPr="00416EBB" w:rsidRDefault="007F0714" w:rsidP="002648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2EBE7F" w14:textId="77777777" w:rsidR="007F0714" w:rsidRPr="00416EBB" w:rsidRDefault="007F0714" w:rsidP="002648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val="en-US" w:eastAsia="pt-BR"/>
                <w14:ligatures w14:val="none"/>
              </w:rPr>
              <w:t>Steinchisma laxum</w:t>
            </w:r>
            <w:r w:rsidRPr="00416EB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pt-BR"/>
                <w14:ligatures w14:val="none"/>
              </w:rPr>
              <w:t xml:space="preserve"> (Sw.) Zuloaga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4F123D" w14:textId="7777777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9"/>
            <w:vAlign w:val="center"/>
            <w:hideMark/>
          </w:tcPr>
          <w:p w14:paraId="597B6AA0" w14:textId="7777777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Yu Gothic UI Semilight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416EBB">
              <w:rPr>
                <w:rFonts w:ascii="Segoe UI Symbol" w:eastAsia="Yu Gothic UI Semilight" w:hAnsi="Segoe UI Symbol" w:cs="Segoe UI Symbol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Ⓝ</w:t>
            </w:r>
          </w:p>
        </w:tc>
        <w:tc>
          <w:tcPr>
            <w:tcW w:w="141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B66C5D" w14:textId="7F1B765D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410" w:type="dxa"/>
          </w:tcPr>
          <w:p w14:paraId="08A20EE6" w14:textId="77777777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2126" w:type="dxa"/>
          </w:tcPr>
          <w:p w14:paraId="0232D352" w14:textId="44D709DC" w:rsidR="007F0714" w:rsidRPr="00416EBB" w:rsidRDefault="007F0714" w:rsidP="0026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72C3A27D" w14:textId="77777777" w:rsidR="00613849" w:rsidRPr="00416EBB" w:rsidRDefault="00613849" w:rsidP="002648AF">
      <w:pPr>
        <w:pStyle w:val="NormalWeb"/>
        <w:spacing w:before="0" w:beforeAutospacing="0" w:after="0" w:afterAutospacing="0"/>
        <w:jc w:val="both"/>
      </w:pPr>
    </w:p>
    <w:p w14:paraId="581F3673" w14:textId="13ED2ED6" w:rsidR="00E21AA0" w:rsidRPr="00416EBB" w:rsidRDefault="0049346A" w:rsidP="00355533">
      <w:pPr>
        <w:pStyle w:val="NormalWeb"/>
        <w:spacing w:before="0" w:beforeAutospacing="0" w:after="0" w:afterAutospacing="0"/>
        <w:rPr>
          <w:rStyle w:val="nfase"/>
          <w:i w:val="0"/>
          <w:iCs w:val="0"/>
          <w:sz w:val="22"/>
          <w:szCs w:val="22"/>
        </w:rPr>
      </w:pPr>
      <w:r w:rsidRPr="00416EBB">
        <w:rPr>
          <w:rStyle w:val="nfase"/>
          <w:b/>
          <w:bCs/>
          <w:i w:val="0"/>
          <w:iCs w:val="0"/>
          <w:sz w:val="22"/>
          <w:szCs w:val="22"/>
        </w:rPr>
        <w:t>Fonte</w:t>
      </w:r>
      <w:r w:rsidRPr="00416EBB">
        <w:rPr>
          <w:rStyle w:val="nfase"/>
          <w:i w:val="0"/>
          <w:iCs w:val="0"/>
          <w:sz w:val="22"/>
          <w:szCs w:val="22"/>
        </w:rPr>
        <w:t>: Autores</w:t>
      </w:r>
      <w:r w:rsidR="00100E50" w:rsidRPr="00416EBB">
        <w:rPr>
          <w:rStyle w:val="nfase"/>
          <w:i w:val="0"/>
          <w:iCs w:val="0"/>
          <w:sz w:val="22"/>
          <w:szCs w:val="22"/>
        </w:rPr>
        <w:t>,</w:t>
      </w:r>
      <w:r w:rsidRPr="00416EBB">
        <w:rPr>
          <w:rStyle w:val="nfase"/>
          <w:i w:val="0"/>
          <w:iCs w:val="0"/>
          <w:sz w:val="22"/>
          <w:szCs w:val="22"/>
        </w:rPr>
        <w:t xml:space="preserve"> (2025).</w:t>
      </w:r>
    </w:p>
    <w:p w14:paraId="73FC6A22" w14:textId="77777777" w:rsidR="00E21AA0" w:rsidRPr="00416EBB" w:rsidRDefault="00E21AA0" w:rsidP="002648AF">
      <w:pPr>
        <w:pStyle w:val="NormalWeb"/>
        <w:spacing w:before="0" w:beforeAutospacing="0" w:after="0" w:afterAutospacing="0"/>
        <w:jc w:val="both"/>
        <w:rPr>
          <w:rStyle w:val="Forte"/>
          <w:rFonts w:eastAsia="SimSun"/>
          <w:sz w:val="20"/>
          <w:szCs w:val="20"/>
        </w:rPr>
      </w:pPr>
    </w:p>
    <w:p w14:paraId="11965153" w14:textId="3487A7FD" w:rsidR="00613849" w:rsidRPr="00416EBB" w:rsidRDefault="00836B0A" w:rsidP="005A126A">
      <w:pPr>
        <w:pStyle w:val="NormalWeb"/>
        <w:spacing w:before="0" w:beforeAutospacing="0" w:after="0" w:afterAutospacing="0"/>
        <w:jc w:val="center"/>
        <w:rPr>
          <w:rFonts w:eastAsia="SimSun"/>
          <w:sz w:val="20"/>
          <w:szCs w:val="20"/>
        </w:rPr>
      </w:pPr>
      <w:r w:rsidRPr="00416EBB">
        <w:rPr>
          <w:rStyle w:val="Forte"/>
          <w:rFonts w:eastAsia="SimSun"/>
          <w:sz w:val="22"/>
          <w:szCs w:val="22"/>
        </w:rPr>
        <w:t>Figura 2</w:t>
      </w:r>
      <w:r w:rsidRPr="00416EBB">
        <w:rPr>
          <w:rStyle w:val="Forte"/>
          <w:rFonts w:eastAsia="SimSun"/>
          <w:b w:val="0"/>
          <w:bCs w:val="0"/>
          <w:sz w:val="22"/>
          <w:szCs w:val="22"/>
        </w:rPr>
        <w:t xml:space="preserve"> – </w:t>
      </w:r>
      <w:r w:rsidR="00613849" w:rsidRPr="00416EBB">
        <w:rPr>
          <w:rStyle w:val="Forte"/>
          <w:rFonts w:eastAsia="SimSun"/>
          <w:b w:val="0"/>
          <w:bCs w:val="0"/>
          <w:sz w:val="22"/>
          <w:szCs w:val="22"/>
        </w:rPr>
        <w:t>Detalhe das inflorescências das e</w:t>
      </w:r>
      <w:r w:rsidRPr="00416EBB">
        <w:rPr>
          <w:rStyle w:val="Forte"/>
          <w:rFonts w:eastAsia="SimSun"/>
          <w:b w:val="0"/>
          <w:bCs w:val="0"/>
          <w:sz w:val="22"/>
          <w:szCs w:val="22"/>
        </w:rPr>
        <w:t>spécies das famílias Cyperaceae e Poaceae identificadas na área de estudo.</w:t>
      </w:r>
      <w:r w:rsidR="00613849" w:rsidRPr="00416EBB">
        <w:rPr>
          <w:rStyle w:val="Forte"/>
          <w:rFonts w:eastAsia="SimSun"/>
          <w:b w:val="0"/>
          <w:bCs w:val="0"/>
          <w:sz w:val="22"/>
          <w:szCs w:val="22"/>
        </w:rPr>
        <w:t xml:space="preserve"> </w:t>
      </w:r>
      <w:r w:rsidRPr="00416EBB">
        <w:rPr>
          <w:rFonts w:eastAsia="SimSun"/>
          <w:sz w:val="22"/>
          <w:szCs w:val="22"/>
        </w:rPr>
        <w:t xml:space="preserve">(a) </w:t>
      </w:r>
      <w:proofErr w:type="spellStart"/>
      <w:r w:rsidRPr="00416EBB">
        <w:rPr>
          <w:rStyle w:val="nfase"/>
          <w:rFonts w:eastAsia="SimSun"/>
          <w:sz w:val="22"/>
          <w:szCs w:val="22"/>
        </w:rPr>
        <w:t>Cyperus</w:t>
      </w:r>
      <w:proofErr w:type="spellEnd"/>
      <w:r w:rsidRPr="00416EBB">
        <w:rPr>
          <w:rStyle w:val="nfase"/>
          <w:rFonts w:eastAsia="SimSun"/>
          <w:sz w:val="22"/>
          <w:szCs w:val="22"/>
        </w:rPr>
        <w:t xml:space="preserve"> </w:t>
      </w:r>
      <w:proofErr w:type="spellStart"/>
      <w:r w:rsidRPr="00416EBB">
        <w:rPr>
          <w:rStyle w:val="nfase"/>
          <w:rFonts w:eastAsia="SimSun"/>
          <w:sz w:val="22"/>
          <w:szCs w:val="22"/>
        </w:rPr>
        <w:t>strigosus</w:t>
      </w:r>
      <w:proofErr w:type="spellEnd"/>
      <w:r w:rsidRPr="00416EBB">
        <w:rPr>
          <w:rFonts w:eastAsia="SimSun"/>
          <w:sz w:val="22"/>
          <w:szCs w:val="22"/>
        </w:rPr>
        <w:t xml:space="preserve"> L.; (b) </w:t>
      </w:r>
      <w:proofErr w:type="spellStart"/>
      <w:r w:rsidRPr="00416EBB">
        <w:rPr>
          <w:rStyle w:val="nfase"/>
          <w:rFonts w:eastAsia="SimSun"/>
          <w:sz w:val="22"/>
          <w:szCs w:val="22"/>
        </w:rPr>
        <w:t>Rhynchospora</w:t>
      </w:r>
      <w:proofErr w:type="spellEnd"/>
      <w:r w:rsidRPr="00416EBB">
        <w:rPr>
          <w:rStyle w:val="nfase"/>
          <w:rFonts w:eastAsia="SimSun"/>
          <w:sz w:val="22"/>
          <w:szCs w:val="22"/>
        </w:rPr>
        <w:t xml:space="preserve"> </w:t>
      </w:r>
      <w:proofErr w:type="spellStart"/>
      <w:r w:rsidRPr="00416EBB">
        <w:rPr>
          <w:rStyle w:val="nfase"/>
          <w:rFonts w:eastAsia="SimSun"/>
          <w:sz w:val="22"/>
          <w:szCs w:val="22"/>
        </w:rPr>
        <w:t>cephalotes</w:t>
      </w:r>
      <w:proofErr w:type="spellEnd"/>
      <w:r w:rsidRPr="00416EBB">
        <w:rPr>
          <w:rFonts w:eastAsia="SimSun"/>
          <w:sz w:val="22"/>
          <w:szCs w:val="22"/>
        </w:rPr>
        <w:t xml:space="preserve"> (L.) </w:t>
      </w:r>
      <w:proofErr w:type="spellStart"/>
      <w:r w:rsidRPr="00416EBB">
        <w:rPr>
          <w:rFonts w:eastAsia="SimSun"/>
          <w:sz w:val="22"/>
          <w:szCs w:val="22"/>
        </w:rPr>
        <w:t>Vahl</w:t>
      </w:r>
      <w:proofErr w:type="spellEnd"/>
      <w:r w:rsidRPr="00416EBB">
        <w:rPr>
          <w:rFonts w:eastAsia="SimSun"/>
          <w:sz w:val="22"/>
          <w:szCs w:val="22"/>
        </w:rPr>
        <w:t xml:space="preserve">; (c) </w:t>
      </w:r>
      <w:r w:rsidRPr="00416EBB">
        <w:rPr>
          <w:rStyle w:val="nfase"/>
          <w:rFonts w:eastAsia="SimSun"/>
          <w:sz w:val="22"/>
          <w:szCs w:val="22"/>
        </w:rPr>
        <w:t>R</w:t>
      </w:r>
      <w:r w:rsidR="00613849" w:rsidRPr="00416EBB">
        <w:rPr>
          <w:rStyle w:val="nfase"/>
          <w:rFonts w:eastAsia="SimSun"/>
          <w:sz w:val="22"/>
          <w:szCs w:val="22"/>
        </w:rPr>
        <w:t>.</w:t>
      </w:r>
      <w:r w:rsidRPr="00416EBB">
        <w:rPr>
          <w:rFonts w:eastAsia="SimSun"/>
          <w:sz w:val="22"/>
          <w:szCs w:val="22"/>
        </w:rPr>
        <w:t xml:space="preserve"> (</w:t>
      </w:r>
      <w:proofErr w:type="spellStart"/>
      <w:r w:rsidRPr="00416EBB">
        <w:rPr>
          <w:rFonts w:eastAsia="SimSun"/>
          <w:sz w:val="22"/>
          <w:szCs w:val="22"/>
        </w:rPr>
        <w:t>Schldtl</w:t>
      </w:r>
      <w:proofErr w:type="spellEnd"/>
      <w:r w:rsidRPr="00416EBB">
        <w:rPr>
          <w:rFonts w:eastAsia="SimSun"/>
          <w:sz w:val="22"/>
          <w:szCs w:val="22"/>
        </w:rPr>
        <w:t xml:space="preserve">. &amp; </w:t>
      </w:r>
      <w:proofErr w:type="spellStart"/>
      <w:r w:rsidRPr="00416EBB">
        <w:rPr>
          <w:rFonts w:eastAsia="SimSun"/>
          <w:sz w:val="22"/>
          <w:szCs w:val="22"/>
        </w:rPr>
        <w:t>Cham</w:t>
      </w:r>
      <w:proofErr w:type="spellEnd"/>
      <w:r w:rsidRPr="00416EBB">
        <w:rPr>
          <w:rFonts w:eastAsia="SimSun"/>
          <w:sz w:val="22"/>
          <w:szCs w:val="22"/>
        </w:rPr>
        <w:t xml:space="preserve">.) H. </w:t>
      </w:r>
      <w:proofErr w:type="spellStart"/>
      <w:r w:rsidRPr="00416EBB">
        <w:rPr>
          <w:rFonts w:eastAsia="SimSun"/>
          <w:sz w:val="22"/>
          <w:szCs w:val="22"/>
        </w:rPr>
        <w:t>Pfeiff</w:t>
      </w:r>
      <w:proofErr w:type="spellEnd"/>
      <w:r w:rsidRPr="00416EBB">
        <w:rPr>
          <w:rFonts w:eastAsia="SimSun"/>
          <w:sz w:val="22"/>
          <w:szCs w:val="22"/>
        </w:rPr>
        <w:t xml:space="preserve">; (d) </w:t>
      </w:r>
      <w:proofErr w:type="spellStart"/>
      <w:r w:rsidRPr="00416EBB">
        <w:rPr>
          <w:rStyle w:val="nfase"/>
          <w:rFonts w:eastAsia="SimSun"/>
          <w:sz w:val="22"/>
          <w:szCs w:val="22"/>
        </w:rPr>
        <w:t>Cyperus</w:t>
      </w:r>
      <w:proofErr w:type="spellEnd"/>
      <w:r w:rsidRPr="00416EBB">
        <w:rPr>
          <w:rStyle w:val="nfase"/>
          <w:rFonts w:eastAsia="SimSun"/>
          <w:sz w:val="22"/>
          <w:szCs w:val="22"/>
        </w:rPr>
        <w:t xml:space="preserve"> </w:t>
      </w:r>
      <w:proofErr w:type="spellStart"/>
      <w:r w:rsidRPr="00416EBB">
        <w:rPr>
          <w:rStyle w:val="nfase"/>
          <w:rFonts w:eastAsia="SimSun"/>
          <w:sz w:val="22"/>
          <w:szCs w:val="22"/>
        </w:rPr>
        <w:t>eragrostis</w:t>
      </w:r>
      <w:proofErr w:type="spellEnd"/>
      <w:r w:rsidRPr="00416EBB">
        <w:rPr>
          <w:rFonts w:eastAsia="SimSun"/>
          <w:sz w:val="22"/>
          <w:szCs w:val="22"/>
        </w:rPr>
        <w:t xml:space="preserve"> </w:t>
      </w:r>
      <w:proofErr w:type="spellStart"/>
      <w:r w:rsidRPr="00416EBB">
        <w:rPr>
          <w:rFonts w:eastAsia="SimSun"/>
          <w:sz w:val="22"/>
          <w:szCs w:val="22"/>
        </w:rPr>
        <w:t>Lam</w:t>
      </w:r>
      <w:proofErr w:type="spellEnd"/>
      <w:r w:rsidRPr="00416EBB">
        <w:rPr>
          <w:rFonts w:eastAsia="SimSun"/>
          <w:sz w:val="22"/>
          <w:szCs w:val="22"/>
        </w:rPr>
        <w:t xml:space="preserve">.; (e) </w:t>
      </w:r>
      <w:r w:rsidRPr="00416EBB">
        <w:rPr>
          <w:rStyle w:val="nfase"/>
          <w:rFonts w:eastAsia="SimSun"/>
          <w:sz w:val="22"/>
          <w:szCs w:val="22"/>
        </w:rPr>
        <w:t>C</w:t>
      </w:r>
      <w:r w:rsidR="00613849" w:rsidRPr="00416EBB">
        <w:rPr>
          <w:rStyle w:val="nfase"/>
          <w:rFonts w:eastAsia="SimSun"/>
          <w:sz w:val="22"/>
          <w:szCs w:val="22"/>
        </w:rPr>
        <w:t>.</w:t>
      </w:r>
      <w:r w:rsidRPr="00416EBB">
        <w:rPr>
          <w:rStyle w:val="nfase"/>
          <w:rFonts w:eastAsia="SimSun"/>
          <w:sz w:val="22"/>
          <w:szCs w:val="22"/>
        </w:rPr>
        <w:t xml:space="preserve"> </w:t>
      </w:r>
      <w:proofErr w:type="spellStart"/>
      <w:r w:rsidRPr="00416EBB">
        <w:rPr>
          <w:rStyle w:val="nfase"/>
          <w:rFonts w:eastAsia="SimSun"/>
          <w:sz w:val="22"/>
          <w:szCs w:val="22"/>
        </w:rPr>
        <w:t>luzulae</w:t>
      </w:r>
      <w:proofErr w:type="spellEnd"/>
      <w:r w:rsidRPr="00416EBB">
        <w:rPr>
          <w:rFonts w:eastAsia="SimSun"/>
          <w:sz w:val="22"/>
          <w:szCs w:val="22"/>
        </w:rPr>
        <w:t xml:space="preserve"> (L.) </w:t>
      </w:r>
      <w:proofErr w:type="spellStart"/>
      <w:r w:rsidRPr="00416EBB">
        <w:rPr>
          <w:rFonts w:eastAsia="SimSun"/>
          <w:sz w:val="22"/>
          <w:szCs w:val="22"/>
        </w:rPr>
        <w:t>Retz</w:t>
      </w:r>
      <w:proofErr w:type="spellEnd"/>
      <w:r w:rsidRPr="00416EBB">
        <w:rPr>
          <w:rFonts w:eastAsia="SimSun"/>
          <w:sz w:val="22"/>
          <w:szCs w:val="22"/>
        </w:rPr>
        <w:t xml:space="preserve">; (f) </w:t>
      </w:r>
      <w:r w:rsidRPr="00416EBB">
        <w:rPr>
          <w:rStyle w:val="nfase"/>
          <w:rFonts w:eastAsia="SimSun"/>
          <w:sz w:val="22"/>
          <w:szCs w:val="22"/>
        </w:rPr>
        <w:t xml:space="preserve">Digitaria </w:t>
      </w:r>
      <w:proofErr w:type="spellStart"/>
      <w:r w:rsidRPr="00416EBB">
        <w:rPr>
          <w:rStyle w:val="nfase"/>
          <w:rFonts w:eastAsia="SimSun"/>
          <w:sz w:val="22"/>
          <w:szCs w:val="22"/>
        </w:rPr>
        <w:t>sanguinalis</w:t>
      </w:r>
      <w:proofErr w:type="spellEnd"/>
      <w:r w:rsidRPr="00416EBB">
        <w:rPr>
          <w:rFonts w:eastAsia="SimSun"/>
          <w:sz w:val="22"/>
          <w:szCs w:val="22"/>
        </w:rPr>
        <w:t xml:space="preserve"> (L.) </w:t>
      </w:r>
      <w:proofErr w:type="spellStart"/>
      <w:r w:rsidRPr="00416EBB">
        <w:rPr>
          <w:rFonts w:eastAsia="SimSun"/>
          <w:sz w:val="22"/>
          <w:szCs w:val="22"/>
        </w:rPr>
        <w:t>Scop</w:t>
      </w:r>
      <w:proofErr w:type="spellEnd"/>
      <w:r w:rsidRPr="00416EBB">
        <w:rPr>
          <w:rFonts w:eastAsia="SimSun"/>
          <w:sz w:val="22"/>
          <w:szCs w:val="22"/>
        </w:rPr>
        <w:t xml:space="preserve">; (g) </w:t>
      </w:r>
      <w:proofErr w:type="spellStart"/>
      <w:r w:rsidRPr="00416EBB">
        <w:rPr>
          <w:rStyle w:val="nfase"/>
          <w:rFonts w:eastAsia="SimSun"/>
          <w:sz w:val="22"/>
          <w:szCs w:val="22"/>
        </w:rPr>
        <w:t>Sporobolus</w:t>
      </w:r>
      <w:proofErr w:type="spellEnd"/>
      <w:r w:rsidRPr="00416EBB">
        <w:rPr>
          <w:rStyle w:val="nfase"/>
          <w:rFonts w:eastAsia="SimSun"/>
          <w:sz w:val="22"/>
          <w:szCs w:val="22"/>
        </w:rPr>
        <w:t xml:space="preserve"> </w:t>
      </w:r>
      <w:proofErr w:type="spellStart"/>
      <w:r w:rsidRPr="00416EBB">
        <w:rPr>
          <w:rStyle w:val="nfase"/>
          <w:rFonts w:eastAsia="SimSun"/>
          <w:sz w:val="22"/>
          <w:szCs w:val="22"/>
        </w:rPr>
        <w:t>pyramidalis</w:t>
      </w:r>
      <w:proofErr w:type="spellEnd"/>
      <w:r w:rsidRPr="00416EBB">
        <w:rPr>
          <w:rFonts w:eastAsia="SimSun"/>
          <w:sz w:val="22"/>
          <w:szCs w:val="22"/>
        </w:rPr>
        <w:t xml:space="preserve"> P. </w:t>
      </w:r>
      <w:proofErr w:type="spellStart"/>
      <w:r w:rsidRPr="00416EBB">
        <w:rPr>
          <w:rFonts w:eastAsia="SimSun"/>
          <w:sz w:val="22"/>
          <w:szCs w:val="22"/>
        </w:rPr>
        <w:t>Beauv</w:t>
      </w:r>
      <w:proofErr w:type="spellEnd"/>
      <w:r w:rsidRPr="00416EBB">
        <w:rPr>
          <w:rFonts w:eastAsia="SimSun"/>
          <w:sz w:val="22"/>
          <w:szCs w:val="22"/>
        </w:rPr>
        <w:t xml:space="preserve">.; (h) </w:t>
      </w:r>
      <w:proofErr w:type="spellStart"/>
      <w:r w:rsidRPr="00416EBB">
        <w:rPr>
          <w:rStyle w:val="nfase"/>
          <w:rFonts w:eastAsia="SimSun"/>
          <w:sz w:val="22"/>
          <w:szCs w:val="22"/>
        </w:rPr>
        <w:t>Homolepis</w:t>
      </w:r>
      <w:proofErr w:type="spellEnd"/>
      <w:r w:rsidRPr="00416EBB">
        <w:rPr>
          <w:rStyle w:val="nfase"/>
          <w:rFonts w:eastAsia="SimSun"/>
          <w:sz w:val="22"/>
          <w:szCs w:val="22"/>
        </w:rPr>
        <w:t xml:space="preserve"> </w:t>
      </w:r>
      <w:proofErr w:type="spellStart"/>
      <w:r w:rsidRPr="00416EBB">
        <w:rPr>
          <w:rStyle w:val="nfase"/>
          <w:rFonts w:eastAsia="SimSun"/>
          <w:sz w:val="22"/>
          <w:szCs w:val="22"/>
        </w:rPr>
        <w:t>aturensis</w:t>
      </w:r>
      <w:proofErr w:type="spellEnd"/>
      <w:r w:rsidRPr="00416EBB">
        <w:rPr>
          <w:rFonts w:eastAsia="SimSun"/>
          <w:sz w:val="22"/>
          <w:szCs w:val="22"/>
        </w:rPr>
        <w:t xml:space="preserve"> (</w:t>
      </w:r>
      <w:proofErr w:type="spellStart"/>
      <w:r w:rsidRPr="00416EBB">
        <w:rPr>
          <w:rFonts w:eastAsia="SimSun"/>
          <w:sz w:val="22"/>
          <w:szCs w:val="22"/>
        </w:rPr>
        <w:t>Kunth</w:t>
      </w:r>
      <w:proofErr w:type="spellEnd"/>
      <w:r w:rsidRPr="00416EBB">
        <w:rPr>
          <w:rFonts w:eastAsia="SimSun"/>
          <w:sz w:val="22"/>
          <w:szCs w:val="22"/>
        </w:rPr>
        <w:t xml:space="preserve">) Chase; (i) </w:t>
      </w:r>
      <w:proofErr w:type="spellStart"/>
      <w:r w:rsidRPr="00416EBB">
        <w:rPr>
          <w:rStyle w:val="nfase"/>
          <w:rFonts w:eastAsia="SimSun"/>
          <w:sz w:val="22"/>
          <w:szCs w:val="22"/>
        </w:rPr>
        <w:t>Paspalum</w:t>
      </w:r>
      <w:proofErr w:type="spellEnd"/>
      <w:r w:rsidRPr="00416EBB">
        <w:rPr>
          <w:rStyle w:val="nfase"/>
          <w:rFonts w:eastAsia="SimSun"/>
          <w:sz w:val="22"/>
          <w:szCs w:val="22"/>
        </w:rPr>
        <w:t xml:space="preserve"> </w:t>
      </w:r>
      <w:proofErr w:type="spellStart"/>
      <w:r w:rsidRPr="00416EBB">
        <w:rPr>
          <w:rStyle w:val="nfase"/>
          <w:rFonts w:eastAsia="SimSun"/>
          <w:sz w:val="22"/>
          <w:szCs w:val="22"/>
        </w:rPr>
        <w:t>paniculatum</w:t>
      </w:r>
      <w:proofErr w:type="spellEnd"/>
      <w:r w:rsidRPr="00416EBB">
        <w:rPr>
          <w:rFonts w:eastAsia="SimSun"/>
          <w:sz w:val="22"/>
          <w:szCs w:val="22"/>
        </w:rPr>
        <w:t xml:space="preserve"> L.; (j) </w:t>
      </w:r>
      <w:proofErr w:type="spellStart"/>
      <w:r w:rsidRPr="00416EBB">
        <w:rPr>
          <w:rStyle w:val="nfase"/>
          <w:rFonts w:eastAsia="SimSun"/>
          <w:sz w:val="22"/>
          <w:szCs w:val="22"/>
        </w:rPr>
        <w:t>Steinchisma</w:t>
      </w:r>
      <w:proofErr w:type="spellEnd"/>
      <w:r w:rsidRPr="00416EBB">
        <w:rPr>
          <w:rStyle w:val="nfase"/>
          <w:rFonts w:eastAsia="SimSun"/>
          <w:sz w:val="22"/>
          <w:szCs w:val="22"/>
        </w:rPr>
        <w:t xml:space="preserve"> </w:t>
      </w:r>
      <w:proofErr w:type="spellStart"/>
      <w:r w:rsidRPr="00416EBB">
        <w:rPr>
          <w:rStyle w:val="nfase"/>
          <w:rFonts w:eastAsia="SimSun"/>
          <w:sz w:val="22"/>
          <w:szCs w:val="22"/>
        </w:rPr>
        <w:t>laxum</w:t>
      </w:r>
      <w:proofErr w:type="spellEnd"/>
      <w:r w:rsidRPr="00416EBB">
        <w:rPr>
          <w:rFonts w:eastAsia="SimSun"/>
          <w:sz w:val="22"/>
          <w:szCs w:val="22"/>
        </w:rPr>
        <w:t xml:space="preserve"> (</w:t>
      </w:r>
      <w:proofErr w:type="spellStart"/>
      <w:r w:rsidRPr="00416EBB">
        <w:rPr>
          <w:rFonts w:eastAsia="SimSun"/>
          <w:sz w:val="22"/>
          <w:szCs w:val="22"/>
        </w:rPr>
        <w:t>Sw</w:t>
      </w:r>
      <w:proofErr w:type="spellEnd"/>
      <w:r w:rsidRPr="00416EBB">
        <w:rPr>
          <w:rFonts w:eastAsia="SimSun"/>
          <w:sz w:val="22"/>
          <w:szCs w:val="22"/>
        </w:rPr>
        <w:t xml:space="preserve">.) </w:t>
      </w:r>
      <w:proofErr w:type="spellStart"/>
      <w:r w:rsidRPr="00416EBB">
        <w:rPr>
          <w:rFonts w:eastAsia="SimSun"/>
          <w:sz w:val="22"/>
          <w:szCs w:val="22"/>
        </w:rPr>
        <w:t>Zuloaga</w:t>
      </w:r>
      <w:proofErr w:type="spellEnd"/>
      <w:r w:rsidRPr="00416EBB">
        <w:rPr>
          <w:rFonts w:eastAsia="SimSun"/>
          <w:sz w:val="22"/>
          <w:szCs w:val="22"/>
        </w:rPr>
        <w:t>.</w:t>
      </w:r>
      <w:r w:rsidR="00826EDF" w:rsidRPr="00416EBB">
        <w:rPr>
          <w:noProof/>
        </w:rPr>
        <w:drawing>
          <wp:anchor distT="0" distB="0" distL="114300" distR="114300" simplePos="0" relativeHeight="251659264" behindDoc="0" locked="0" layoutInCell="1" allowOverlap="1" wp14:anchorId="6AAE9769" wp14:editId="7BDBA385">
            <wp:simplePos x="0" y="0"/>
            <wp:positionH relativeFrom="margin">
              <wp:align>right</wp:align>
            </wp:positionH>
            <wp:positionV relativeFrom="paragraph">
              <wp:posOffset>313055</wp:posOffset>
            </wp:positionV>
            <wp:extent cx="5749925" cy="2762885"/>
            <wp:effectExtent l="0" t="0" r="3175" b="0"/>
            <wp:wrapThrough wrapText="bothSides">
              <wp:wrapPolygon edited="0">
                <wp:start x="0" y="0"/>
                <wp:lineTo x="0" y="21446"/>
                <wp:lineTo x="21540" y="21446"/>
                <wp:lineTo x="21540" y="0"/>
                <wp:lineTo x="0" y="0"/>
              </wp:wrapPolygon>
            </wp:wrapThrough>
            <wp:docPr id="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F9762" w14:textId="6753FDF8" w:rsidR="000F3B52" w:rsidRPr="00416EBB" w:rsidRDefault="000F3B52" w:rsidP="002648AF">
      <w:pPr>
        <w:pStyle w:val="NormalWeb"/>
        <w:spacing w:before="0" w:beforeAutospacing="0" w:after="0" w:afterAutospacing="0"/>
        <w:jc w:val="center"/>
        <w:rPr>
          <w:b/>
          <w:bCs/>
        </w:rPr>
      </w:pPr>
    </w:p>
    <w:p w14:paraId="66139FD3" w14:textId="47BF60B1" w:rsidR="00477986" w:rsidRPr="00416EBB" w:rsidRDefault="00477986" w:rsidP="00355533">
      <w:pPr>
        <w:pStyle w:val="NormalWeb"/>
        <w:spacing w:before="0" w:beforeAutospacing="0" w:after="0" w:afterAutospacing="0"/>
        <w:rPr>
          <w:rStyle w:val="nfase"/>
          <w:i w:val="0"/>
          <w:iCs w:val="0"/>
          <w:sz w:val="22"/>
          <w:szCs w:val="22"/>
        </w:rPr>
      </w:pPr>
      <w:r w:rsidRPr="00416EBB">
        <w:rPr>
          <w:rStyle w:val="nfase"/>
          <w:b/>
          <w:bCs/>
          <w:i w:val="0"/>
          <w:iCs w:val="0"/>
          <w:sz w:val="22"/>
          <w:szCs w:val="22"/>
        </w:rPr>
        <w:t>Fonte:</w:t>
      </w:r>
      <w:r w:rsidRPr="00416EBB">
        <w:rPr>
          <w:rStyle w:val="nfase"/>
          <w:i w:val="0"/>
          <w:iCs w:val="0"/>
          <w:sz w:val="22"/>
          <w:szCs w:val="22"/>
        </w:rPr>
        <w:t xml:space="preserve"> Autores</w:t>
      </w:r>
      <w:r w:rsidR="00100E50" w:rsidRPr="00416EBB">
        <w:rPr>
          <w:rStyle w:val="nfase"/>
          <w:i w:val="0"/>
          <w:iCs w:val="0"/>
          <w:sz w:val="22"/>
          <w:szCs w:val="22"/>
        </w:rPr>
        <w:t>,</w:t>
      </w:r>
      <w:r w:rsidRPr="00416EBB">
        <w:rPr>
          <w:rStyle w:val="nfase"/>
          <w:i w:val="0"/>
          <w:iCs w:val="0"/>
          <w:sz w:val="22"/>
          <w:szCs w:val="22"/>
        </w:rPr>
        <w:t xml:space="preserve"> (2025).</w:t>
      </w:r>
    </w:p>
    <w:p w14:paraId="2FAC43EF" w14:textId="77777777" w:rsidR="00477986" w:rsidRPr="00416EBB" w:rsidRDefault="00477986" w:rsidP="002648AF">
      <w:pPr>
        <w:pStyle w:val="NormalWeb"/>
        <w:spacing w:before="0" w:beforeAutospacing="0" w:after="0" w:afterAutospacing="0"/>
        <w:rPr>
          <w:b/>
          <w:bCs/>
        </w:rPr>
      </w:pPr>
    </w:p>
    <w:p w14:paraId="4E2F3B69" w14:textId="3DAD7E6B" w:rsidR="00F37364" w:rsidRPr="00416EBB" w:rsidRDefault="00100E50" w:rsidP="00E0083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 xml:space="preserve">Na perspectiva de </w:t>
      </w:r>
      <w:r w:rsidRPr="00416EBB">
        <w:rPr>
          <w:color w:val="000000" w:themeColor="text1"/>
        </w:rPr>
        <w:t>Souza e</w:t>
      </w:r>
      <w:r w:rsidRPr="00416EBB">
        <w:rPr>
          <w:color w:val="EE0000"/>
        </w:rPr>
        <w:t xml:space="preserve"> </w:t>
      </w:r>
      <w:proofErr w:type="spellStart"/>
      <w:r w:rsidRPr="00416EBB">
        <w:rPr>
          <w:color w:val="000000" w:themeColor="text1"/>
        </w:rPr>
        <w:t>Lorenzi</w:t>
      </w:r>
      <w:proofErr w:type="spellEnd"/>
      <w:r w:rsidRPr="00416EBB">
        <w:t xml:space="preserve"> (2019) a </w:t>
      </w:r>
      <w:r w:rsidR="00F37364" w:rsidRPr="00416EBB">
        <w:t xml:space="preserve">presença de espécies dessas famílias é esperada em ambientes abertos e ensolarados, pois ambas apresentam alta capacidade de colonização e regeneração em áreas degradadas (O gênero </w:t>
      </w:r>
      <w:proofErr w:type="spellStart"/>
      <w:r w:rsidR="00F37364" w:rsidRPr="00416EBB">
        <w:rPr>
          <w:i/>
          <w:iCs/>
        </w:rPr>
        <w:t>Cyperus</w:t>
      </w:r>
      <w:proofErr w:type="spellEnd"/>
      <w:r w:rsidR="00F37364" w:rsidRPr="00416EBB">
        <w:t xml:space="preserve">, amplamente distribuído, demonstra plasticidade ecológica e ocorre em solos úmidos ou compactados, atuando como espécie pioneira em processos de sucessão vegetal. </w:t>
      </w:r>
      <w:r w:rsidR="009D110C" w:rsidRPr="00416EBB">
        <w:t xml:space="preserve">Para </w:t>
      </w:r>
      <w:proofErr w:type="spellStart"/>
      <w:r w:rsidR="009D110C" w:rsidRPr="00416EBB">
        <w:t>Karniol</w:t>
      </w:r>
      <w:proofErr w:type="spellEnd"/>
      <w:r w:rsidR="009D110C" w:rsidRPr="00416EBB">
        <w:t xml:space="preserve">, (2017) </w:t>
      </w:r>
      <w:r w:rsidR="00F37364" w:rsidRPr="00416EBB">
        <w:t xml:space="preserve">o gênero </w:t>
      </w:r>
      <w:proofErr w:type="spellStart"/>
      <w:r w:rsidR="00F37364" w:rsidRPr="00416EBB">
        <w:rPr>
          <w:i/>
          <w:iCs/>
        </w:rPr>
        <w:t>Rhynchospora</w:t>
      </w:r>
      <w:proofErr w:type="spellEnd"/>
      <w:r w:rsidR="00F37364" w:rsidRPr="00416EBB">
        <w:t xml:space="preserve"> está frequentemente associado a solos úmidos e desempenha papel importante na retenção de umidade e estabilização de substratos </w:t>
      </w:r>
    </w:p>
    <w:p w14:paraId="05070E47" w14:textId="534459C5" w:rsidR="00F37364" w:rsidRPr="00416EBB" w:rsidRDefault="00F37364" w:rsidP="002B22F4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416EBB">
        <w:t xml:space="preserve">Entre as Poaceae, espécies como </w:t>
      </w:r>
      <w:proofErr w:type="spellStart"/>
      <w:r w:rsidRPr="00416EBB">
        <w:rPr>
          <w:i/>
          <w:iCs/>
        </w:rPr>
        <w:t>Paspalum</w:t>
      </w:r>
      <w:proofErr w:type="spellEnd"/>
      <w:r w:rsidRPr="00416EBB">
        <w:rPr>
          <w:i/>
          <w:iCs/>
        </w:rPr>
        <w:t xml:space="preserve"> </w:t>
      </w:r>
      <w:proofErr w:type="spellStart"/>
      <w:r w:rsidRPr="00416EBB">
        <w:rPr>
          <w:i/>
          <w:iCs/>
        </w:rPr>
        <w:t>paniculatum</w:t>
      </w:r>
      <w:proofErr w:type="spellEnd"/>
      <w:r w:rsidRPr="00416EBB">
        <w:t xml:space="preserve"> e </w:t>
      </w:r>
      <w:proofErr w:type="spellStart"/>
      <w:r w:rsidRPr="00416EBB">
        <w:rPr>
          <w:i/>
          <w:iCs/>
        </w:rPr>
        <w:t>Sporobolus</w:t>
      </w:r>
      <w:proofErr w:type="spellEnd"/>
      <w:r w:rsidRPr="00416EBB">
        <w:rPr>
          <w:i/>
          <w:iCs/>
        </w:rPr>
        <w:t xml:space="preserve"> </w:t>
      </w:r>
      <w:proofErr w:type="spellStart"/>
      <w:r w:rsidRPr="00416EBB">
        <w:rPr>
          <w:i/>
          <w:iCs/>
        </w:rPr>
        <w:t>pyramidalis</w:t>
      </w:r>
      <w:proofErr w:type="spellEnd"/>
      <w:r w:rsidRPr="00416EBB">
        <w:t xml:space="preserve"> se destacam por formarem coberturas densas, que ajudam a reduzir a erosão e a perda de nutrientes do solo</w:t>
      </w:r>
      <w:r w:rsidR="00C33A86" w:rsidRPr="00416EBB">
        <w:t xml:space="preserve"> conforme apontado</w:t>
      </w:r>
      <w:r w:rsidRPr="00416EBB">
        <w:t xml:space="preserve"> </w:t>
      </w:r>
      <w:r w:rsidR="00C33A86" w:rsidRPr="00416EBB">
        <w:rPr>
          <w:color w:val="000000" w:themeColor="text1"/>
        </w:rPr>
        <w:t xml:space="preserve">Santos, Souza e </w:t>
      </w:r>
      <w:r w:rsidR="002B22F4" w:rsidRPr="00416EBB">
        <w:rPr>
          <w:color w:val="000000" w:themeColor="text1"/>
        </w:rPr>
        <w:t>P</w:t>
      </w:r>
      <w:r w:rsidR="00C33A86" w:rsidRPr="00416EBB">
        <w:rPr>
          <w:color w:val="000000" w:themeColor="text1"/>
        </w:rPr>
        <w:t>ereira</w:t>
      </w:r>
      <w:r w:rsidR="00100E50" w:rsidRPr="00416EBB">
        <w:t xml:space="preserve"> </w:t>
      </w:r>
      <w:r w:rsidR="002B22F4" w:rsidRPr="00416EBB">
        <w:t>(</w:t>
      </w:r>
      <w:r w:rsidRPr="00416EBB">
        <w:t>2020). Além disso,</w:t>
      </w:r>
      <w:r w:rsidR="002B22F4" w:rsidRPr="00416EBB">
        <w:t xml:space="preserve"> segundo M</w:t>
      </w:r>
      <w:r w:rsidR="002B22F4" w:rsidRPr="00416EBB">
        <w:rPr>
          <w:color w:val="000000" w:themeColor="text1"/>
        </w:rPr>
        <w:t>artins, Barbosa e Mendonça (2018)</w:t>
      </w:r>
      <w:commentRangeStart w:id="0"/>
      <w:commentRangeEnd w:id="0"/>
      <w:r w:rsidR="002B22F4" w:rsidRPr="00416EBB">
        <w:rPr>
          <w:rStyle w:val="Refdecomentrio"/>
          <w:rFonts w:eastAsiaTheme="minorHAnsi"/>
          <w:kern w:val="2"/>
          <w:lang w:eastAsia="en-US"/>
          <w14:ligatures w14:val="standardContextual"/>
        </w:rPr>
        <w:commentReference w:id="0"/>
      </w:r>
      <w:r w:rsidRPr="00416EBB">
        <w:t>gramíneas nativas exercem função essencial na manutenção da fertilidade do solo e no ciclo da matéria orgânica, sendo recomendadas para o manejo sustentável de áreas urbanas</w:t>
      </w:r>
      <w:r w:rsidR="002B22F4" w:rsidRPr="00416EBB">
        <w:rPr>
          <w:color w:val="000000" w:themeColor="text1"/>
        </w:rPr>
        <w:t>.</w:t>
      </w:r>
    </w:p>
    <w:p w14:paraId="7ABB792E" w14:textId="77777777" w:rsidR="00F37364" w:rsidRPr="00416EBB" w:rsidRDefault="00F37364" w:rsidP="00E0083E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>A diversidade encontrada sugere que, mesmo sob forte pressão antrópica, a área mantém um potencial ecológico relevante, abrigando espécies que contribuem para a estabilidade e recuperação da vegetação. Essa composição reflete um estágio intermediário de regeneração, no qual espécies nativas e exóticas coexistem e desempenham funções complementares na estrutura da comunidade vegetal.</w:t>
      </w:r>
    </w:p>
    <w:p w14:paraId="5C2249FF" w14:textId="0034B1A3" w:rsidR="00E21AA0" w:rsidRPr="00416EBB" w:rsidRDefault="00F37364" w:rsidP="002B22F4">
      <w:pPr>
        <w:pStyle w:val="NormalWeb"/>
        <w:spacing w:before="0" w:beforeAutospacing="0" w:after="0" w:afterAutospacing="0" w:line="360" w:lineRule="auto"/>
        <w:ind w:firstLine="709"/>
        <w:jc w:val="both"/>
      </w:pPr>
      <w:r w:rsidRPr="00416EBB">
        <w:t xml:space="preserve">Desse modo, as famílias Cyperaceae e Poaceae confirmam sua importância como grupos </w:t>
      </w:r>
      <w:proofErr w:type="spellStart"/>
      <w:r w:rsidRPr="00416EBB">
        <w:t>bioindicadores</w:t>
      </w:r>
      <w:proofErr w:type="spellEnd"/>
      <w:r w:rsidRPr="00416EBB">
        <w:t xml:space="preserve"> em ecossistemas perturbados, auxiliando na compreensão dos processos de recuperação ambiental e dinâmica de vegetação urbana na Amazônia oriental.</w:t>
      </w:r>
    </w:p>
    <w:p w14:paraId="66F302F8" w14:textId="77777777" w:rsidR="005A126A" w:rsidRPr="00416EBB" w:rsidRDefault="005A126A" w:rsidP="002B22F4">
      <w:pPr>
        <w:pStyle w:val="NormalWeb"/>
        <w:spacing w:before="0" w:beforeAutospacing="0" w:after="0" w:afterAutospacing="0" w:line="360" w:lineRule="auto"/>
        <w:ind w:firstLine="709"/>
        <w:jc w:val="both"/>
      </w:pPr>
    </w:p>
    <w:p w14:paraId="61FE8832" w14:textId="397E28D0" w:rsidR="00652C03" w:rsidRPr="00416EBB" w:rsidRDefault="00C613C1" w:rsidP="005A126A">
      <w:pPr>
        <w:pStyle w:val="NormalWeb"/>
        <w:spacing w:before="0" w:beforeAutospacing="0" w:after="0" w:afterAutospacing="0"/>
        <w:rPr>
          <w:b/>
          <w:bCs/>
        </w:rPr>
      </w:pPr>
      <w:r w:rsidRPr="00416EBB">
        <w:rPr>
          <w:b/>
          <w:bCs/>
        </w:rPr>
        <w:t xml:space="preserve">4. </w:t>
      </w:r>
      <w:r w:rsidR="00836B0A" w:rsidRPr="00416EBB">
        <w:rPr>
          <w:b/>
          <w:bCs/>
        </w:rPr>
        <w:t>CON</w:t>
      </w:r>
      <w:r w:rsidR="000A6625" w:rsidRPr="00416EBB">
        <w:rPr>
          <w:b/>
          <w:bCs/>
        </w:rPr>
        <w:t>CL</w:t>
      </w:r>
      <w:r w:rsidR="00836B0A" w:rsidRPr="00416EBB">
        <w:rPr>
          <w:b/>
          <w:bCs/>
        </w:rPr>
        <w:t>USÃO</w:t>
      </w:r>
    </w:p>
    <w:p w14:paraId="23FE9DD0" w14:textId="09C6DB36" w:rsidR="0066529D" w:rsidRPr="00416EBB" w:rsidRDefault="00346E9E" w:rsidP="00E008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Conclui-se que, apesar das pressões urbanas, a área estudada mantém espécies com funções ecológicas essenciais, apresentando potencial para regeneração natural. Poaceae e Cyperaceae se destacam como grupos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bioindicadores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da dinâmica vegetal em ambientes urbanos, reforçando a importância de preservar e manejar adequadamente as áreas verdes remanescentes no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Icuí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-Guajará.</w:t>
      </w:r>
    </w:p>
    <w:p w14:paraId="754CD03D" w14:textId="77777777" w:rsidR="00F06AEF" w:rsidRPr="00416EBB" w:rsidRDefault="00F06AEF" w:rsidP="002648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7BF12" w14:textId="2886FE96" w:rsidR="001C1F06" w:rsidRPr="00416EBB" w:rsidRDefault="001C1F06" w:rsidP="002648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6EBB">
        <w:rPr>
          <w:rFonts w:ascii="Times New Roman" w:hAnsi="Times New Roman" w:cs="Times New Roman"/>
          <w:b/>
          <w:bCs/>
          <w:sz w:val="24"/>
          <w:szCs w:val="24"/>
        </w:rPr>
        <w:t>REFERÊNCIAS</w:t>
      </w:r>
    </w:p>
    <w:p w14:paraId="5DE18AF8" w14:textId="77777777" w:rsidR="001C1F06" w:rsidRPr="00416EBB" w:rsidRDefault="001C1F06" w:rsidP="002648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FAF07" w14:textId="77777777" w:rsidR="001C1F06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ANGIOSPERM PHYLOGENY GROUP (APG IV).</w:t>
      </w:r>
      <w:r w:rsidR="001C1F06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</w:p>
    <w:p w14:paraId="16283256" w14:textId="781A6DB1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update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Angiosperm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Phylogeny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Group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classification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orders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families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flowering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plants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: APG IV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Botanical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Journal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Linnean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Society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v. 181, n. 1, p. 1–20, 2016.</w:t>
      </w:r>
    </w:p>
    <w:p w14:paraId="5FC1D895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1F1FD88C" w14:textId="7B56EF02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it-IT"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ARONSON, M. F. J.; LAURIE, S.; FAETH, S. H.; GODDARD, M. A.; NIEMELÄ, J.; NILON, C. H.; PATRICK, P.; STANLEY, C.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H.Biodiversity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city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: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key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challenges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urban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green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space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management.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 w:eastAsia="pt-BR"/>
          <w14:ligatures w14:val="none"/>
        </w:rPr>
        <w:t>Frontiers in Ecology and the Environment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val="it-IT" w:eastAsia="pt-BR"/>
          <w14:ligatures w14:val="none"/>
        </w:rPr>
        <w:t>, v. 15, n. 4, p. 189–196, 2017.</w:t>
      </w:r>
    </w:p>
    <w:p w14:paraId="27FDB6F8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 w:eastAsia="pt-BR"/>
          <w14:ligatures w14:val="none"/>
        </w:rPr>
      </w:pPr>
    </w:p>
    <w:p w14:paraId="23C33B64" w14:textId="3F357CE1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val="it-IT" w:eastAsia="pt-BR"/>
          <w14:ligatures w14:val="none"/>
        </w:rPr>
        <w:t>ESRI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it-IT" w:eastAsia="pt-BR"/>
          <w14:ligatures w14:val="none"/>
        </w:rPr>
        <w:t>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val="it-IT"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ArcGIS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Desktop: Release 10.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Redlands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: Environmental Systems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Research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Institute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2010.</w:t>
      </w:r>
    </w:p>
    <w:p w14:paraId="645A8DCB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13CA3E94" w14:textId="0204A6A6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FERRAZ, D. T.; STREGLIO, C. F. C.; OLIVEIRA, I. J.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O processo de expansão urbana e seus reflexos na redução da cobertura vegetal no município de Goiânia-GO.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RA’E GA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v. 28, p. 181–197, 2013.</w:t>
      </w:r>
    </w:p>
    <w:p w14:paraId="7BA45E39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50CF5FAC" w14:textId="687E96D9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FILGUEIRAS, T. S.; SILVA, C. S.; VIANA, P. L.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Grasses in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herbaceous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stratum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: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quantitative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analysis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richness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cover in Central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Brazil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Biotropica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v. 30, p. 71–77, 1998.</w:t>
      </w:r>
    </w:p>
    <w:p w14:paraId="310A2DD0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3E963442" w14:textId="4E470C54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FILGUEIRAS, T. S.; VIANA, P. L.; ZULOAGA, F. O.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Gramíneas do Brasil.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In: Lista de Espécies da Flora do Brasil. Rio de Janeiro: Jardim Botânico do Rio de Janeiro, 2012. Disponível em: http://floradobrasil.jbrj.gov.br/2011. Acesso em: 6 ago. 2025.</w:t>
      </w:r>
    </w:p>
    <w:p w14:paraId="18FA7382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235F9B99" w14:textId="184EC8B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FLORA DO BRASIL 2025.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Instituto de Pesquisas Jardim Botânico do Rio de Janeiro.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Disponível em: http://floradobrasil.jbrj.gov.br. Acesso em: 6 ago. 2025.</w:t>
      </w:r>
    </w:p>
    <w:p w14:paraId="0EF837E4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25E10B55" w14:textId="575C7F30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GÓMEZ-BAGGETHUN, E.; ELMQVIST, T.; ANDERSSON, E.; FRIES, M.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Urban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ecosystem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services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. In: ELMQVIST, T.; ANDERSSON, E.; FRIES, M. (org.).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Urbanization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Biodiversity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Ecosystem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Services: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Challenges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Opportunities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 Dordrecht: Springer, 2013. p. 175–251.</w:t>
      </w:r>
    </w:p>
    <w:p w14:paraId="7BE487BE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457C920C" w14:textId="11831C01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GOETGHEBEUR, P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Cyperaceae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In: KUBITZKI, K. (ed.).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The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Families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Genera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Vascular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Plants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 Berlin: Springer, 1998. v. 4, p. 141–190.</w:t>
      </w:r>
    </w:p>
    <w:p w14:paraId="5A016220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56FBABDA" w14:textId="49E9956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KARNIOL, C. Y.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Cyperaceae do Parque Nacional da Restinga de Jurubatiba, Rio de Janeiro, Brasil.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Rodriguésia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,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v. 68, n. 3, p. 621–640, 2017.</w:t>
      </w:r>
    </w:p>
    <w:p w14:paraId="5D5BAB11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0FFCADB4" w14:textId="21156829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MARTINS, A. P.; BARBOSA, R. I.; MENDONÇA, R.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F.Flora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e estrutura de comunidades herbáceas em áreas degradadas da Amazônia Central.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Acta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Amazonica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v. 48, n. 2, p. 145–154, 2018.</w:t>
      </w:r>
    </w:p>
    <w:p w14:paraId="47BFB61A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6BA08E42" w14:textId="20A21FC2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MARTINS, R. N. S.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Impactos da expansão urbana em um município metropolitano: análise da retirada da cobertura vegetal de Aparecida de Goiânia entre 1985 e 2010.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Boletim Goiano de Geografia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v. 33, n. 2, p. 335–354, 2013.</w:t>
      </w:r>
    </w:p>
    <w:p w14:paraId="16B2BC73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097E58D7" w14:textId="66C4BDF2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OLIVEIRA, A. L. R.; GIL, A. S. B.; BOVE, C. P.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Hydrophytic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Cyperaceae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Araguaia River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Basin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Brazil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Flora do Brasil 2025 em construção. Rio de Janeiro: Jardim Botânico do Rio de Janeiro, 2011. Disponível em: http://floradobrasil.jbrj.gov.br. Acesso em: 7 ago. 2025.</w:t>
      </w:r>
    </w:p>
    <w:p w14:paraId="75D64D23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4F22E215" w14:textId="2345045E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RADFORD, A. E.; DICKISON, W. C.; MASSEY, J. R.; BELL, C. R.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Vascular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plant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systematics</w:t>
      </w:r>
      <w:proofErr w:type="spellEnd"/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New York: Harper &amp; </w:t>
      </w:r>
      <w:proofErr w:type="spellStart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Row</w:t>
      </w:r>
      <w:proofErr w:type="spellEnd"/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1974.</w:t>
      </w:r>
    </w:p>
    <w:p w14:paraId="3DDAC9BC" w14:textId="77777777" w:rsidR="00B6016D" w:rsidRPr="00416EBB" w:rsidRDefault="00B6016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08481F64" w14:textId="1EC4E6FC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SANTOS, L. P.; SOUZA, G. F.; PEREIRA, A. C.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Grupos funcionais de gramíneas em áreas de recuperação ambiental no norte do Brasil.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Revista de Biociências da Amazônia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v. 9, n. 2, p. 77–88, 2020.</w:t>
      </w:r>
    </w:p>
    <w:p w14:paraId="561738FF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51E8F80C" w14:textId="12F32599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SOUZA, V. C.; LORENZI, H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Botânica sistemática: guia ilustrado para identificação das famílias de angiospermas da flora brasileira.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4. ed. Nova Odessa: Instituto Plantarum, 2019.</w:t>
      </w:r>
    </w:p>
    <w:p w14:paraId="153A4686" w14:textId="77777777" w:rsidR="0066529D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</w:pPr>
    </w:p>
    <w:p w14:paraId="2F32951C" w14:textId="6D766932" w:rsidR="00652C03" w:rsidRPr="00416EBB" w:rsidRDefault="0066529D" w:rsidP="002648A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STREGLIO, C. F. C.; FERREIRA, D. T.; OLIVEIRA, I. J.</w:t>
      </w:r>
      <w:r w:rsidR="00B6016D"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Pr="00416EB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t-BR"/>
          <w14:ligatures w14:val="none"/>
        </w:rPr>
        <w:t>O processo de expansão urbana e seus reflexos na redução da cobertura vegetal no município de Goiânia-GO</w:t>
      </w:r>
      <w:r w:rsidRPr="00416EB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 RA’E GA, v. 28, p. 181–197, 2013.</w:t>
      </w:r>
    </w:p>
    <w:sectPr w:rsidR="00652C03" w:rsidRPr="00416EBB" w:rsidSect="000F3B52">
      <w:headerReference w:type="default" r:id="rId13"/>
      <w:footerReference w:type="default" r:id="rId14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Conta da Microsoft" w:date="2025-12-02T13:46:00Z" w:initials="CdM">
    <w:p w14:paraId="75E9ABE9" w14:textId="77777777" w:rsidR="002B22F4" w:rsidRDefault="002B22F4" w:rsidP="002B22F4">
      <w:pPr>
        <w:pStyle w:val="Textodecomentrio"/>
      </w:pPr>
      <w:r>
        <w:rPr>
          <w:rStyle w:val="Refdecomentrio"/>
        </w:rPr>
        <w:annotationRef/>
      </w:r>
      <w:r>
        <w:t xml:space="preserve">Verificar </w:t>
      </w:r>
      <w:r w:rsidRPr="00EC6F23">
        <w:t>ABNT NBR 10520:2023</w:t>
      </w:r>
    </w:p>
    <w:p w14:paraId="207502F5" w14:textId="77777777" w:rsidR="002B22F4" w:rsidRDefault="002B22F4" w:rsidP="002B22F4">
      <w:pPr>
        <w:pStyle w:val="Textodecomentri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07502F5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07502F5" w16cid:durableId="6CA4557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A9374" w14:textId="77777777" w:rsidR="00E46FD4" w:rsidRDefault="00E46FD4">
      <w:pPr>
        <w:spacing w:line="240" w:lineRule="auto"/>
      </w:pPr>
      <w:r>
        <w:separator/>
      </w:r>
    </w:p>
  </w:endnote>
  <w:endnote w:type="continuationSeparator" w:id="0">
    <w:p w14:paraId="45B35AA6" w14:textId="77777777" w:rsidR="00E46FD4" w:rsidRDefault="00E46F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F0E02" w14:textId="07B9CF87" w:rsidR="00652C03" w:rsidRDefault="00C255DD">
    <w:pPr>
      <w:rPr>
        <w:rFonts w:eastAsia="Calibri" w:cs="Times New Roman"/>
        <w:b/>
        <w:sz w:val="24"/>
        <w:szCs w:val="24"/>
      </w:rPr>
    </w:pP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61312" behindDoc="0" locked="0" layoutInCell="1" allowOverlap="1" wp14:anchorId="61C10CAC" wp14:editId="3E7E4630">
          <wp:simplePos x="0" y="0"/>
          <wp:positionH relativeFrom="margin">
            <wp:posOffset>1036320</wp:posOffset>
          </wp:positionH>
          <wp:positionV relativeFrom="page">
            <wp:posOffset>10014585</wp:posOffset>
          </wp:positionV>
          <wp:extent cx="1231900" cy="381000"/>
          <wp:effectExtent l="0" t="0" r="6350" b="0"/>
          <wp:wrapSquare wrapText="bothSides"/>
          <wp:docPr id="117459591" name="Imagem 2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59591" name="Imagem 2" descr="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65408" behindDoc="0" locked="0" layoutInCell="1" allowOverlap="1" wp14:anchorId="6E3BBCA9" wp14:editId="2930FADB">
          <wp:simplePos x="0" y="0"/>
          <wp:positionH relativeFrom="column">
            <wp:posOffset>3009900</wp:posOffset>
          </wp:positionH>
          <wp:positionV relativeFrom="page">
            <wp:posOffset>10028555</wp:posOffset>
          </wp:positionV>
          <wp:extent cx="542925" cy="387350"/>
          <wp:effectExtent l="0" t="0" r="0" b="0"/>
          <wp:wrapSquare wrapText="bothSides"/>
          <wp:docPr id="1773678874" name="Imagem 8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678874" name="Imagem 8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67456" behindDoc="0" locked="0" layoutInCell="1" allowOverlap="1" wp14:anchorId="76CE2250" wp14:editId="2C5EB732">
          <wp:simplePos x="0" y="0"/>
          <wp:positionH relativeFrom="column">
            <wp:posOffset>3758565</wp:posOffset>
          </wp:positionH>
          <wp:positionV relativeFrom="page">
            <wp:posOffset>10039985</wp:posOffset>
          </wp:positionV>
          <wp:extent cx="914400" cy="353060"/>
          <wp:effectExtent l="0" t="0" r="0" b="8890"/>
          <wp:wrapSquare wrapText="bothSides"/>
          <wp:docPr id="1322856225" name="Imagem 9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2856225" name="Imagem 9" descr="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69504" behindDoc="0" locked="0" layoutInCell="1" allowOverlap="1" wp14:anchorId="4CCDC19B" wp14:editId="41596137">
          <wp:simplePos x="0" y="0"/>
          <wp:positionH relativeFrom="column">
            <wp:posOffset>4855845</wp:posOffset>
          </wp:positionH>
          <wp:positionV relativeFrom="bottomMargin">
            <wp:posOffset>383540</wp:posOffset>
          </wp:positionV>
          <wp:extent cx="756920" cy="333375"/>
          <wp:effectExtent l="0" t="0" r="5080" b="9525"/>
          <wp:wrapSquare wrapText="bothSides"/>
          <wp:docPr id="824423000" name="Imagem 10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4423000" name="Imagem 10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99488E" w14:textId="7E5B1886" w:rsidR="00652C03" w:rsidRDefault="00C255DD">
    <w:pPr>
      <w:pStyle w:val="Rodap"/>
    </w:pP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63360" behindDoc="0" locked="0" layoutInCell="1" allowOverlap="1" wp14:anchorId="5CFB2C11" wp14:editId="7E37124F">
          <wp:simplePos x="0" y="0"/>
          <wp:positionH relativeFrom="column">
            <wp:posOffset>2381250</wp:posOffset>
          </wp:positionH>
          <wp:positionV relativeFrom="page">
            <wp:posOffset>10109200</wp:posOffset>
          </wp:positionV>
          <wp:extent cx="552450" cy="314325"/>
          <wp:effectExtent l="0" t="0" r="0" b="0"/>
          <wp:wrapSquare wrapText="bothSides"/>
          <wp:docPr id="1202485175" name="Imagem 7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2485175" name="Imagem 7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noProof/>
        <w:color w:val="000000"/>
        <w:lang w:eastAsia="pt-BR"/>
      </w:rPr>
      <w:drawing>
        <wp:anchor distT="0" distB="0" distL="114300" distR="114300" simplePos="0" relativeHeight="251659264" behindDoc="0" locked="0" layoutInCell="1" allowOverlap="1" wp14:anchorId="376DC561" wp14:editId="1F0E3B25">
          <wp:simplePos x="0" y="0"/>
          <wp:positionH relativeFrom="margin">
            <wp:posOffset>91440</wp:posOffset>
          </wp:positionH>
          <wp:positionV relativeFrom="page">
            <wp:posOffset>10116820</wp:posOffset>
          </wp:positionV>
          <wp:extent cx="762000" cy="245745"/>
          <wp:effectExtent l="0" t="0" r="0" b="1905"/>
          <wp:wrapSquare wrapText="bothSides"/>
          <wp:docPr id="1071174108" name="Imagem 4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1174108" name="Imagem 4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749" b="19098"/>
                  <a:stretch/>
                </pic:blipFill>
                <pic:spPr bwMode="auto">
                  <a:xfrm>
                    <a:off x="0" y="0"/>
                    <a:ext cx="762000" cy="245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F03FE" w14:textId="77777777" w:rsidR="00E46FD4" w:rsidRDefault="00E46FD4">
      <w:pPr>
        <w:spacing w:after="0"/>
      </w:pPr>
      <w:r>
        <w:separator/>
      </w:r>
    </w:p>
  </w:footnote>
  <w:footnote w:type="continuationSeparator" w:id="0">
    <w:p w14:paraId="6C9897DF" w14:textId="77777777" w:rsidR="00E46FD4" w:rsidRDefault="00E46F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5718F" w14:textId="364F2D40" w:rsidR="00652C03" w:rsidRPr="002648AF" w:rsidRDefault="005A126A" w:rsidP="005A126A">
    <w:pPr>
      <w:pStyle w:val="Cabealho"/>
      <w:jc w:val="center"/>
    </w:pPr>
    <w:r>
      <w:rPr>
        <w:noProof/>
      </w:rPr>
      <w:drawing>
        <wp:inline distT="0" distB="0" distL="0" distR="0" wp14:anchorId="1687C2D3" wp14:editId="3FB11E6E">
          <wp:extent cx="2628265" cy="130105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2655245" cy="13144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1833E8"/>
    <w:multiLevelType w:val="hybridMultilevel"/>
    <w:tmpl w:val="CE8425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62664"/>
    <w:multiLevelType w:val="hybridMultilevel"/>
    <w:tmpl w:val="058E96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95692"/>
    <w:multiLevelType w:val="hybridMultilevel"/>
    <w:tmpl w:val="61FA0B9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871B0"/>
    <w:multiLevelType w:val="hybridMultilevel"/>
    <w:tmpl w:val="66CAD54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3365F1"/>
    <w:multiLevelType w:val="hybridMultilevel"/>
    <w:tmpl w:val="1BF285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F3F05"/>
    <w:multiLevelType w:val="hybridMultilevel"/>
    <w:tmpl w:val="AAFC38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2935843">
    <w:abstractNumId w:val="4"/>
  </w:num>
  <w:num w:numId="2" w16cid:durableId="1338267647">
    <w:abstractNumId w:val="0"/>
  </w:num>
  <w:num w:numId="3" w16cid:durableId="2098939071">
    <w:abstractNumId w:val="1"/>
  </w:num>
  <w:num w:numId="4" w16cid:durableId="848758945">
    <w:abstractNumId w:val="5"/>
  </w:num>
  <w:num w:numId="5" w16cid:durableId="1348026219">
    <w:abstractNumId w:val="2"/>
  </w:num>
  <w:num w:numId="6" w16cid:durableId="28744336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onta da Microsoft">
    <w15:presenceInfo w15:providerId="Windows Live" w15:userId="05e7a02ca5776ae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A52"/>
    <w:rsid w:val="00000ECC"/>
    <w:rsid w:val="00010D6F"/>
    <w:rsid w:val="000115B1"/>
    <w:rsid w:val="000149C8"/>
    <w:rsid w:val="000179EE"/>
    <w:rsid w:val="00017EE3"/>
    <w:rsid w:val="000457F6"/>
    <w:rsid w:val="00053B5B"/>
    <w:rsid w:val="0007396C"/>
    <w:rsid w:val="0009083C"/>
    <w:rsid w:val="00090B12"/>
    <w:rsid w:val="000A6625"/>
    <w:rsid w:val="000A7135"/>
    <w:rsid w:val="000B40D6"/>
    <w:rsid w:val="000C0937"/>
    <w:rsid w:val="000C2E33"/>
    <w:rsid w:val="000D5037"/>
    <w:rsid w:val="000E5A8B"/>
    <w:rsid w:val="000F3B52"/>
    <w:rsid w:val="00100E50"/>
    <w:rsid w:val="00112031"/>
    <w:rsid w:val="00112D90"/>
    <w:rsid w:val="00117380"/>
    <w:rsid w:val="00117802"/>
    <w:rsid w:val="00125066"/>
    <w:rsid w:val="00130D25"/>
    <w:rsid w:val="00132745"/>
    <w:rsid w:val="00134923"/>
    <w:rsid w:val="00161B80"/>
    <w:rsid w:val="00172086"/>
    <w:rsid w:val="00176B0A"/>
    <w:rsid w:val="001812E5"/>
    <w:rsid w:val="00187C6D"/>
    <w:rsid w:val="00194684"/>
    <w:rsid w:val="001A2A52"/>
    <w:rsid w:val="001A6AFB"/>
    <w:rsid w:val="001B054C"/>
    <w:rsid w:val="001B22F6"/>
    <w:rsid w:val="001B5D71"/>
    <w:rsid w:val="001C1F06"/>
    <w:rsid w:val="00201294"/>
    <w:rsid w:val="00207C89"/>
    <w:rsid w:val="002110B9"/>
    <w:rsid w:val="002154FE"/>
    <w:rsid w:val="00241C83"/>
    <w:rsid w:val="002648AF"/>
    <w:rsid w:val="00275CE0"/>
    <w:rsid w:val="00280844"/>
    <w:rsid w:val="00286301"/>
    <w:rsid w:val="0029026F"/>
    <w:rsid w:val="00294A3A"/>
    <w:rsid w:val="002A5CE4"/>
    <w:rsid w:val="002B22F4"/>
    <w:rsid w:val="002B6306"/>
    <w:rsid w:val="002B73E0"/>
    <w:rsid w:val="002B78E0"/>
    <w:rsid w:val="002D59C3"/>
    <w:rsid w:val="002E02F8"/>
    <w:rsid w:val="002F4170"/>
    <w:rsid w:val="003233B2"/>
    <w:rsid w:val="00325BA9"/>
    <w:rsid w:val="003269F0"/>
    <w:rsid w:val="00340BB5"/>
    <w:rsid w:val="00346E9E"/>
    <w:rsid w:val="00353568"/>
    <w:rsid w:val="00355533"/>
    <w:rsid w:val="00383428"/>
    <w:rsid w:val="003A5D52"/>
    <w:rsid w:val="003C3DE6"/>
    <w:rsid w:val="003E0F1D"/>
    <w:rsid w:val="003E1B10"/>
    <w:rsid w:val="003E455A"/>
    <w:rsid w:val="003F01BF"/>
    <w:rsid w:val="004049E4"/>
    <w:rsid w:val="00412BC0"/>
    <w:rsid w:val="00416EBB"/>
    <w:rsid w:val="0043561A"/>
    <w:rsid w:val="00441A10"/>
    <w:rsid w:val="00454FC5"/>
    <w:rsid w:val="0047539E"/>
    <w:rsid w:val="00477986"/>
    <w:rsid w:val="004905E8"/>
    <w:rsid w:val="0049346A"/>
    <w:rsid w:val="004A3FD9"/>
    <w:rsid w:val="004B56D2"/>
    <w:rsid w:val="004C09D8"/>
    <w:rsid w:val="004C5C8F"/>
    <w:rsid w:val="004D0D7A"/>
    <w:rsid w:val="004E4AF9"/>
    <w:rsid w:val="00500A13"/>
    <w:rsid w:val="00513065"/>
    <w:rsid w:val="005466B7"/>
    <w:rsid w:val="005540AD"/>
    <w:rsid w:val="00556357"/>
    <w:rsid w:val="00567CFD"/>
    <w:rsid w:val="00585F3D"/>
    <w:rsid w:val="00586577"/>
    <w:rsid w:val="00596107"/>
    <w:rsid w:val="005A126A"/>
    <w:rsid w:val="005A2EE2"/>
    <w:rsid w:val="005A6002"/>
    <w:rsid w:val="005C2F0E"/>
    <w:rsid w:val="005C7A0A"/>
    <w:rsid w:val="005D1BB5"/>
    <w:rsid w:val="005F3D0E"/>
    <w:rsid w:val="00611BCE"/>
    <w:rsid w:val="00613849"/>
    <w:rsid w:val="0061410B"/>
    <w:rsid w:val="006220DF"/>
    <w:rsid w:val="00652C03"/>
    <w:rsid w:val="0066529D"/>
    <w:rsid w:val="0067315A"/>
    <w:rsid w:val="0068599A"/>
    <w:rsid w:val="00690FF0"/>
    <w:rsid w:val="006A2E6A"/>
    <w:rsid w:val="006A75DF"/>
    <w:rsid w:val="006D280E"/>
    <w:rsid w:val="006D5125"/>
    <w:rsid w:val="006E3E04"/>
    <w:rsid w:val="006E7641"/>
    <w:rsid w:val="006E76E0"/>
    <w:rsid w:val="006F0A0C"/>
    <w:rsid w:val="00713C8F"/>
    <w:rsid w:val="007156C0"/>
    <w:rsid w:val="007219FE"/>
    <w:rsid w:val="00732D6A"/>
    <w:rsid w:val="00734094"/>
    <w:rsid w:val="007451E2"/>
    <w:rsid w:val="0075744E"/>
    <w:rsid w:val="00761599"/>
    <w:rsid w:val="007648D6"/>
    <w:rsid w:val="00776670"/>
    <w:rsid w:val="00776EE9"/>
    <w:rsid w:val="007814F9"/>
    <w:rsid w:val="0079161C"/>
    <w:rsid w:val="00793438"/>
    <w:rsid w:val="00795861"/>
    <w:rsid w:val="00797CBD"/>
    <w:rsid w:val="007A1F91"/>
    <w:rsid w:val="007A70BE"/>
    <w:rsid w:val="007B6AE9"/>
    <w:rsid w:val="007C0E26"/>
    <w:rsid w:val="007D3A78"/>
    <w:rsid w:val="007F0714"/>
    <w:rsid w:val="007F13E4"/>
    <w:rsid w:val="00801964"/>
    <w:rsid w:val="008214BD"/>
    <w:rsid w:val="00821FC2"/>
    <w:rsid w:val="00826EDF"/>
    <w:rsid w:val="00836B0A"/>
    <w:rsid w:val="008631B6"/>
    <w:rsid w:val="00866403"/>
    <w:rsid w:val="00870EF3"/>
    <w:rsid w:val="00874C30"/>
    <w:rsid w:val="00882920"/>
    <w:rsid w:val="008832DA"/>
    <w:rsid w:val="00884F08"/>
    <w:rsid w:val="00890C42"/>
    <w:rsid w:val="008A6986"/>
    <w:rsid w:val="008C47A7"/>
    <w:rsid w:val="008E08AE"/>
    <w:rsid w:val="008E16CC"/>
    <w:rsid w:val="008E6104"/>
    <w:rsid w:val="008F6C43"/>
    <w:rsid w:val="008F6D41"/>
    <w:rsid w:val="00911899"/>
    <w:rsid w:val="009365EB"/>
    <w:rsid w:val="00940692"/>
    <w:rsid w:val="00947B35"/>
    <w:rsid w:val="009553CE"/>
    <w:rsid w:val="00970A21"/>
    <w:rsid w:val="00970D0C"/>
    <w:rsid w:val="00974B15"/>
    <w:rsid w:val="0098305C"/>
    <w:rsid w:val="009A19F8"/>
    <w:rsid w:val="009A7063"/>
    <w:rsid w:val="009C220D"/>
    <w:rsid w:val="009C7273"/>
    <w:rsid w:val="009D110C"/>
    <w:rsid w:val="009E7503"/>
    <w:rsid w:val="009F300D"/>
    <w:rsid w:val="00A14D17"/>
    <w:rsid w:val="00A23E6E"/>
    <w:rsid w:val="00A2537A"/>
    <w:rsid w:val="00A31AF0"/>
    <w:rsid w:val="00A33BB0"/>
    <w:rsid w:val="00A40F41"/>
    <w:rsid w:val="00A60089"/>
    <w:rsid w:val="00A630B5"/>
    <w:rsid w:val="00A7030E"/>
    <w:rsid w:val="00A86AAE"/>
    <w:rsid w:val="00A92659"/>
    <w:rsid w:val="00AA1780"/>
    <w:rsid w:val="00AA403C"/>
    <w:rsid w:val="00AB009C"/>
    <w:rsid w:val="00AB02F6"/>
    <w:rsid w:val="00AB3BE9"/>
    <w:rsid w:val="00AC3DD0"/>
    <w:rsid w:val="00AD649F"/>
    <w:rsid w:val="00AD74FB"/>
    <w:rsid w:val="00AF10D1"/>
    <w:rsid w:val="00B22993"/>
    <w:rsid w:val="00B44E7A"/>
    <w:rsid w:val="00B6016D"/>
    <w:rsid w:val="00B61E3B"/>
    <w:rsid w:val="00B83B63"/>
    <w:rsid w:val="00B91312"/>
    <w:rsid w:val="00BA6B1B"/>
    <w:rsid w:val="00BB1728"/>
    <w:rsid w:val="00BB1A0D"/>
    <w:rsid w:val="00BB71EC"/>
    <w:rsid w:val="00BC1ADF"/>
    <w:rsid w:val="00BE08E4"/>
    <w:rsid w:val="00BE1FD6"/>
    <w:rsid w:val="00BF3344"/>
    <w:rsid w:val="00C008F3"/>
    <w:rsid w:val="00C20ADB"/>
    <w:rsid w:val="00C255DD"/>
    <w:rsid w:val="00C26243"/>
    <w:rsid w:val="00C30150"/>
    <w:rsid w:val="00C31316"/>
    <w:rsid w:val="00C33A86"/>
    <w:rsid w:val="00C35064"/>
    <w:rsid w:val="00C3741F"/>
    <w:rsid w:val="00C43C02"/>
    <w:rsid w:val="00C613C1"/>
    <w:rsid w:val="00C74E23"/>
    <w:rsid w:val="00C82A5E"/>
    <w:rsid w:val="00C86DEA"/>
    <w:rsid w:val="00CC5684"/>
    <w:rsid w:val="00CD76EA"/>
    <w:rsid w:val="00CE566B"/>
    <w:rsid w:val="00CF0CD7"/>
    <w:rsid w:val="00CF49C1"/>
    <w:rsid w:val="00D00B93"/>
    <w:rsid w:val="00D02963"/>
    <w:rsid w:val="00D04E37"/>
    <w:rsid w:val="00D064F4"/>
    <w:rsid w:val="00D25E65"/>
    <w:rsid w:val="00D32BFA"/>
    <w:rsid w:val="00D365F1"/>
    <w:rsid w:val="00D645E3"/>
    <w:rsid w:val="00D66560"/>
    <w:rsid w:val="00D720FE"/>
    <w:rsid w:val="00D83E1A"/>
    <w:rsid w:val="00D97559"/>
    <w:rsid w:val="00DA3117"/>
    <w:rsid w:val="00DB35A0"/>
    <w:rsid w:val="00DC59C0"/>
    <w:rsid w:val="00DD6FBC"/>
    <w:rsid w:val="00DF6C85"/>
    <w:rsid w:val="00E0083A"/>
    <w:rsid w:val="00E0083E"/>
    <w:rsid w:val="00E14CCC"/>
    <w:rsid w:val="00E17172"/>
    <w:rsid w:val="00E21AA0"/>
    <w:rsid w:val="00E407FA"/>
    <w:rsid w:val="00E450B3"/>
    <w:rsid w:val="00E46FD4"/>
    <w:rsid w:val="00E5019F"/>
    <w:rsid w:val="00E50A1E"/>
    <w:rsid w:val="00E552E2"/>
    <w:rsid w:val="00E628B5"/>
    <w:rsid w:val="00E727D9"/>
    <w:rsid w:val="00E737A5"/>
    <w:rsid w:val="00E7385F"/>
    <w:rsid w:val="00E757C1"/>
    <w:rsid w:val="00E8556B"/>
    <w:rsid w:val="00E94EDC"/>
    <w:rsid w:val="00E95350"/>
    <w:rsid w:val="00EC3BA5"/>
    <w:rsid w:val="00EC6102"/>
    <w:rsid w:val="00EC6F23"/>
    <w:rsid w:val="00ED1910"/>
    <w:rsid w:val="00ED46D5"/>
    <w:rsid w:val="00EE5AC0"/>
    <w:rsid w:val="00EF3234"/>
    <w:rsid w:val="00EF3D18"/>
    <w:rsid w:val="00EF645D"/>
    <w:rsid w:val="00F01A57"/>
    <w:rsid w:val="00F0640E"/>
    <w:rsid w:val="00F06AEF"/>
    <w:rsid w:val="00F22401"/>
    <w:rsid w:val="00F2533F"/>
    <w:rsid w:val="00F2648A"/>
    <w:rsid w:val="00F27872"/>
    <w:rsid w:val="00F32C11"/>
    <w:rsid w:val="00F37364"/>
    <w:rsid w:val="00F41B74"/>
    <w:rsid w:val="00F52B3B"/>
    <w:rsid w:val="00F7659E"/>
    <w:rsid w:val="00F809A7"/>
    <w:rsid w:val="00F900FE"/>
    <w:rsid w:val="00F9587C"/>
    <w:rsid w:val="00F95E0F"/>
    <w:rsid w:val="00FA142F"/>
    <w:rsid w:val="00FA61AE"/>
    <w:rsid w:val="00FB7267"/>
    <w:rsid w:val="00FC65EC"/>
    <w:rsid w:val="00FC6B95"/>
    <w:rsid w:val="00FD2359"/>
    <w:rsid w:val="00FD2F8F"/>
    <w:rsid w:val="00FD50FD"/>
    <w:rsid w:val="00FD7F2C"/>
    <w:rsid w:val="00FE6BF0"/>
    <w:rsid w:val="6176083D"/>
    <w:rsid w:val="7F3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CDB1F"/>
  <w15:docId w15:val="{155F2460-40E1-454A-8D0E-F2E7A2559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54F72" w:themeColor="followedHyperlink"/>
      <w:u w:val="single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34"/>
    <w:qFormat/>
    <w:rsid w:val="00F52B3B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qFormat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font21">
    <w:name w:val="font21"/>
    <w:rPr>
      <w:rFonts w:ascii="Times New Roman" w:hAnsi="Times New Roman" w:cs="Times New Roman" w:hint="default"/>
      <w:color w:val="000000"/>
      <w:u w:val="non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5744E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3E0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67C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CFD"/>
    <w:rPr>
      <w:rFonts w:ascii="Segoe UI" w:eastAsiaTheme="minorHAnsi" w:hAnsi="Segoe UI" w:cs="Segoe UI"/>
      <w:kern w:val="2"/>
      <w:sz w:val="18"/>
      <w:szCs w:val="18"/>
      <w:lang w:eastAsia="en-US"/>
      <w14:ligatures w14:val="standardContextual"/>
    </w:rPr>
  </w:style>
  <w:style w:type="character" w:styleId="Refdecomentrio">
    <w:name w:val="annotation reference"/>
    <w:basedOn w:val="Fontepargpadro"/>
    <w:uiPriority w:val="99"/>
    <w:semiHidden/>
    <w:unhideWhenUsed/>
    <w:rsid w:val="00EC6F2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C6F2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C6F23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C6F2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C6F23"/>
    <w:rPr>
      <w:rFonts w:asciiTheme="minorHAnsi" w:eastAsiaTheme="minorHAnsi" w:hAnsiTheme="minorHAnsi" w:cstheme="minorBidi"/>
      <w:b/>
      <w:bCs/>
      <w:kern w:val="2"/>
      <w:lang w:eastAsia="en-US"/>
      <w14:ligatures w14:val="standardContextual"/>
    </w:rPr>
  </w:style>
  <w:style w:type="paragraph" w:styleId="Reviso">
    <w:name w:val="Revision"/>
    <w:hidden/>
    <w:uiPriority w:val="99"/>
    <w:unhideWhenUsed/>
    <w:rsid w:val="008E16C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6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microsoft.com/office/2016/09/relationships/commentsIds" Target="commentsIds.xml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microsoft.com/office/2011/relationships/people" Target="peop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microsoft.com/office/2011/relationships/commentsExtended" Target="commentsExtended.xm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comments" Target="comments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 /><Relationship Id="rId2" Type="http://schemas.openxmlformats.org/officeDocument/2006/relationships/image" Target="media/image5.png" /><Relationship Id="rId1" Type="http://schemas.openxmlformats.org/officeDocument/2006/relationships/image" Target="media/image4.png" /><Relationship Id="rId6" Type="http://schemas.openxmlformats.org/officeDocument/2006/relationships/image" Target="media/image9.png" /><Relationship Id="rId5" Type="http://schemas.openxmlformats.org/officeDocument/2006/relationships/image" Target="media/image8.png" /><Relationship Id="rId4" Type="http://schemas.openxmlformats.org/officeDocument/2006/relationships/image" Target="media/image7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1CC2A-2446-43AF-97EF-D70C4C273ED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2133</Words>
  <Characters>11521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Eduarda Rodrigues</cp:lastModifiedBy>
  <cp:revision>2</cp:revision>
  <cp:lastPrinted>2025-11-30T00:12:00Z</cp:lastPrinted>
  <dcterms:created xsi:type="dcterms:W3CDTF">2025-12-06T15:26:00Z</dcterms:created>
  <dcterms:modified xsi:type="dcterms:W3CDTF">2025-12-06T15:26:00Z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1046-12.2.0.22549</vt:lpwstr>
  </property>
  <property fmtid="{D5CDD505-2E9C-101B-9397-08002B2CF9AE}" pid="3" name="ICV">
    <vt:lpwstr>F28B8C51D97E44DAAC834A157CE0521C_12</vt:lpwstr>
  </property>
</Properties>
</file>