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603A2" w:rsidRDefault="00FC7FCC">
      <w:pPr>
        <w:jc w:val="center"/>
        <w:rPr>
          <w:sz w:val="24"/>
          <w:szCs w:val="24"/>
        </w:rPr>
      </w:pPr>
      <w:r>
        <w:rPr>
          <w:sz w:val="24"/>
          <w:szCs w:val="24"/>
        </w:rPr>
        <w:t>RELAÇÕES INTERNACIONAIS E SEUS IMPACTOS NA MITIGAÇÃO DO DESMATAMENTO E VALORIZAÇÃO DE ÁREAS VERDES: CASO PARQUE ARARA AZUL EM IMPERATRIZ - MA</w:t>
      </w:r>
    </w:p>
    <w:p w14:paraId="00000002" w14:textId="77777777" w:rsidR="009603A2" w:rsidRDefault="009603A2">
      <w:pPr>
        <w:shd w:val="clear" w:color="auto" w:fill="FFFFFF"/>
        <w:tabs>
          <w:tab w:val="left" w:pos="2500"/>
        </w:tabs>
        <w:jc w:val="center"/>
        <w:rPr>
          <w:color w:val="FF0000"/>
          <w:sz w:val="24"/>
          <w:szCs w:val="24"/>
        </w:rPr>
      </w:pPr>
    </w:p>
    <w:p w14:paraId="3C78DA1E" w14:textId="02FDD19C" w:rsidR="006A670A" w:rsidRPr="00A64DF1" w:rsidRDefault="00FC7FCC" w:rsidP="006A670A">
      <w:pPr>
        <w:keepLines/>
        <w:shd w:val="clear" w:color="auto" w:fill="FFFFFF"/>
        <w:tabs>
          <w:tab w:val="left" w:pos="2500"/>
        </w:tabs>
        <w:jc w:val="center"/>
        <w:rPr>
          <w:sz w:val="24"/>
          <w:szCs w:val="24"/>
        </w:rPr>
      </w:pPr>
      <w:r>
        <w:rPr>
          <w:sz w:val="24"/>
          <w:szCs w:val="24"/>
        </w:rPr>
        <w:t>LIMA, Samuel Estevam</w:t>
      </w:r>
      <w:r>
        <w:rPr>
          <w:sz w:val="24"/>
          <w:szCs w:val="24"/>
          <w:vertAlign w:val="superscript"/>
        </w:rPr>
        <w:t>1</w:t>
      </w:r>
      <w:r>
        <w:rPr>
          <w:sz w:val="24"/>
          <w:szCs w:val="24"/>
        </w:rPr>
        <w:t xml:space="preserve">; </w:t>
      </w:r>
      <w:r w:rsidRPr="00FF5B94">
        <w:rPr>
          <w:sz w:val="24"/>
          <w:szCs w:val="24"/>
          <w:u w:val="single"/>
        </w:rPr>
        <w:t>ANGELO, Dalton Henrique</w:t>
      </w:r>
      <w:r>
        <w:rPr>
          <w:sz w:val="24"/>
          <w:szCs w:val="24"/>
          <w:vertAlign w:val="superscript"/>
        </w:rPr>
        <w:t xml:space="preserve"> 2 </w:t>
      </w:r>
      <w:r>
        <w:rPr>
          <w:sz w:val="24"/>
          <w:szCs w:val="24"/>
        </w:rPr>
        <w:t>, RODRIGUES SCHNEIDER, Chaiane</w:t>
      </w:r>
      <w:r>
        <w:rPr>
          <w:sz w:val="24"/>
          <w:szCs w:val="24"/>
          <w:vertAlign w:val="superscript"/>
        </w:rPr>
        <w:t xml:space="preserve"> 3</w:t>
      </w:r>
      <w:r>
        <w:rPr>
          <w:sz w:val="24"/>
          <w:szCs w:val="24"/>
        </w:rPr>
        <w:t>; SILVA, Gustavo Santana</w:t>
      </w:r>
      <w:r>
        <w:rPr>
          <w:sz w:val="24"/>
          <w:szCs w:val="24"/>
          <w:vertAlign w:val="superscript"/>
        </w:rPr>
        <w:t xml:space="preserve"> 4</w:t>
      </w:r>
      <w:r w:rsidR="006A670A">
        <w:rPr>
          <w:sz w:val="24"/>
          <w:szCs w:val="24"/>
        </w:rPr>
        <w:t>; MARTINS, Walmer Bruno Rocha</w:t>
      </w:r>
      <w:r w:rsidR="006A670A">
        <w:rPr>
          <w:sz w:val="24"/>
          <w:szCs w:val="24"/>
          <w:vertAlign w:val="superscript"/>
        </w:rPr>
        <w:t>5</w:t>
      </w:r>
      <w:r w:rsidR="006A670A">
        <w:rPr>
          <w:sz w:val="24"/>
          <w:szCs w:val="24"/>
        </w:rPr>
        <w:t xml:space="preserve">; </w:t>
      </w:r>
      <w:r w:rsidR="004278F4">
        <w:rPr>
          <w:sz w:val="24"/>
          <w:szCs w:val="24"/>
        </w:rPr>
        <w:t>RODRIGUES, Julia Isabella</w:t>
      </w:r>
      <w:r w:rsidR="004278F4">
        <w:rPr>
          <w:sz w:val="24"/>
          <w:szCs w:val="24"/>
          <w:vertAlign w:val="superscript"/>
        </w:rPr>
        <w:t>6</w:t>
      </w:r>
      <w:r w:rsidR="00DA28B2">
        <w:rPr>
          <w:sz w:val="24"/>
          <w:szCs w:val="24"/>
        </w:rPr>
        <w:t xml:space="preserve">; </w:t>
      </w:r>
      <w:r w:rsidR="00A64DF1">
        <w:rPr>
          <w:sz w:val="24"/>
          <w:szCs w:val="24"/>
        </w:rPr>
        <w:t>SILVA, Luiz Felipe Cristiano</w:t>
      </w:r>
      <w:r w:rsidR="00A64DF1">
        <w:rPr>
          <w:sz w:val="24"/>
          <w:szCs w:val="24"/>
          <w:vertAlign w:val="superscript"/>
        </w:rPr>
        <w:t>7</w:t>
      </w:r>
      <w:r w:rsidR="00A64DF1">
        <w:rPr>
          <w:sz w:val="24"/>
          <w:szCs w:val="24"/>
        </w:rPr>
        <w:t>.</w:t>
      </w:r>
    </w:p>
    <w:p w14:paraId="00000004" w14:textId="77777777" w:rsidR="009603A2" w:rsidRDefault="009603A2">
      <w:pPr>
        <w:keepLines/>
        <w:shd w:val="clear" w:color="auto" w:fill="FFFFFF"/>
        <w:tabs>
          <w:tab w:val="left" w:pos="2500"/>
        </w:tabs>
        <w:jc w:val="center"/>
        <w:rPr>
          <w:sz w:val="24"/>
          <w:szCs w:val="24"/>
        </w:rPr>
      </w:pPr>
    </w:p>
    <w:p w14:paraId="00000005" w14:textId="77777777" w:rsidR="009603A2" w:rsidRDefault="00FC7FCC">
      <w:pPr>
        <w:keepLines/>
        <w:shd w:val="clear" w:color="auto" w:fill="FFFFFF"/>
        <w:tabs>
          <w:tab w:val="left" w:pos="2500"/>
        </w:tabs>
        <w:jc w:val="center"/>
        <w:rPr>
          <w:sz w:val="24"/>
          <w:szCs w:val="24"/>
        </w:rPr>
      </w:pPr>
      <w:r>
        <w:rPr>
          <w:sz w:val="24"/>
          <w:szCs w:val="24"/>
          <w:vertAlign w:val="superscript"/>
        </w:rPr>
        <w:t>1</w:t>
      </w:r>
      <w:r>
        <w:rPr>
          <w:sz w:val="24"/>
          <w:szCs w:val="24"/>
        </w:rPr>
        <w:t xml:space="preserve"> Graduando em Engenharia Florestal. </w:t>
      </w:r>
      <w:bookmarkStart w:id="0" w:name="_Hlk215418543"/>
      <w:r>
        <w:rPr>
          <w:sz w:val="24"/>
          <w:szCs w:val="24"/>
        </w:rPr>
        <w:t>UEMASUL – Universidade Estadual da Região Tocantina do Maranhão</w:t>
      </w:r>
      <w:bookmarkEnd w:id="0"/>
      <w:r>
        <w:rPr>
          <w:sz w:val="24"/>
          <w:szCs w:val="24"/>
        </w:rPr>
        <w:t>. Samuel.lima@uemausl.edu.br</w:t>
      </w:r>
    </w:p>
    <w:p w14:paraId="00000006" w14:textId="77777777" w:rsidR="009603A2" w:rsidRDefault="00FC7FCC">
      <w:pPr>
        <w:keepLines/>
        <w:shd w:val="clear" w:color="auto" w:fill="FFFFFF"/>
        <w:tabs>
          <w:tab w:val="left" w:pos="2500"/>
        </w:tabs>
        <w:jc w:val="center"/>
        <w:rPr>
          <w:sz w:val="24"/>
          <w:szCs w:val="24"/>
        </w:rPr>
      </w:pPr>
      <w:r>
        <w:rPr>
          <w:sz w:val="24"/>
          <w:szCs w:val="24"/>
          <w:vertAlign w:val="superscript"/>
        </w:rPr>
        <w:t xml:space="preserve">2 </w:t>
      </w:r>
      <w:r>
        <w:rPr>
          <w:sz w:val="24"/>
          <w:szCs w:val="24"/>
        </w:rPr>
        <w:t>Professor mestre em Engenharia Florestal. UEMASUL – Universidade Estadual da Região Tocantina do Maranhão.</w:t>
      </w:r>
    </w:p>
    <w:p w14:paraId="00000007" w14:textId="77777777" w:rsidR="009603A2" w:rsidRDefault="00FC7FCC">
      <w:pPr>
        <w:keepLines/>
        <w:shd w:val="clear" w:color="auto" w:fill="FFFFFF"/>
        <w:tabs>
          <w:tab w:val="left" w:pos="2500"/>
        </w:tabs>
        <w:jc w:val="center"/>
        <w:rPr>
          <w:sz w:val="24"/>
          <w:szCs w:val="24"/>
        </w:rPr>
      </w:pPr>
      <w:r>
        <w:rPr>
          <w:sz w:val="24"/>
          <w:szCs w:val="24"/>
          <w:vertAlign w:val="superscript"/>
        </w:rPr>
        <w:t xml:space="preserve"> 3</w:t>
      </w:r>
      <w:r>
        <w:rPr>
          <w:sz w:val="24"/>
          <w:szCs w:val="24"/>
        </w:rPr>
        <w:t xml:space="preserve">Professora doutora em Engenharia Florestal. UEPA – Universidade Estadual do Pará. </w:t>
      </w:r>
    </w:p>
    <w:p w14:paraId="00000008" w14:textId="49E61A86" w:rsidR="009603A2" w:rsidRDefault="00FC7FCC">
      <w:pPr>
        <w:keepLines/>
        <w:shd w:val="clear" w:color="auto" w:fill="FFFFFF"/>
        <w:tabs>
          <w:tab w:val="left" w:pos="2500"/>
        </w:tabs>
        <w:jc w:val="center"/>
        <w:rPr>
          <w:sz w:val="24"/>
          <w:szCs w:val="24"/>
        </w:rPr>
      </w:pPr>
      <w:r>
        <w:rPr>
          <w:sz w:val="24"/>
          <w:szCs w:val="24"/>
          <w:vertAlign w:val="superscript"/>
        </w:rPr>
        <w:t xml:space="preserve">4 </w:t>
      </w:r>
      <w:r>
        <w:rPr>
          <w:sz w:val="24"/>
          <w:szCs w:val="24"/>
        </w:rPr>
        <w:t>Graduando em Engenharia Florestal. UEMASUL – Universidade Estadual da Região Tocantina do Maranhão.</w:t>
      </w:r>
    </w:p>
    <w:p w14:paraId="1B946E4F" w14:textId="5F787EC0" w:rsidR="006A670A" w:rsidRDefault="006A670A">
      <w:pPr>
        <w:keepLines/>
        <w:shd w:val="clear" w:color="auto" w:fill="FFFFFF"/>
        <w:tabs>
          <w:tab w:val="left" w:pos="2500"/>
        </w:tabs>
        <w:jc w:val="center"/>
        <w:rPr>
          <w:sz w:val="24"/>
          <w:szCs w:val="24"/>
        </w:rPr>
      </w:pPr>
      <w:r>
        <w:rPr>
          <w:sz w:val="24"/>
          <w:szCs w:val="24"/>
          <w:vertAlign w:val="superscript"/>
        </w:rPr>
        <w:t>5</w:t>
      </w:r>
      <w:r>
        <w:rPr>
          <w:sz w:val="24"/>
          <w:szCs w:val="24"/>
        </w:rPr>
        <w:t xml:space="preserve">Doutor em Ciências Florestais. UFRA – Universidade Federal Rural da Amazônia. </w:t>
      </w:r>
    </w:p>
    <w:p w14:paraId="003723E7" w14:textId="77777777" w:rsidR="00A64DF1" w:rsidRDefault="004278F4">
      <w:pPr>
        <w:keepLines/>
        <w:shd w:val="clear" w:color="auto" w:fill="FFFFFF"/>
        <w:tabs>
          <w:tab w:val="left" w:pos="2500"/>
        </w:tabs>
        <w:jc w:val="center"/>
        <w:rPr>
          <w:sz w:val="24"/>
          <w:szCs w:val="24"/>
        </w:rPr>
      </w:pPr>
      <w:r>
        <w:rPr>
          <w:sz w:val="24"/>
          <w:szCs w:val="24"/>
          <w:vertAlign w:val="superscript"/>
        </w:rPr>
        <w:t>6</w:t>
      </w:r>
      <w:r>
        <w:rPr>
          <w:sz w:val="24"/>
          <w:szCs w:val="24"/>
        </w:rPr>
        <w:t>Mestra em Ciências Florestais. UFRA – Universidade Federal Rural da Amazônia.</w:t>
      </w:r>
    </w:p>
    <w:p w14:paraId="2CA366B7" w14:textId="2C89B1B1" w:rsidR="004278F4" w:rsidRDefault="00A64DF1">
      <w:pPr>
        <w:keepLines/>
        <w:shd w:val="clear" w:color="auto" w:fill="FFFFFF"/>
        <w:tabs>
          <w:tab w:val="left" w:pos="2500"/>
        </w:tabs>
        <w:jc w:val="center"/>
        <w:rPr>
          <w:color w:val="FF0000"/>
          <w:sz w:val="24"/>
          <w:szCs w:val="24"/>
        </w:rPr>
      </w:pPr>
      <w:r>
        <w:rPr>
          <w:sz w:val="24"/>
          <w:szCs w:val="24"/>
          <w:vertAlign w:val="superscript"/>
        </w:rPr>
        <w:t>7</w:t>
      </w:r>
      <w:r>
        <w:rPr>
          <w:sz w:val="24"/>
          <w:szCs w:val="24"/>
        </w:rPr>
        <w:t>Graduando em Engenharia Florestal. UEMASUL – Universidade Estadual da Região Tocantina do Maranhão.</w:t>
      </w:r>
    </w:p>
    <w:p w14:paraId="00000009" w14:textId="77777777" w:rsidR="009603A2" w:rsidRDefault="009603A2">
      <w:pPr>
        <w:keepLines/>
        <w:pBdr>
          <w:bottom w:val="none" w:sz="0" w:space="8" w:color="000000"/>
        </w:pBdr>
        <w:shd w:val="clear" w:color="auto" w:fill="FFFFFF"/>
        <w:tabs>
          <w:tab w:val="left" w:pos="2500"/>
        </w:tabs>
        <w:spacing w:line="310" w:lineRule="auto"/>
        <w:jc w:val="center"/>
        <w:rPr>
          <w:sz w:val="24"/>
          <w:szCs w:val="24"/>
        </w:rPr>
      </w:pPr>
    </w:p>
    <w:p w14:paraId="0000000A" w14:textId="77777777" w:rsidR="009603A2" w:rsidRDefault="00FC7FCC">
      <w:pPr>
        <w:pBdr>
          <w:bottom w:val="none" w:sz="0" w:space="8" w:color="000000"/>
        </w:pBdr>
        <w:shd w:val="clear" w:color="auto" w:fill="FFFFFF"/>
        <w:tabs>
          <w:tab w:val="left" w:pos="2500"/>
        </w:tabs>
        <w:jc w:val="center"/>
        <w:rPr>
          <w:b/>
          <w:bCs/>
          <w:sz w:val="24"/>
          <w:szCs w:val="24"/>
          <w:u w:val="single"/>
        </w:rPr>
      </w:pPr>
      <w:r>
        <w:rPr>
          <w:b/>
          <w:bCs/>
          <w:sz w:val="24"/>
          <w:szCs w:val="24"/>
          <w:u w:val="single"/>
        </w:rPr>
        <w:t>RESUMO</w:t>
      </w:r>
    </w:p>
    <w:p w14:paraId="0000000B" w14:textId="77777777" w:rsidR="009603A2" w:rsidRDefault="00FC7FCC">
      <w:pPr>
        <w:pBdr>
          <w:bottom w:val="none" w:sz="0" w:space="18" w:color="000000"/>
        </w:pBdr>
        <w:shd w:val="clear" w:color="auto" w:fill="FFFFFF"/>
        <w:tabs>
          <w:tab w:val="left" w:pos="2500"/>
        </w:tabs>
        <w:ind w:firstLine="709"/>
        <w:jc w:val="both"/>
        <w:rPr>
          <w:color w:val="FF0000"/>
          <w:sz w:val="24"/>
          <w:szCs w:val="24"/>
        </w:rPr>
      </w:pPr>
      <w:r>
        <w:rPr>
          <w:color w:val="000000"/>
          <w:sz w:val="24"/>
          <w:szCs w:val="24"/>
        </w:rPr>
        <w:t xml:space="preserve">A governança ambiental global, impulsionada por marcos como o </w:t>
      </w:r>
      <w:r>
        <w:rPr>
          <w:sz w:val="24"/>
          <w:szCs w:val="24"/>
        </w:rPr>
        <w:t>Objetivos de Desenvolvimento Sustentável (</w:t>
      </w:r>
      <w:r>
        <w:rPr>
          <w:color w:val="000000"/>
          <w:sz w:val="24"/>
          <w:szCs w:val="24"/>
        </w:rPr>
        <w:t xml:space="preserve">ODS) 11 e o Acordo de Paris, estabeleceu um arcabouço normativo robusto para a mitigação da extrema urbanização e a valorização de áreas verdes urbanas. Esta agenda internacional define a infraestrutura verde </w:t>
      </w:r>
      <w:r>
        <w:rPr>
          <w:sz w:val="24"/>
          <w:szCs w:val="24"/>
        </w:rPr>
        <w:t>e os Planos</w:t>
      </w:r>
      <w:r>
        <w:rPr>
          <w:color w:val="000000"/>
          <w:sz w:val="24"/>
          <w:szCs w:val="24"/>
        </w:rPr>
        <w:t xml:space="preserve"> de Ação Urbana (</w:t>
      </w:r>
      <w:r>
        <w:rPr>
          <w:sz w:val="24"/>
          <w:szCs w:val="24"/>
        </w:rPr>
        <w:t>PlanAU)</w:t>
      </w:r>
      <w:r>
        <w:rPr>
          <w:color w:val="000000"/>
          <w:sz w:val="24"/>
          <w:szCs w:val="24"/>
        </w:rPr>
        <w:t xml:space="preserve"> como componentes essenciais </w:t>
      </w:r>
      <w:r>
        <w:rPr>
          <w:sz w:val="24"/>
          <w:szCs w:val="24"/>
        </w:rPr>
        <w:t>para a sustentabilidade</w:t>
      </w:r>
      <w:r>
        <w:rPr>
          <w:color w:val="000000"/>
          <w:sz w:val="24"/>
          <w:szCs w:val="24"/>
        </w:rPr>
        <w:t xml:space="preserve"> e resiliência climática das cidades, atendendo </w:t>
      </w:r>
      <w:r>
        <w:rPr>
          <w:sz w:val="24"/>
          <w:szCs w:val="24"/>
        </w:rPr>
        <w:t>às metas</w:t>
      </w:r>
      <w:r>
        <w:rPr>
          <w:color w:val="000000"/>
          <w:sz w:val="24"/>
          <w:szCs w:val="24"/>
        </w:rPr>
        <w:t xml:space="preserve"> globais. Diante disso, o objetivo desta pesquisa foi </w:t>
      </w:r>
      <w:r>
        <w:rPr>
          <w:sz w:val="24"/>
          <w:szCs w:val="24"/>
        </w:rPr>
        <w:t xml:space="preserve">analisar as iniciativas e políticas internacionais destinadas à mitigação dos impactos da crescimento urbano sem planejamento sem planejamento valorização das áreas verdes urbanas e  a perda de vegetação, discutindo seus reflexos no Brasil, no estado do Maranhão e, de modo particular, no Parque Arara Azul, localizado no município de Imperatriz. O trabalho foi desenvolvido por meio de revisão bibliográfica, utilizando os indexadores Google Acadêmico e SciELO, no período entre 2000 e 2025, onde foram consultados artigos científicos, e possuindo informações quanto às políticas públicas, planejamento urbano e ODS. Foram selecionados 22 trabalhos, portanto pode-se discutir que existe um paradoxo: mesmo com o aumento das ações ambientais no período de 2000 a 2025 não houve a diminuição das perdas de vegetação demonstrando aparente ineficiência. A análise crítica do Parque Arara Azul apresenta que sua implementação foi uma decisão tardia porém eficiente e um alinhamento formal com o ODS 11 e PlanAU, com clara falta de planejamento e a contínua degradação pode ser observado a distância entre metas globais e gestão pública. Conclui-se que a criação do Parque Arara Azul é uma decisão tardia mas eficiente, porém os marcos internacionais falham na mitigação da perda de vegetação e extrema urbanização quando não possui o apoio das políticas públicas locais que podem ter a </w:t>
      </w:r>
      <w:r>
        <w:rPr>
          <w:sz w:val="24"/>
          <w:szCs w:val="24"/>
        </w:rPr>
        <w:lastRenderedPageBreak/>
        <w:t>implementação robusta de ações de manejo e planejamento.</w:t>
      </w:r>
    </w:p>
    <w:p w14:paraId="0000000C" w14:textId="77777777" w:rsidR="009603A2" w:rsidRDefault="00FC7FCC">
      <w:pPr>
        <w:shd w:val="clear" w:color="auto" w:fill="FFFFFF"/>
        <w:tabs>
          <w:tab w:val="left" w:pos="2500"/>
        </w:tabs>
        <w:jc w:val="both"/>
        <w:rPr>
          <w:color w:val="FF0000"/>
          <w:sz w:val="24"/>
          <w:szCs w:val="24"/>
        </w:rPr>
      </w:pPr>
      <w:r>
        <w:rPr>
          <w:b/>
          <w:bCs/>
          <w:sz w:val="24"/>
          <w:szCs w:val="24"/>
        </w:rPr>
        <w:t>Palavras-chave:</w:t>
      </w:r>
      <w:r>
        <w:rPr>
          <w:color w:val="000000"/>
          <w:sz w:val="24"/>
          <w:szCs w:val="24"/>
        </w:rPr>
        <w:t xml:space="preserve"> Desmatamento; Governança Ambiental; Ação Antrópica. </w:t>
      </w:r>
    </w:p>
    <w:p w14:paraId="0000000D" w14:textId="77777777" w:rsidR="009603A2" w:rsidRDefault="009603A2">
      <w:pPr>
        <w:shd w:val="clear" w:color="auto" w:fill="FFFFFF"/>
        <w:tabs>
          <w:tab w:val="left" w:pos="2500"/>
        </w:tabs>
        <w:jc w:val="center"/>
        <w:rPr>
          <w:sz w:val="24"/>
          <w:szCs w:val="24"/>
        </w:rPr>
      </w:pPr>
    </w:p>
    <w:p w14:paraId="0000000E" w14:textId="77777777" w:rsidR="009603A2" w:rsidRDefault="00FC7FCC">
      <w:pPr>
        <w:shd w:val="clear" w:color="auto" w:fill="FFFFFF"/>
        <w:tabs>
          <w:tab w:val="left" w:pos="2500"/>
        </w:tabs>
        <w:jc w:val="both"/>
        <w:rPr>
          <w:b/>
          <w:bCs/>
          <w:color w:val="0000FF"/>
          <w:sz w:val="24"/>
          <w:szCs w:val="24"/>
          <w:u w:val="single"/>
        </w:rPr>
      </w:pPr>
      <w:r>
        <w:rPr>
          <w:b/>
          <w:bCs/>
          <w:sz w:val="24"/>
          <w:szCs w:val="24"/>
        </w:rPr>
        <w:t>Área de Interesse do Simpósio</w:t>
      </w:r>
      <w:r>
        <w:rPr>
          <w:sz w:val="24"/>
          <w:szCs w:val="24"/>
        </w:rPr>
        <w:t>: Ciências Agrárias;.</w:t>
      </w:r>
    </w:p>
    <w:p w14:paraId="0000000F" w14:textId="77777777" w:rsidR="009603A2" w:rsidRDefault="009603A2">
      <w:pPr>
        <w:pBdr>
          <w:bottom w:val="none" w:sz="0" w:space="8" w:color="000000"/>
        </w:pBdr>
        <w:shd w:val="clear" w:color="auto" w:fill="FFFFFF"/>
        <w:tabs>
          <w:tab w:val="left" w:pos="2500"/>
        </w:tabs>
        <w:rPr>
          <w:b/>
          <w:bCs/>
          <w:sz w:val="24"/>
          <w:szCs w:val="24"/>
        </w:rPr>
      </w:pPr>
    </w:p>
    <w:p w14:paraId="00000010" w14:textId="77777777" w:rsidR="009603A2" w:rsidRDefault="00FC7FCC">
      <w:pPr>
        <w:pBdr>
          <w:bottom w:val="none" w:sz="0" w:space="18" w:color="000000"/>
        </w:pBdr>
        <w:shd w:val="clear" w:color="auto" w:fill="FFFFFF"/>
        <w:tabs>
          <w:tab w:val="left" w:pos="2500"/>
        </w:tabs>
        <w:spacing w:line="360" w:lineRule="auto"/>
        <w:jc w:val="both"/>
        <w:rPr>
          <w:color w:val="FF0000"/>
          <w:sz w:val="24"/>
          <w:szCs w:val="24"/>
        </w:rPr>
      </w:pPr>
      <w:r>
        <w:rPr>
          <w:b/>
          <w:bCs/>
          <w:sz w:val="24"/>
          <w:szCs w:val="24"/>
        </w:rPr>
        <w:t>1. INTRODUÇÃO</w:t>
      </w:r>
    </w:p>
    <w:p w14:paraId="00000011" w14:textId="77777777" w:rsidR="009603A2" w:rsidRDefault="00FC7FCC">
      <w:pPr>
        <w:pBdr>
          <w:bottom w:val="none" w:sz="0" w:space="18" w:color="000000"/>
        </w:pBdr>
        <w:shd w:val="clear" w:color="auto" w:fill="FFFFFF"/>
        <w:tabs>
          <w:tab w:val="left" w:pos="2500"/>
        </w:tabs>
        <w:spacing w:line="360" w:lineRule="auto"/>
        <w:ind w:firstLine="709"/>
        <w:jc w:val="both"/>
        <w:rPr>
          <w:color w:val="FF0000"/>
          <w:sz w:val="24"/>
          <w:szCs w:val="24"/>
        </w:rPr>
      </w:pPr>
      <w:r>
        <w:rPr>
          <w:sz w:val="24"/>
          <w:szCs w:val="24"/>
        </w:rPr>
        <w:t>A crescente crise climática e a acelerada urbanização global impõem desafios sem precedentes à sustentabilidade das cidades. Nas últimas décadas, o debate sobre o desenvolvimento urbano sustentável ascendeu ao topo da agenda internacional, impulsionado pela necessidade urgente de mitigar os impactos da expansão urbana descontrolada, como a perda de cobertura vegetal e o aumento da vulnerabilidade a eventos climáticos extremos (IPCC, 2022; ONU-Habitat, 2020). A consolidação de instrumentos internacionais sobre mudanças climáticas têm reforçado a necessidade de políticas integradas que articulem planejamento urbano, conservação ambiental e adaptação climática (Bissani, 2024).</w:t>
      </w:r>
    </w:p>
    <w:p w14:paraId="00000012" w14:textId="77777777" w:rsidR="009603A2" w:rsidRDefault="00FC7FCC">
      <w:pPr>
        <w:pBdr>
          <w:bottom w:val="none" w:sz="0" w:space="18" w:color="000000"/>
        </w:pBdr>
        <w:shd w:val="clear" w:color="auto" w:fill="FFFFFF"/>
        <w:tabs>
          <w:tab w:val="left" w:pos="2500"/>
        </w:tabs>
        <w:spacing w:line="360" w:lineRule="auto"/>
        <w:ind w:firstLine="709"/>
        <w:jc w:val="both"/>
        <w:rPr>
          <w:color w:val="FF0000"/>
          <w:sz w:val="24"/>
          <w:szCs w:val="24"/>
        </w:rPr>
      </w:pPr>
      <w:r>
        <w:rPr>
          <w:sz w:val="24"/>
          <w:szCs w:val="24"/>
        </w:rPr>
        <w:t>Neste cenário global, a Agenda 2030 e os Objetivos de Desenvolvimento Sustentável (ODS), em particular o ODS 11, estabelecem diretrizes claras para a construção de cidades mais resilientes e inclusivas, com a meta de assegurar o acesso universal e equitativo a áreas verdes e espaços públicos (ONU, 2015). Um evento de relevância estratégica para a América Latina e o Brasil é a realização da COP30 (Conferência das Nações Unidas sobre Mudanças Climáticas) em 2025, que catalisa a atenção global para a Amazônia e intensifica o debate sobre a integração da biodiversidade e da resiliência climática nas políticas urbanas (COP30, 2025).</w:t>
      </w:r>
    </w:p>
    <w:p w14:paraId="00000013" w14:textId="77777777" w:rsidR="009603A2" w:rsidRDefault="00FC7FCC">
      <w:pPr>
        <w:pBdr>
          <w:bottom w:val="none" w:sz="0" w:space="18" w:color="000000"/>
        </w:pBdr>
        <w:shd w:val="clear" w:color="auto" w:fill="FFFFFF"/>
        <w:tabs>
          <w:tab w:val="left" w:pos="2500"/>
        </w:tabs>
        <w:spacing w:line="360" w:lineRule="auto"/>
        <w:ind w:firstLine="709"/>
        <w:jc w:val="both"/>
        <w:rPr>
          <w:color w:val="FF0000"/>
          <w:sz w:val="24"/>
          <w:szCs w:val="24"/>
        </w:rPr>
      </w:pPr>
      <w:r>
        <w:rPr>
          <w:sz w:val="24"/>
          <w:szCs w:val="24"/>
        </w:rPr>
        <w:t xml:space="preserve">No Brasil, a resposta a essas diretrizes internacionais se materializa em ações governamentais e instrumentos de planejamento. O Programa Cidades Verdes Resilientes e a adoção de planos estratégicos, como o PlanAU (Plano de Ação Urbana), demonstram o esforço nacional em traduzir os compromissos globais em políticas concretas (Matos </w:t>
      </w:r>
      <w:r>
        <w:rPr>
          <w:i/>
          <w:iCs/>
          <w:sz w:val="24"/>
          <w:szCs w:val="24"/>
        </w:rPr>
        <w:t xml:space="preserve">et tal. </w:t>
      </w:r>
      <w:r>
        <w:rPr>
          <w:sz w:val="24"/>
          <w:szCs w:val="24"/>
        </w:rPr>
        <w:t>, 2020). Tais iniciativas buscam promover infraestruturas verdes, enfrentar os impactos das mudanças climáticas e integrar soluções baseadas na natureza no planejamento territorial, reconhecendo o papel vital das áreas verdes urbanas na qualidade de vida e na regulação climática (Brasil, 2025; MMA, 2023).</w:t>
      </w:r>
    </w:p>
    <w:p w14:paraId="00000014" w14:textId="77777777" w:rsidR="009603A2" w:rsidRDefault="00FC7FCC">
      <w:pPr>
        <w:pBdr>
          <w:bottom w:val="none" w:sz="0" w:space="18" w:color="000000"/>
        </w:pBdr>
        <w:shd w:val="clear" w:color="auto" w:fill="FFFFFF"/>
        <w:tabs>
          <w:tab w:val="left" w:pos="2500"/>
        </w:tabs>
        <w:spacing w:line="360" w:lineRule="auto"/>
        <w:ind w:firstLine="709"/>
        <w:jc w:val="both"/>
        <w:rPr>
          <w:color w:val="FF0000"/>
          <w:sz w:val="24"/>
          <w:szCs w:val="24"/>
        </w:rPr>
      </w:pPr>
      <w:r>
        <w:rPr>
          <w:sz w:val="24"/>
          <w:szCs w:val="24"/>
        </w:rPr>
        <w:t xml:space="preserve">No contexto regional, o estado do Maranhão tem incorporado progressivamente essas </w:t>
      </w:r>
      <w:r>
        <w:rPr>
          <w:sz w:val="24"/>
          <w:szCs w:val="24"/>
        </w:rPr>
        <w:lastRenderedPageBreak/>
        <w:t xml:space="preserve">orientações em suas políticas urbanas e ambientais. A valorização e a proteção das áreas e infraestruturas verdes urbanas tornam-se essenciais para a resiliência local (Solera </w:t>
      </w:r>
      <w:r>
        <w:rPr>
          <w:i/>
          <w:iCs/>
          <w:sz w:val="24"/>
          <w:szCs w:val="24"/>
        </w:rPr>
        <w:t>et al</w:t>
      </w:r>
      <w:r>
        <w:rPr>
          <w:sz w:val="24"/>
          <w:szCs w:val="24"/>
        </w:rPr>
        <w:t xml:space="preserve">, 2020). Em Imperatriz, um exemplo notório desse esforço é o Parque Natural Municipal de Proteção Integral Arara Azul. A evolução da cobertura vegetal e as práticas de gestão ambiental implementadas no Parque evidenciam a aderência local às diretrizes nacionais e internacionais para o desenvolvimento urbano sustentável, servindo como um estudo de caso relevante sobre conservação e recuperação florestal em ambiente urbano (Santos </w:t>
      </w:r>
      <w:r>
        <w:rPr>
          <w:i/>
          <w:iCs/>
          <w:sz w:val="24"/>
          <w:szCs w:val="24"/>
        </w:rPr>
        <w:t>et al</w:t>
      </w:r>
      <w:r>
        <w:rPr>
          <w:sz w:val="24"/>
          <w:szCs w:val="24"/>
        </w:rPr>
        <w:t>., 2024).</w:t>
      </w:r>
    </w:p>
    <w:p w14:paraId="00000015" w14:textId="77777777" w:rsidR="009603A2" w:rsidRDefault="00000000">
      <w:pPr>
        <w:pBdr>
          <w:bottom w:val="none" w:sz="0" w:space="18" w:color="000000"/>
        </w:pBdr>
        <w:shd w:val="clear" w:color="auto" w:fill="FFFFFF"/>
        <w:tabs>
          <w:tab w:val="left" w:pos="2500"/>
        </w:tabs>
        <w:spacing w:line="360" w:lineRule="auto"/>
        <w:ind w:firstLine="709"/>
        <w:jc w:val="both"/>
        <w:rPr>
          <w:color w:val="FF0000"/>
          <w:sz w:val="24"/>
          <w:szCs w:val="24"/>
        </w:rPr>
      </w:pPr>
      <w:sdt>
        <w:sdtPr>
          <w:tag w:val="goog_rdk_0"/>
          <w:id w:val="-257331414"/>
        </w:sdtPr>
        <w:sdtContent/>
      </w:sdt>
      <w:r w:rsidR="00FC7FCC">
        <w:rPr>
          <w:sz w:val="24"/>
          <w:szCs w:val="24"/>
        </w:rPr>
        <w:t>Diante desse contexto, este trabalho tem como objetivo analisar o avanço das iniciativas e políticas internacionais destinadas à mitigação dos impactos da urbanização desenfreada e à valorização das áreas verdes urbanas, bem como a perda de vegetação, discutindo seus reflexos no Brasil, no estado do Maranhão e, de modo particular, na experiência do Parque Arara Azul, localizado no município de Imperatriz.</w:t>
      </w:r>
    </w:p>
    <w:p w14:paraId="00000016" w14:textId="77777777" w:rsidR="009603A2" w:rsidRDefault="009603A2">
      <w:pPr>
        <w:pBdr>
          <w:bottom w:val="none" w:sz="0" w:space="18" w:color="000000"/>
        </w:pBdr>
        <w:shd w:val="clear" w:color="auto" w:fill="FFFFFF"/>
        <w:tabs>
          <w:tab w:val="left" w:pos="2500"/>
        </w:tabs>
        <w:spacing w:line="310" w:lineRule="auto"/>
        <w:jc w:val="both"/>
        <w:rPr>
          <w:b/>
          <w:bCs/>
          <w:sz w:val="24"/>
          <w:szCs w:val="24"/>
        </w:rPr>
      </w:pPr>
    </w:p>
    <w:p w14:paraId="00000017" w14:textId="77777777" w:rsidR="009603A2" w:rsidRDefault="00FC7FCC">
      <w:pPr>
        <w:pBdr>
          <w:bottom w:val="none" w:sz="0" w:space="18" w:color="000000"/>
        </w:pBdr>
        <w:shd w:val="clear" w:color="auto" w:fill="FFFFFF"/>
        <w:tabs>
          <w:tab w:val="left" w:pos="2500"/>
        </w:tabs>
        <w:spacing w:line="310" w:lineRule="auto"/>
        <w:jc w:val="both"/>
        <w:rPr>
          <w:color w:val="FF0000"/>
          <w:sz w:val="24"/>
          <w:szCs w:val="24"/>
        </w:rPr>
      </w:pPr>
      <w:r>
        <w:rPr>
          <w:b/>
          <w:bCs/>
          <w:sz w:val="24"/>
          <w:szCs w:val="24"/>
        </w:rPr>
        <w:t xml:space="preserve">2. MATERIAL E MÉTODOS </w:t>
      </w:r>
    </w:p>
    <w:p w14:paraId="00000018" w14:textId="77777777" w:rsidR="009603A2" w:rsidRDefault="00FC7FCC">
      <w:pPr>
        <w:spacing w:line="360" w:lineRule="auto"/>
        <w:ind w:firstLine="709"/>
        <w:jc w:val="both"/>
        <w:rPr>
          <w:sz w:val="24"/>
          <w:szCs w:val="24"/>
        </w:rPr>
      </w:pPr>
      <w:r>
        <w:rPr>
          <w:sz w:val="24"/>
          <w:szCs w:val="24"/>
        </w:rPr>
        <w:t>O estudo foi desenvolvido por meio de revisão bibliográfica utilizando as plataformas de buscas Google Acadêmico, SciELO e  Livros no período de 2000 a Novembro de 2025. As palavras-chave pesquisadas foram: a) tratado ambiental; b) diplomacia ambiental e; c) Ação antrópica (Figura 1), todas no idioma português.</w:t>
      </w:r>
    </w:p>
    <w:p w14:paraId="00000019" w14:textId="77777777" w:rsidR="009603A2" w:rsidRDefault="00FC7FCC">
      <w:pPr>
        <w:spacing w:line="360" w:lineRule="auto"/>
        <w:ind w:left="720" w:right="4"/>
        <w:jc w:val="both"/>
        <w:rPr>
          <w:color w:val="434343"/>
          <w:sz w:val="20"/>
          <w:szCs w:val="20"/>
        </w:rPr>
      </w:pPr>
      <w:r>
        <w:rPr>
          <w:b/>
          <w:bCs/>
          <w:sz w:val="20"/>
          <w:szCs w:val="20"/>
        </w:rPr>
        <w:t>Figura 01:</w:t>
      </w:r>
      <w:r>
        <w:rPr>
          <w:sz w:val="20"/>
          <w:szCs w:val="20"/>
        </w:rPr>
        <w:t xml:space="preserve"> Fluxograma da metodologia de pesquisa. O esquema ilustra a busca por artigos sobre 'Ações Internacionais Ambientais' e 'Áreas Verdes Urbanas' em bases de dados acadêmicas</w:t>
      </w:r>
    </w:p>
    <w:p w14:paraId="0000001A" w14:textId="77777777" w:rsidR="009603A2" w:rsidRDefault="00FC7FCC">
      <w:pPr>
        <w:pBdr>
          <w:bottom w:val="none" w:sz="0" w:space="18" w:color="000000"/>
        </w:pBdr>
        <w:shd w:val="clear" w:color="auto" w:fill="FFFFFF"/>
        <w:tabs>
          <w:tab w:val="left" w:pos="2500"/>
        </w:tabs>
        <w:spacing w:line="360" w:lineRule="auto"/>
        <w:ind w:firstLine="709"/>
        <w:rPr>
          <w:color w:val="FF0000"/>
          <w:sz w:val="24"/>
          <w:szCs w:val="24"/>
        </w:rPr>
      </w:pPr>
      <w:bookmarkStart w:id="1" w:name="_heading=h.vbfvhu1weott" w:colFirst="0" w:colLast="0"/>
      <w:bookmarkEnd w:id="1"/>
      <w:r>
        <w:rPr>
          <w:noProof/>
          <w:sz w:val="24"/>
          <w:szCs w:val="24"/>
        </w:rPr>
        <w:lastRenderedPageBreak/>
        <w:drawing>
          <wp:inline distT="114300" distB="114300" distL="114300" distR="114300" wp14:anchorId="2E6142BC" wp14:editId="50B987C3">
            <wp:extent cx="4438650" cy="2571750"/>
            <wp:effectExtent l="38100" t="38100" r="38100" b="38100"/>
            <wp:docPr id="21307789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a:off x="0" y="0"/>
                      <a:ext cx="4439667" cy="2572339"/>
                    </a:xfrm>
                    <a:prstGeom prst="rect">
                      <a:avLst/>
                    </a:prstGeom>
                    <a:ln w="25400">
                      <a:solidFill>
                        <a:srgbClr val="000000"/>
                      </a:solidFill>
                      <a:prstDash val="solid"/>
                    </a:ln>
                  </pic:spPr>
                </pic:pic>
              </a:graphicData>
            </a:graphic>
          </wp:inline>
        </w:drawing>
      </w:r>
    </w:p>
    <w:p w14:paraId="0000001B" w14:textId="77777777" w:rsidR="009603A2" w:rsidRDefault="00FC7FCC">
      <w:pPr>
        <w:pBdr>
          <w:bottom w:val="none" w:sz="0" w:space="18" w:color="000000"/>
        </w:pBdr>
        <w:shd w:val="clear" w:color="auto" w:fill="FFFFFF"/>
        <w:tabs>
          <w:tab w:val="left" w:pos="2500"/>
        </w:tabs>
        <w:spacing w:line="360" w:lineRule="auto"/>
        <w:ind w:firstLine="709"/>
        <w:rPr>
          <w:color w:val="FF0000"/>
          <w:sz w:val="24"/>
          <w:szCs w:val="24"/>
        </w:rPr>
      </w:pPr>
      <w:bookmarkStart w:id="2" w:name="_heading=h.wxw4xe3e0cny" w:colFirst="0" w:colLast="0"/>
      <w:bookmarkEnd w:id="2"/>
      <w:r>
        <w:rPr>
          <w:b/>
          <w:bCs/>
          <w:sz w:val="20"/>
          <w:szCs w:val="20"/>
        </w:rPr>
        <w:t xml:space="preserve">Fonte: </w:t>
      </w:r>
      <w:r>
        <w:rPr>
          <w:sz w:val="20"/>
          <w:szCs w:val="20"/>
        </w:rPr>
        <w:t>Autores (2025).</w:t>
      </w:r>
    </w:p>
    <w:p w14:paraId="0000001C" w14:textId="77777777" w:rsidR="009603A2" w:rsidRDefault="00FC7FCC">
      <w:pPr>
        <w:pBdr>
          <w:bottom w:val="none" w:sz="0" w:space="8" w:color="000000"/>
        </w:pBdr>
        <w:shd w:val="clear" w:color="auto" w:fill="FFFFFF"/>
        <w:tabs>
          <w:tab w:val="left" w:pos="2500"/>
        </w:tabs>
        <w:spacing w:line="310" w:lineRule="auto"/>
        <w:jc w:val="both"/>
        <w:rPr>
          <w:color w:val="FF0000"/>
          <w:sz w:val="24"/>
          <w:szCs w:val="24"/>
        </w:rPr>
      </w:pPr>
      <w:r>
        <w:rPr>
          <w:b/>
          <w:bCs/>
          <w:sz w:val="24"/>
          <w:szCs w:val="24"/>
        </w:rPr>
        <w:t>3. RESULTADO E DISCUSSÃO</w:t>
      </w:r>
      <w:r>
        <w:rPr>
          <w:b/>
          <w:bCs/>
          <w:sz w:val="28"/>
          <w:szCs w:val="28"/>
        </w:rPr>
        <w:t xml:space="preserve"> </w:t>
      </w:r>
    </w:p>
    <w:p w14:paraId="0000001D" w14:textId="77777777" w:rsidR="009603A2" w:rsidRDefault="00FC7FCC">
      <w:pPr>
        <w:spacing w:line="360" w:lineRule="auto"/>
        <w:ind w:firstLine="709"/>
        <w:jc w:val="both"/>
        <w:rPr>
          <w:sz w:val="24"/>
          <w:szCs w:val="24"/>
        </w:rPr>
      </w:pPr>
      <w:r>
        <w:rPr>
          <w:sz w:val="24"/>
          <w:szCs w:val="24"/>
        </w:rPr>
        <w:t>A urbanização é uma força transformadora global, e no Brasil, dados do Banco Mundial indicam que 87,8% da população já vivia em áreas urbanas em 2023, com projeções de crescimento contínuo (WORLD BANK, 2024). Essa macrotendência se manifesta de forma ainda mais intensa em nível local, como no município de Imperatriz (MA), onde o Censo 2022 revelou uma taxa de urbanização de 96,5% (IBGE, 2023), evidenciando a forte pressão sobre os ecossistemas regionais. A pressão é agravada pela localização no MATOPIBA (Maranhão, Tocantins, Piauí, Bahia), onde a perda de vegetação nativa se acelerou na última década (MAPBIOMAS, 2023), com estudos apontando que 76% da cobertura florestal amazônica original no Maranhão já foi suprimida (Junior et al., 2020). A sintetização da evolução da perda de vegetação nativa no Brasil, evidencia a falha em manter a tendência de redução observada no período de 2008 a 2012, apesar dos compromissos internacionais firmados (Tabela 1).</w:t>
      </w:r>
    </w:p>
    <w:p w14:paraId="0000001E" w14:textId="77777777" w:rsidR="009603A2" w:rsidRDefault="009603A2">
      <w:pPr>
        <w:spacing w:line="360" w:lineRule="auto"/>
        <w:ind w:firstLine="720"/>
        <w:jc w:val="both"/>
        <w:rPr>
          <w:sz w:val="24"/>
          <w:szCs w:val="24"/>
        </w:rPr>
      </w:pPr>
    </w:p>
    <w:p w14:paraId="0000001F" w14:textId="77777777" w:rsidR="009603A2" w:rsidRDefault="00FC7FCC">
      <w:pPr>
        <w:rPr>
          <w:sz w:val="20"/>
          <w:szCs w:val="20"/>
        </w:rPr>
      </w:pPr>
      <w:r>
        <w:rPr>
          <w:b/>
          <w:bCs/>
          <w:sz w:val="20"/>
          <w:szCs w:val="20"/>
        </w:rPr>
        <w:t>Tabela 1:</w:t>
      </w:r>
      <w:r>
        <w:rPr>
          <w:sz w:val="20"/>
          <w:szCs w:val="20"/>
        </w:rPr>
        <w:t xml:space="preserve"> Perda de Vegetação Nativa no Brasil por Período (1993-2022)</w:t>
      </w:r>
    </w:p>
    <w:tbl>
      <w:tblPr>
        <w:tblStyle w:val="a5"/>
        <w:tblW w:w="9075" w:type="dxa"/>
        <w:tblBorders>
          <w:top w:val="single" w:sz="4" w:space="0" w:color="000000"/>
          <w:bottom w:val="single" w:sz="4" w:space="0" w:color="000000"/>
          <w:insideH w:val="single" w:sz="4" w:space="0" w:color="000000"/>
        </w:tblBorders>
        <w:tblLayout w:type="fixed"/>
        <w:tblLook w:val="0000" w:firstRow="0" w:lastRow="0" w:firstColumn="0" w:lastColumn="0" w:noHBand="0" w:noVBand="0"/>
      </w:tblPr>
      <w:tblGrid>
        <w:gridCol w:w="1620"/>
        <w:gridCol w:w="3483"/>
        <w:gridCol w:w="3972"/>
      </w:tblGrid>
      <w:tr w:rsidR="009603A2" w14:paraId="2460FD3C" w14:textId="77777777" w:rsidTr="00FF5B94">
        <w:trPr>
          <w:cantSplit/>
          <w:trHeight w:val="475"/>
          <w:tblHeader/>
        </w:trPr>
        <w:tc>
          <w:tcPr>
            <w:tcW w:w="1620" w:type="dxa"/>
            <w:shd w:val="clear" w:color="auto" w:fill="FFFFFF"/>
            <w:tcMar>
              <w:top w:w="100" w:type="dxa"/>
              <w:left w:w="120" w:type="dxa"/>
              <w:bottom w:w="100" w:type="dxa"/>
              <w:right w:w="120" w:type="dxa"/>
            </w:tcMar>
            <w:vAlign w:val="center"/>
          </w:tcPr>
          <w:p w14:paraId="00000020" w14:textId="77777777" w:rsidR="009603A2" w:rsidRDefault="00000000">
            <w:pPr>
              <w:widowControl/>
              <w:pBdr>
                <w:top w:val="nil"/>
                <w:left w:val="nil"/>
                <w:bottom w:val="nil"/>
                <w:right w:val="nil"/>
                <w:between w:val="nil"/>
              </w:pBdr>
              <w:spacing w:before="60" w:after="60"/>
              <w:jc w:val="center"/>
              <w:rPr>
                <w:b/>
                <w:bCs/>
              </w:rPr>
            </w:pPr>
            <w:sdt>
              <w:sdtPr>
                <w:tag w:val="goog_rdk_1"/>
                <w:id w:val="1838692293"/>
              </w:sdtPr>
              <w:sdtContent/>
            </w:sdt>
            <w:r w:rsidR="00FC7FCC">
              <w:rPr>
                <w:b/>
                <w:bCs/>
              </w:rPr>
              <w:t>Período</w:t>
            </w:r>
          </w:p>
        </w:tc>
        <w:tc>
          <w:tcPr>
            <w:tcW w:w="3483" w:type="dxa"/>
            <w:shd w:val="clear" w:color="auto" w:fill="FFFFFF"/>
            <w:tcMar>
              <w:top w:w="100" w:type="dxa"/>
              <w:left w:w="120" w:type="dxa"/>
              <w:bottom w:w="100" w:type="dxa"/>
              <w:right w:w="120" w:type="dxa"/>
            </w:tcMar>
            <w:vAlign w:val="center"/>
          </w:tcPr>
          <w:p w14:paraId="00000021" w14:textId="77777777" w:rsidR="009603A2" w:rsidRDefault="00FC7FCC">
            <w:pPr>
              <w:widowControl/>
              <w:pBdr>
                <w:top w:val="nil"/>
                <w:left w:val="nil"/>
                <w:bottom w:val="nil"/>
                <w:right w:val="nil"/>
                <w:between w:val="nil"/>
              </w:pBdr>
              <w:spacing w:before="60" w:after="60"/>
              <w:jc w:val="center"/>
              <w:rPr>
                <w:b/>
                <w:bCs/>
              </w:rPr>
            </w:pPr>
            <w:r>
              <w:rPr>
                <w:b/>
                <w:bCs/>
              </w:rPr>
              <w:t>Perda (milhões ha/ano)</w:t>
            </w:r>
          </w:p>
        </w:tc>
        <w:tc>
          <w:tcPr>
            <w:tcW w:w="3969" w:type="dxa"/>
            <w:shd w:val="clear" w:color="auto" w:fill="FFFFFF"/>
            <w:tcMar>
              <w:top w:w="100" w:type="dxa"/>
              <w:left w:w="120" w:type="dxa"/>
              <w:bottom w:w="100" w:type="dxa"/>
              <w:right w:w="120" w:type="dxa"/>
            </w:tcMar>
            <w:vAlign w:val="center"/>
          </w:tcPr>
          <w:p w14:paraId="00000022" w14:textId="77777777" w:rsidR="009603A2" w:rsidRDefault="00FC7FCC">
            <w:pPr>
              <w:widowControl/>
              <w:pBdr>
                <w:top w:val="nil"/>
                <w:left w:val="nil"/>
                <w:bottom w:val="nil"/>
                <w:right w:val="nil"/>
                <w:between w:val="nil"/>
              </w:pBdr>
              <w:spacing w:before="60" w:after="60"/>
              <w:jc w:val="center"/>
              <w:rPr>
                <w:b/>
                <w:bCs/>
              </w:rPr>
            </w:pPr>
            <w:r>
              <w:rPr>
                <w:b/>
                <w:bCs/>
              </w:rPr>
              <w:t>Contexto</w:t>
            </w:r>
          </w:p>
        </w:tc>
      </w:tr>
      <w:tr w:rsidR="009603A2" w14:paraId="37DFAE34" w14:textId="77777777" w:rsidTr="00FF5B94">
        <w:trPr>
          <w:cantSplit/>
          <w:trHeight w:val="93"/>
        </w:trPr>
        <w:tc>
          <w:tcPr>
            <w:tcW w:w="1620" w:type="dxa"/>
            <w:tcMar>
              <w:top w:w="80" w:type="dxa"/>
              <w:left w:w="120" w:type="dxa"/>
              <w:bottom w:w="80" w:type="dxa"/>
              <w:right w:w="120" w:type="dxa"/>
            </w:tcMar>
            <w:vAlign w:val="center"/>
          </w:tcPr>
          <w:p w14:paraId="00000023" w14:textId="77777777" w:rsidR="009603A2" w:rsidRDefault="00FC7FCC">
            <w:pPr>
              <w:widowControl/>
              <w:pBdr>
                <w:top w:val="nil"/>
                <w:left w:val="nil"/>
                <w:bottom w:val="nil"/>
                <w:right w:val="nil"/>
                <w:between w:val="nil"/>
              </w:pBdr>
              <w:spacing w:before="40" w:after="40"/>
              <w:jc w:val="center"/>
              <w:rPr>
                <w:color w:val="000000"/>
                <w:sz w:val="20"/>
                <w:szCs w:val="20"/>
              </w:rPr>
            </w:pPr>
            <w:r>
              <w:rPr>
                <w:color w:val="000000"/>
                <w:sz w:val="20"/>
                <w:szCs w:val="20"/>
              </w:rPr>
              <w:t>1993-1997</w:t>
            </w:r>
          </w:p>
        </w:tc>
        <w:tc>
          <w:tcPr>
            <w:tcW w:w="3483" w:type="dxa"/>
            <w:tcMar>
              <w:top w:w="80" w:type="dxa"/>
              <w:left w:w="120" w:type="dxa"/>
              <w:bottom w:w="80" w:type="dxa"/>
              <w:right w:w="120" w:type="dxa"/>
            </w:tcMar>
            <w:vAlign w:val="center"/>
          </w:tcPr>
          <w:p w14:paraId="00000024" w14:textId="77777777" w:rsidR="009603A2" w:rsidRDefault="00FC7FCC">
            <w:pPr>
              <w:widowControl/>
              <w:pBdr>
                <w:top w:val="nil"/>
                <w:left w:val="nil"/>
                <w:bottom w:val="nil"/>
                <w:right w:val="nil"/>
                <w:between w:val="nil"/>
              </w:pBdr>
              <w:spacing w:before="40" w:after="40"/>
              <w:jc w:val="center"/>
              <w:rPr>
                <w:color w:val="000000"/>
                <w:sz w:val="20"/>
                <w:szCs w:val="20"/>
              </w:rPr>
            </w:pPr>
            <w:r>
              <w:rPr>
                <w:color w:val="000000"/>
                <w:sz w:val="20"/>
                <w:szCs w:val="20"/>
              </w:rPr>
              <w:t>16,4</w:t>
            </w:r>
          </w:p>
        </w:tc>
        <w:tc>
          <w:tcPr>
            <w:tcW w:w="3972" w:type="dxa"/>
            <w:tcMar>
              <w:top w:w="80" w:type="dxa"/>
              <w:left w:w="120" w:type="dxa"/>
              <w:bottom w:w="80" w:type="dxa"/>
              <w:right w:w="120" w:type="dxa"/>
            </w:tcMar>
            <w:vAlign w:val="center"/>
          </w:tcPr>
          <w:p w14:paraId="00000025" w14:textId="77777777" w:rsidR="009603A2" w:rsidRDefault="00FC7FCC">
            <w:pPr>
              <w:widowControl/>
              <w:pBdr>
                <w:top w:val="nil"/>
                <w:left w:val="nil"/>
                <w:bottom w:val="nil"/>
                <w:right w:val="nil"/>
                <w:between w:val="nil"/>
              </w:pBdr>
              <w:spacing w:before="40" w:after="40"/>
              <w:jc w:val="center"/>
              <w:rPr>
                <w:color w:val="000000"/>
                <w:sz w:val="20"/>
                <w:szCs w:val="20"/>
              </w:rPr>
            </w:pPr>
            <w:r>
              <w:rPr>
                <w:color w:val="000000"/>
                <w:sz w:val="20"/>
                <w:szCs w:val="20"/>
              </w:rPr>
              <w:t>Pós-Rio-92</w:t>
            </w:r>
          </w:p>
        </w:tc>
      </w:tr>
      <w:tr w:rsidR="009603A2" w14:paraId="1B2ADEB4" w14:textId="77777777" w:rsidTr="00FF5B94">
        <w:trPr>
          <w:cantSplit/>
          <w:trHeight w:val="271"/>
        </w:trPr>
        <w:tc>
          <w:tcPr>
            <w:tcW w:w="1620" w:type="dxa"/>
            <w:tcMar>
              <w:top w:w="80" w:type="dxa"/>
              <w:left w:w="120" w:type="dxa"/>
              <w:bottom w:w="80" w:type="dxa"/>
              <w:right w:w="120" w:type="dxa"/>
            </w:tcMar>
            <w:vAlign w:val="center"/>
          </w:tcPr>
          <w:p w14:paraId="00000026" w14:textId="77777777" w:rsidR="009603A2" w:rsidRDefault="00FC7FCC">
            <w:pPr>
              <w:widowControl/>
              <w:pBdr>
                <w:top w:val="nil"/>
                <w:left w:val="nil"/>
                <w:bottom w:val="nil"/>
                <w:right w:val="nil"/>
                <w:between w:val="nil"/>
              </w:pBdr>
              <w:spacing w:before="40" w:after="40"/>
              <w:jc w:val="center"/>
              <w:rPr>
                <w:color w:val="000000"/>
                <w:sz w:val="20"/>
                <w:szCs w:val="20"/>
              </w:rPr>
            </w:pPr>
            <w:r>
              <w:rPr>
                <w:color w:val="000000"/>
                <w:sz w:val="20"/>
                <w:szCs w:val="20"/>
              </w:rPr>
              <w:t>1998-2002</w:t>
            </w:r>
          </w:p>
        </w:tc>
        <w:tc>
          <w:tcPr>
            <w:tcW w:w="3483" w:type="dxa"/>
            <w:tcMar>
              <w:top w:w="80" w:type="dxa"/>
              <w:left w:w="120" w:type="dxa"/>
              <w:bottom w:w="80" w:type="dxa"/>
              <w:right w:w="120" w:type="dxa"/>
            </w:tcMar>
            <w:vAlign w:val="center"/>
          </w:tcPr>
          <w:p w14:paraId="00000027" w14:textId="77777777" w:rsidR="009603A2" w:rsidRDefault="00FC7FCC">
            <w:pPr>
              <w:widowControl/>
              <w:pBdr>
                <w:top w:val="nil"/>
                <w:left w:val="nil"/>
                <w:bottom w:val="nil"/>
                <w:right w:val="nil"/>
                <w:between w:val="nil"/>
              </w:pBdr>
              <w:spacing w:before="40" w:after="40"/>
              <w:jc w:val="center"/>
              <w:rPr>
                <w:color w:val="000000"/>
                <w:sz w:val="20"/>
                <w:szCs w:val="20"/>
              </w:rPr>
            </w:pPr>
            <w:r>
              <w:rPr>
                <w:color w:val="000000"/>
                <w:sz w:val="20"/>
                <w:szCs w:val="20"/>
              </w:rPr>
              <w:t>13,3</w:t>
            </w:r>
          </w:p>
        </w:tc>
        <w:tc>
          <w:tcPr>
            <w:tcW w:w="3972" w:type="dxa"/>
            <w:tcMar>
              <w:top w:w="80" w:type="dxa"/>
              <w:left w:w="120" w:type="dxa"/>
              <w:bottom w:w="80" w:type="dxa"/>
              <w:right w:w="120" w:type="dxa"/>
            </w:tcMar>
            <w:vAlign w:val="center"/>
          </w:tcPr>
          <w:p w14:paraId="00000028" w14:textId="77777777" w:rsidR="009603A2" w:rsidRDefault="00FC7FCC">
            <w:pPr>
              <w:widowControl/>
              <w:pBdr>
                <w:top w:val="nil"/>
                <w:left w:val="nil"/>
                <w:bottom w:val="nil"/>
                <w:right w:val="nil"/>
                <w:between w:val="nil"/>
              </w:pBdr>
              <w:spacing w:before="40" w:after="40"/>
              <w:jc w:val="center"/>
              <w:rPr>
                <w:color w:val="000000"/>
                <w:sz w:val="20"/>
                <w:szCs w:val="20"/>
              </w:rPr>
            </w:pPr>
            <w:r>
              <w:rPr>
                <w:color w:val="000000"/>
                <w:sz w:val="20"/>
                <w:szCs w:val="20"/>
              </w:rPr>
              <w:t>Redução</w:t>
            </w:r>
          </w:p>
        </w:tc>
      </w:tr>
      <w:tr w:rsidR="009603A2" w14:paraId="56AE62C0" w14:textId="77777777" w:rsidTr="00FF5B94">
        <w:trPr>
          <w:cantSplit/>
          <w:trHeight w:val="363"/>
        </w:trPr>
        <w:tc>
          <w:tcPr>
            <w:tcW w:w="1620" w:type="dxa"/>
            <w:tcMar>
              <w:top w:w="80" w:type="dxa"/>
              <w:left w:w="120" w:type="dxa"/>
              <w:bottom w:w="80" w:type="dxa"/>
              <w:right w:w="120" w:type="dxa"/>
            </w:tcMar>
            <w:vAlign w:val="center"/>
          </w:tcPr>
          <w:p w14:paraId="00000029" w14:textId="77777777" w:rsidR="009603A2" w:rsidRDefault="00FC7FCC">
            <w:pPr>
              <w:widowControl/>
              <w:pBdr>
                <w:top w:val="nil"/>
                <w:left w:val="nil"/>
                <w:bottom w:val="nil"/>
                <w:right w:val="nil"/>
                <w:between w:val="nil"/>
              </w:pBdr>
              <w:spacing w:before="40" w:after="40"/>
              <w:jc w:val="center"/>
              <w:rPr>
                <w:color w:val="000000"/>
                <w:sz w:val="20"/>
                <w:szCs w:val="20"/>
              </w:rPr>
            </w:pPr>
            <w:r>
              <w:rPr>
                <w:color w:val="000000"/>
                <w:sz w:val="20"/>
                <w:szCs w:val="20"/>
              </w:rPr>
              <w:lastRenderedPageBreak/>
              <w:t>2003-2007</w:t>
            </w:r>
          </w:p>
        </w:tc>
        <w:tc>
          <w:tcPr>
            <w:tcW w:w="3483" w:type="dxa"/>
            <w:tcMar>
              <w:top w:w="80" w:type="dxa"/>
              <w:left w:w="120" w:type="dxa"/>
              <w:bottom w:w="80" w:type="dxa"/>
              <w:right w:w="120" w:type="dxa"/>
            </w:tcMar>
            <w:vAlign w:val="center"/>
          </w:tcPr>
          <w:p w14:paraId="0000002A" w14:textId="77777777" w:rsidR="009603A2" w:rsidRDefault="00FC7FCC">
            <w:pPr>
              <w:widowControl/>
              <w:pBdr>
                <w:top w:val="nil"/>
                <w:left w:val="nil"/>
                <w:bottom w:val="nil"/>
                <w:right w:val="nil"/>
                <w:between w:val="nil"/>
              </w:pBdr>
              <w:spacing w:before="40" w:after="40"/>
              <w:jc w:val="center"/>
              <w:rPr>
                <w:color w:val="000000"/>
                <w:sz w:val="20"/>
                <w:szCs w:val="20"/>
              </w:rPr>
            </w:pPr>
            <w:r>
              <w:rPr>
                <w:color w:val="000000"/>
                <w:sz w:val="20"/>
                <w:szCs w:val="20"/>
              </w:rPr>
              <w:t>18,4</w:t>
            </w:r>
          </w:p>
        </w:tc>
        <w:tc>
          <w:tcPr>
            <w:tcW w:w="3972" w:type="dxa"/>
            <w:tcMar>
              <w:top w:w="80" w:type="dxa"/>
              <w:left w:w="120" w:type="dxa"/>
              <w:bottom w:w="80" w:type="dxa"/>
              <w:right w:w="120" w:type="dxa"/>
            </w:tcMar>
            <w:vAlign w:val="center"/>
          </w:tcPr>
          <w:p w14:paraId="0000002B" w14:textId="77777777" w:rsidR="009603A2" w:rsidRDefault="00FC7FCC">
            <w:pPr>
              <w:widowControl/>
              <w:pBdr>
                <w:top w:val="nil"/>
                <w:left w:val="nil"/>
                <w:bottom w:val="nil"/>
                <w:right w:val="nil"/>
                <w:between w:val="nil"/>
              </w:pBdr>
              <w:spacing w:before="40" w:after="40"/>
              <w:jc w:val="center"/>
              <w:rPr>
                <w:color w:val="000000"/>
                <w:sz w:val="20"/>
                <w:szCs w:val="20"/>
              </w:rPr>
            </w:pPr>
            <w:r>
              <w:rPr>
                <w:color w:val="000000"/>
                <w:sz w:val="20"/>
                <w:szCs w:val="20"/>
              </w:rPr>
              <w:t>Aumento</w:t>
            </w:r>
          </w:p>
        </w:tc>
      </w:tr>
      <w:tr w:rsidR="009603A2" w14:paraId="7B0F44E6" w14:textId="77777777" w:rsidTr="00FF5B94">
        <w:trPr>
          <w:cantSplit/>
          <w:trHeight w:val="243"/>
        </w:trPr>
        <w:tc>
          <w:tcPr>
            <w:tcW w:w="1620" w:type="dxa"/>
            <w:tcMar>
              <w:top w:w="80" w:type="dxa"/>
              <w:left w:w="120" w:type="dxa"/>
              <w:bottom w:w="80" w:type="dxa"/>
              <w:right w:w="120" w:type="dxa"/>
            </w:tcMar>
            <w:vAlign w:val="center"/>
          </w:tcPr>
          <w:p w14:paraId="0000002C" w14:textId="77777777" w:rsidR="009603A2" w:rsidRDefault="00FC7FCC">
            <w:pPr>
              <w:widowControl/>
              <w:pBdr>
                <w:top w:val="nil"/>
                <w:left w:val="nil"/>
                <w:bottom w:val="nil"/>
                <w:right w:val="nil"/>
                <w:between w:val="nil"/>
              </w:pBdr>
              <w:spacing w:before="40" w:after="40"/>
              <w:jc w:val="center"/>
              <w:rPr>
                <w:color w:val="000000"/>
                <w:sz w:val="20"/>
                <w:szCs w:val="20"/>
              </w:rPr>
            </w:pPr>
            <w:r>
              <w:rPr>
                <w:color w:val="000000"/>
                <w:sz w:val="20"/>
                <w:szCs w:val="20"/>
              </w:rPr>
              <w:t>2008-2012</w:t>
            </w:r>
          </w:p>
        </w:tc>
        <w:tc>
          <w:tcPr>
            <w:tcW w:w="3483" w:type="dxa"/>
            <w:tcMar>
              <w:top w:w="80" w:type="dxa"/>
              <w:left w:w="120" w:type="dxa"/>
              <w:bottom w:w="80" w:type="dxa"/>
              <w:right w:w="120" w:type="dxa"/>
            </w:tcMar>
            <w:vAlign w:val="center"/>
          </w:tcPr>
          <w:p w14:paraId="0000002D" w14:textId="77777777" w:rsidR="009603A2" w:rsidRDefault="00FC7FCC">
            <w:pPr>
              <w:widowControl/>
              <w:pBdr>
                <w:top w:val="nil"/>
                <w:left w:val="nil"/>
                <w:bottom w:val="nil"/>
                <w:right w:val="nil"/>
                <w:between w:val="nil"/>
              </w:pBdr>
              <w:spacing w:before="40" w:after="40"/>
              <w:jc w:val="center"/>
              <w:rPr>
                <w:color w:val="000000"/>
                <w:sz w:val="20"/>
                <w:szCs w:val="20"/>
              </w:rPr>
            </w:pPr>
            <w:r>
              <w:rPr>
                <w:color w:val="000000"/>
                <w:sz w:val="20"/>
                <w:szCs w:val="20"/>
              </w:rPr>
              <w:t>5,8</w:t>
            </w:r>
          </w:p>
        </w:tc>
        <w:tc>
          <w:tcPr>
            <w:tcW w:w="3972" w:type="dxa"/>
            <w:tcMar>
              <w:top w:w="80" w:type="dxa"/>
              <w:left w:w="120" w:type="dxa"/>
              <w:bottom w:w="80" w:type="dxa"/>
              <w:right w:w="120" w:type="dxa"/>
            </w:tcMar>
            <w:vAlign w:val="center"/>
          </w:tcPr>
          <w:p w14:paraId="0000002E" w14:textId="77777777" w:rsidR="009603A2" w:rsidRDefault="00FC7FCC">
            <w:pPr>
              <w:widowControl/>
              <w:pBdr>
                <w:top w:val="nil"/>
                <w:left w:val="nil"/>
                <w:bottom w:val="nil"/>
                <w:right w:val="nil"/>
                <w:between w:val="nil"/>
              </w:pBdr>
              <w:spacing w:before="40" w:after="40"/>
              <w:jc w:val="center"/>
              <w:rPr>
                <w:color w:val="000000"/>
                <w:sz w:val="20"/>
                <w:szCs w:val="20"/>
              </w:rPr>
            </w:pPr>
            <w:r>
              <w:rPr>
                <w:color w:val="000000"/>
                <w:sz w:val="20"/>
                <w:szCs w:val="20"/>
              </w:rPr>
              <w:t>Menor perda (sucesso relativo)</w:t>
            </w:r>
          </w:p>
        </w:tc>
      </w:tr>
      <w:tr w:rsidR="009603A2" w14:paraId="13D33401" w14:textId="77777777" w:rsidTr="00FF5B94">
        <w:trPr>
          <w:cantSplit/>
          <w:trHeight w:val="193"/>
        </w:trPr>
        <w:tc>
          <w:tcPr>
            <w:tcW w:w="1620" w:type="dxa"/>
            <w:tcMar>
              <w:top w:w="80" w:type="dxa"/>
              <w:left w:w="120" w:type="dxa"/>
              <w:bottom w:w="80" w:type="dxa"/>
              <w:right w:w="120" w:type="dxa"/>
            </w:tcMar>
            <w:vAlign w:val="center"/>
          </w:tcPr>
          <w:p w14:paraId="0000002F" w14:textId="77777777" w:rsidR="009603A2" w:rsidRDefault="00FC7FCC">
            <w:pPr>
              <w:widowControl/>
              <w:pBdr>
                <w:top w:val="nil"/>
                <w:left w:val="nil"/>
                <w:bottom w:val="nil"/>
                <w:right w:val="nil"/>
                <w:between w:val="nil"/>
              </w:pBdr>
              <w:spacing w:before="40" w:after="40"/>
              <w:jc w:val="center"/>
              <w:rPr>
                <w:color w:val="000000"/>
                <w:sz w:val="20"/>
                <w:szCs w:val="20"/>
              </w:rPr>
            </w:pPr>
            <w:r>
              <w:rPr>
                <w:color w:val="000000"/>
                <w:sz w:val="20"/>
                <w:szCs w:val="20"/>
              </w:rPr>
              <w:t>2012-2017</w:t>
            </w:r>
          </w:p>
        </w:tc>
        <w:tc>
          <w:tcPr>
            <w:tcW w:w="3483" w:type="dxa"/>
            <w:tcMar>
              <w:top w:w="80" w:type="dxa"/>
              <w:left w:w="120" w:type="dxa"/>
              <w:bottom w:w="80" w:type="dxa"/>
              <w:right w:w="120" w:type="dxa"/>
            </w:tcMar>
            <w:vAlign w:val="center"/>
          </w:tcPr>
          <w:p w14:paraId="00000030" w14:textId="77777777" w:rsidR="009603A2" w:rsidRDefault="00FC7FCC">
            <w:pPr>
              <w:widowControl/>
              <w:pBdr>
                <w:top w:val="nil"/>
                <w:left w:val="nil"/>
                <w:bottom w:val="nil"/>
                <w:right w:val="nil"/>
                <w:between w:val="nil"/>
              </w:pBdr>
              <w:spacing w:before="40" w:after="40"/>
              <w:jc w:val="center"/>
              <w:rPr>
                <w:color w:val="000000"/>
                <w:sz w:val="20"/>
                <w:szCs w:val="20"/>
              </w:rPr>
            </w:pPr>
            <w:r>
              <w:rPr>
                <w:color w:val="000000"/>
                <w:sz w:val="20"/>
                <w:szCs w:val="20"/>
              </w:rPr>
              <w:t>8,0</w:t>
            </w:r>
          </w:p>
        </w:tc>
        <w:tc>
          <w:tcPr>
            <w:tcW w:w="3972" w:type="dxa"/>
            <w:tcMar>
              <w:top w:w="80" w:type="dxa"/>
              <w:left w:w="120" w:type="dxa"/>
              <w:bottom w:w="80" w:type="dxa"/>
              <w:right w:w="120" w:type="dxa"/>
            </w:tcMar>
            <w:vAlign w:val="center"/>
          </w:tcPr>
          <w:p w14:paraId="00000031" w14:textId="77777777" w:rsidR="009603A2" w:rsidRDefault="00FC7FCC">
            <w:pPr>
              <w:widowControl/>
              <w:pBdr>
                <w:top w:val="nil"/>
                <w:left w:val="nil"/>
                <w:bottom w:val="nil"/>
                <w:right w:val="nil"/>
                <w:between w:val="nil"/>
              </w:pBdr>
              <w:spacing w:before="40" w:after="40"/>
              <w:jc w:val="center"/>
              <w:rPr>
                <w:color w:val="000000"/>
                <w:sz w:val="20"/>
                <w:szCs w:val="20"/>
              </w:rPr>
            </w:pPr>
            <w:r>
              <w:rPr>
                <w:color w:val="000000"/>
                <w:sz w:val="20"/>
                <w:szCs w:val="20"/>
              </w:rPr>
              <w:t>Pós-Código Florestal</w:t>
            </w:r>
          </w:p>
        </w:tc>
      </w:tr>
      <w:tr w:rsidR="009603A2" w14:paraId="287EB500" w14:textId="77777777" w:rsidTr="00FF5B94">
        <w:trPr>
          <w:cantSplit/>
          <w:trHeight w:val="210"/>
        </w:trPr>
        <w:tc>
          <w:tcPr>
            <w:tcW w:w="1620" w:type="dxa"/>
            <w:tcMar>
              <w:top w:w="80" w:type="dxa"/>
              <w:left w:w="120" w:type="dxa"/>
              <w:bottom w:w="80" w:type="dxa"/>
              <w:right w:w="120" w:type="dxa"/>
            </w:tcMar>
            <w:vAlign w:val="center"/>
          </w:tcPr>
          <w:p w14:paraId="00000032" w14:textId="77777777" w:rsidR="009603A2" w:rsidRDefault="00FC7FCC">
            <w:pPr>
              <w:widowControl/>
              <w:pBdr>
                <w:top w:val="nil"/>
                <w:left w:val="nil"/>
                <w:bottom w:val="nil"/>
                <w:right w:val="nil"/>
                <w:between w:val="nil"/>
              </w:pBdr>
              <w:spacing w:before="40" w:after="40"/>
              <w:jc w:val="center"/>
              <w:rPr>
                <w:color w:val="000000"/>
                <w:sz w:val="20"/>
                <w:szCs w:val="20"/>
              </w:rPr>
            </w:pPr>
            <w:r>
              <w:rPr>
                <w:color w:val="000000"/>
                <w:sz w:val="20"/>
                <w:szCs w:val="20"/>
              </w:rPr>
              <w:t>2018-2022</w:t>
            </w:r>
          </w:p>
        </w:tc>
        <w:tc>
          <w:tcPr>
            <w:tcW w:w="3483" w:type="dxa"/>
            <w:tcMar>
              <w:top w:w="80" w:type="dxa"/>
              <w:left w:w="120" w:type="dxa"/>
              <w:bottom w:w="80" w:type="dxa"/>
              <w:right w:w="120" w:type="dxa"/>
            </w:tcMar>
            <w:vAlign w:val="center"/>
          </w:tcPr>
          <w:p w14:paraId="00000033" w14:textId="77777777" w:rsidR="009603A2" w:rsidRDefault="00FC7FCC">
            <w:pPr>
              <w:widowControl/>
              <w:pBdr>
                <w:top w:val="nil"/>
                <w:left w:val="nil"/>
                <w:bottom w:val="nil"/>
                <w:right w:val="nil"/>
                <w:between w:val="nil"/>
              </w:pBdr>
              <w:spacing w:before="40" w:after="40"/>
              <w:jc w:val="center"/>
              <w:rPr>
                <w:color w:val="000000"/>
                <w:sz w:val="20"/>
                <w:szCs w:val="20"/>
              </w:rPr>
            </w:pPr>
            <w:r>
              <w:rPr>
                <w:color w:val="000000"/>
                <w:sz w:val="20"/>
                <w:szCs w:val="20"/>
              </w:rPr>
              <w:t>12,8</w:t>
            </w:r>
          </w:p>
        </w:tc>
        <w:tc>
          <w:tcPr>
            <w:tcW w:w="3972" w:type="dxa"/>
            <w:tcMar>
              <w:top w:w="80" w:type="dxa"/>
              <w:left w:w="120" w:type="dxa"/>
              <w:bottom w:w="80" w:type="dxa"/>
              <w:right w:w="120" w:type="dxa"/>
            </w:tcMar>
            <w:vAlign w:val="center"/>
          </w:tcPr>
          <w:p w14:paraId="00000034" w14:textId="77777777" w:rsidR="009603A2" w:rsidRDefault="00FC7FCC">
            <w:pPr>
              <w:widowControl/>
              <w:pBdr>
                <w:top w:val="nil"/>
                <w:left w:val="nil"/>
                <w:bottom w:val="nil"/>
                <w:right w:val="nil"/>
                <w:between w:val="nil"/>
              </w:pBdr>
              <w:spacing w:before="40" w:after="40"/>
              <w:jc w:val="center"/>
              <w:rPr>
                <w:color w:val="000000"/>
                <w:sz w:val="20"/>
                <w:szCs w:val="20"/>
              </w:rPr>
            </w:pPr>
            <w:r>
              <w:rPr>
                <w:color w:val="000000"/>
                <w:sz w:val="20"/>
                <w:szCs w:val="20"/>
              </w:rPr>
              <w:t>Aceleração</w:t>
            </w:r>
          </w:p>
        </w:tc>
      </w:tr>
    </w:tbl>
    <w:p w14:paraId="00000035" w14:textId="77777777" w:rsidR="009603A2" w:rsidRDefault="00FC7FCC">
      <w:pPr>
        <w:widowControl/>
        <w:pBdr>
          <w:top w:val="nil"/>
          <w:left w:val="nil"/>
          <w:bottom w:val="nil"/>
          <w:right w:val="nil"/>
          <w:between w:val="nil"/>
        </w:pBdr>
        <w:spacing w:before="120" w:after="120"/>
        <w:jc w:val="both"/>
        <w:rPr>
          <w:color w:val="000000"/>
          <w:sz w:val="20"/>
          <w:szCs w:val="20"/>
        </w:rPr>
      </w:pPr>
      <w:r>
        <w:rPr>
          <w:b/>
          <w:bCs/>
          <w:color w:val="000000"/>
          <w:sz w:val="20"/>
          <w:szCs w:val="20"/>
        </w:rPr>
        <w:t>Fonte:</w:t>
      </w:r>
      <w:r>
        <w:rPr>
          <w:color w:val="000000"/>
          <w:sz w:val="20"/>
          <w:szCs w:val="20"/>
        </w:rPr>
        <w:t xml:space="preserve"> Adaptado de MapBiomas (2023).</w:t>
      </w:r>
    </w:p>
    <w:p w14:paraId="00000036" w14:textId="77777777" w:rsidR="009603A2" w:rsidRDefault="009603A2">
      <w:pPr>
        <w:widowControl/>
        <w:pBdr>
          <w:top w:val="nil"/>
          <w:left w:val="nil"/>
          <w:bottom w:val="nil"/>
          <w:right w:val="nil"/>
          <w:between w:val="nil"/>
        </w:pBdr>
        <w:spacing w:before="120" w:after="120"/>
        <w:jc w:val="both"/>
        <w:rPr>
          <w:color w:val="000000"/>
          <w:sz w:val="20"/>
          <w:szCs w:val="20"/>
        </w:rPr>
      </w:pPr>
    </w:p>
    <w:p w14:paraId="00000037" w14:textId="77777777" w:rsidR="009603A2" w:rsidRDefault="00FC7FCC">
      <w:pPr>
        <w:widowControl/>
        <w:pBdr>
          <w:top w:val="nil"/>
          <w:left w:val="nil"/>
          <w:bottom w:val="nil"/>
          <w:right w:val="nil"/>
          <w:between w:val="nil"/>
        </w:pBdr>
        <w:spacing w:before="120" w:after="120" w:line="360" w:lineRule="auto"/>
        <w:ind w:firstLine="709"/>
        <w:jc w:val="both"/>
        <w:rPr>
          <w:color w:val="000000"/>
          <w:sz w:val="24"/>
          <w:szCs w:val="24"/>
        </w:rPr>
      </w:pPr>
      <w:r>
        <w:rPr>
          <w:color w:val="000000"/>
          <w:sz w:val="24"/>
          <w:szCs w:val="24"/>
        </w:rPr>
        <w:t xml:space="preserve">A urbanização desordenada, somada à pressão do agronegócio, resulta na fragmentação de habitats e na carência de áreas verdes urbanas (Nobre, Arieira e Brandão, 2025). Em Imperatriz, essa carência se manifesta na ausência de um planejamento adequado, o que impede o diagnóstico preciso e a formulação de políticas públicas eficazes (Rodrigues </w:t>
      </w:r>
      <w:r>
        <w:rPr>
          <w:i/>
          <w:iCs/>
          <w:color w:val="000000"/>
          <w:sz w:val="24"/>
          <w:szCs w:val="24"/>
        </w:rPr>
        <w:t>et al</w:t>
      </w:r>
      <w:r>
        <w:rPr>
          <w:color w:val="000000"/>
          <w:sz w:val="24"/>
          <w:szCs w:val="24"/>
        </w:rPr>
        <w:t>., 2019).</w:t>
      </w:r>
    </w:p>
    <w:p w14:paraId="00000038" w14:textId="5BF6ECFA" w:rsidR="009603A2" w:rsidRDefault="00FC7FCC">
      <w:pPr>
        <w:widowControl/>
        <w:pBdr>
          <w:top w:val="nil"/>
          <w:left w:val="nil"/>
          <w:bottom w:val="nil"/>
          <w:right w:val="nil"/>
          <w:between w:val="nil"/>
        </w:pBdr>
        <w:spacing w:before="120" w:after="120" w:line="360" w:lineRule="auto"/>
        <w:ind w:firstLine="709"/>
        <w:jc w:val="both"/>
        <w:rPr>
          <w:sz w:val="24"/>
          <w:szCs w:val="24"/>
        </w:rPr>
      </w:pPr>
      <w:r>
        <w:rPr>
          <w:sz w:val="24"/>
          <w:szCs w:val="24"/>
        </w:rPr>
        <w:t>Observa-se que, nas últimas décadas, o Maranhão tem vivenciado um avanço contínuo da perda de cobertura vegetal, mesmo diante do aumento de iniciativas e acordos internacionais voltados à proteção ambiental</w:t>
      </w:r>
      <w:r w:rsidR="001B13CA">
        <w:rPr>
          <w:sz w:val="24"/>
          <w:szCs w:val="24"/>
        </w:rPr>
        <w:t xml:space="preserve"> </w:t>
      </w:r>
      <w:r w:rsidR="001B13CA" w:rsidRPr="001B13CA">
        <w:rPr>
          <w:sz w:val="24"/>
          <w:szCs w:val="24"/>
        </w:rPr>
        <w:t>(</w:t>
      </w:r>
      <w:r w:rsidR="001B13CA" w:rsidRPr="001B13CA">
        <w:rPr>
          <w:sz w:val="24"/>
          <w:szCs w:val="24"/>
        </w:rPr>
        <w:t>Conferência Rio-92 1992</w:t>
      </w:r>
      <w:r w:rsidR="001B13CA" w:rsidRPr="001B13CA">
        <w:rPr>
          <w:sz w:val="24"/>
          <w:szCs w:val="24"/>
        </w:rPr>
        <w:t xml:space="preserve">, </w:t>
      </w:r>
      <w:r w:rsidR="001B13CA" w:rsidRPr="001B13CA">
        <w:rPr>
          <w:sz w:val="24"/>
          <w:szCs w:val="24"/>
        </w:rPr>
        <w:t>Protocolo de Quioto 1997</w:t>
      </w:r>
      <w:r w:rsidR="001B13CA" w:rsidRPr="001B13CA">
        <w:rPr>
          <w:sz w:val="24"/>
          <w:szCs w:val="24"/>
        </w:rPr>
        <w:t xml:space="preserve">, </w:t>
      </w:r>
      <w:r w:rsidR="001B13CA" w:rsidRPr="001B13CA">
        <w:rPr>
          <w:sz w:val="24"/>
          <w:szCs w:val="24"/>
        </w:rPr>
        <w:t>Acordo de Paris 2015</w:t>
      </w:r>
      <w:r w:rsidR="001B13CA" w:rsidRPr="001B13CA">
        <w:rPr>
          <w:sz w:val="24"/>
          <w:szCs w:val="24"/>
        </w:rPr>
        <w:t>, D</w:t>
      </w:r>
      <w:r w:rsidR="001B13CA" w:rsidRPr="001B13CA">
        <w:rPr>
          <w:sz w:val="24"/>
          <w:szCs w:val="24"/>
        </w:rPr>
        <w:t>eclaração de Glasgow sobre Florestas COP26, 2021</w:t>
      </w:r>
      <w:r w:rsidR="001B13CA" w:rsidRPr="001B13CA">
        <w:rPr>
          <w:sz w:val="24"/>
          <w:szCs w:val="24"/>
        </w:rPr>
        <w:t>)</w:t>
      </w:r>
      <w:r w:rsidRPr="001B13CA">
        <w:rPr>
          <w:sz w:val="24"/>
          <w:szCs w:val="24"/>
        </w:rPr>
        <w:t>.</w:t>
      </w:r>
      <w:r>
        <w:rPr>
          <w:sz w:val="24"/>
          <w:szCs w:val="24"/>
        </w:rPr>
        <w:t xml:space="preserve"> Essa relação entre a intensificação do desmatamento e os principais marcos globais pode ser visualizada na (Figura 2</w:t>
      </w:r>
      <w:r>
        <w:rPr>
          <w:b/>
          <w:bCs/>
          <w:sz w:val="24"/>
          <w:szCs w:val="24"/>
        </w:rPr>
        <w:t>)</w:t>
      </w:r>
      <w:r>
        <w:rPr>
          <w:sz w:val="24"/>
          <w:szCs w:val="24"/>
        </w:rPr>
        <w:t>, que apresenta a evolução da perda acumulada de vegetação no estado entre 1990 e 2025 em comparação ao número de ações internacionais ambientais no período.</w:t>
      </w:r>
      <w:r w:rsidR="007D639F">
        <w:rPr>
          <w:sz w:val="24"/>
          <w:szCs w:val="24"/>
        </w:rPr>
        <w:t xml:space="preserve"> (MapBiomas, 2025).</w:t>
      </w:r>
    </w:p>
    <w:p w14:paraId="00000039" w14:textId="77777777" w:rsidR="009603A2" w:rsidRDefault="00FC7FCC">
      <w:pPr>
        <w:widowControl/>
        <w:pBdr>
          <w:top w:val="nil"/>
          <w:left w:val="nil"/>
          <w:bottom w:val="nil"/>
          <w:right w:val="nil"/>
          <w:between w:val="nil"/>
        </w:pBdr>
        <w:spacing w:before="120" w:after="120"/>
        <w:ind w:left="720"/>
        <w:rPr>
          <w:color w:val="000000"/>
          <w:sz w:val="20"/>
          <w:szCs w:val="20"/>
        </w:rPr>
      </w:pPr>
      <w:r>
        <w:rPr>
          <w:b/>
          <w:bCs/>
          <w:color w:val="000000"/>
          <w:sz w:val="20"/>
          <w:szCs w:val="20"/>
        </w:rPr>
        <w:t>Figura 2:</w:t>
      </w:r>
      <w:r>
        <w:rPr>
          <w:color w:val="000000"/>
          <w:sz w:val="20"/>
          <w:szCs w:val="20"/>
        </w:rPr>
        <w:t xml:space="preserve"> Perda acumulada de vegetação no Maranhão por Marcos Internacionais Acumulados.</w:t>
      </w:r>
    </w:p>
    <w:p w14:paraId="0000003A" w14:textId="67BBC16D" w:rsidR="009603A2" w:rsidRDefault="00000000">
      <w:pPr>
        <w:widowControl/>
        <w:pBdr>
          <w:top w:val="nil"/>
          <w:left w:val="nil"/>
          <w:bottom w:val="nil"/>
          <w:right w:val="nil"/>
          <w:between w:val="nil"/>
        </w:pBdr>
        <w:spacing w:before="120" w:after="120" w:line="360" w:lineRule="auto"/>
        <w:ind w:firstLine="720"/>
        <w:jc w:val="both"/>
        <w:rPr>
          <w:sz w:val="24"/>
          <w:szCs w:val="24"/>
        </w:rPr>
      </w:pPr>
      <w:sdt>
        <w:sdtPr>
          <w:tag w:val="goog_rdk_2"/>
          <w:id w:val="-474394633"/>
          <w:showingPlcHdr/>
        </w:sdtPr>
        <w:sdtContent>
          <w:r w:rsidR="006339CE">
            <w:t xml:space="preserve">     </w:t>
          </w:r>
          <w:commentRangeStart w:id="3"/>
        </w:sdtContent>
      </w:sdt>
      <w:commentRangeEnd w:id="3"/>
      <w:r w:rsidR="0036477C">
        <w:rPr>
          <w:noProof/>
        </w:rPr>
        <w:drawing>
          <wp:inline distT="0" distB="0" distL="0" distR="0" wp14:anchorId="3C418CCD" wp14:editId="5C0FF640">
            <wp:extent cx="4010025" cy="2420155"/>
            <wp:effectExtent l="0" t="0" r="0" b="0"/>
            <wp:docPr id="238709182" name="Picture 1" descr="A graph of growth in different countries/reg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709182" name="Picture 1" descr="A graph of growth in different countries/regions&#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4052104" cy="2445551"/>
                    </a:xfrm>
                    <a:prstGeom prst="rect">
                      <a:avLst/>
                    </a:prstGeom>
                  </pic:spPr>
                </pic:pic>
              </a:graphicData>
            </a:graphic>
          </wp:inline>
        </w:drawing>
      </w:r>
      <w:r w:rsidR="00FC7FCC">
        <w:commentReference w:id="3"/>
      </w:r>
    </w:p>
    <w:p w14:paraId="0000003B" w14:textId="77777777" w:rsidR="009603A2" w:rsidRDefault="00FC7FCC">
      <w:pPr>
        <w:widowControl/>
        <w:pBdr>
          <w:top w:val="nil"/>
          <w:left w:val="nil"/>
          <w:bottom w:val="nil"/>
          <w:right w:val="nil"/>
          <w:between w:val="nil"/>
        </w:pBdr>
        <w:spacing w:before="120" w:after="120" w:line="360" w:lineRule="auto"/>
        <w:ind w:firstLine="720"/>
        <w:jc w:val="both"/>
        <w:rPr>
          <w:color w:val="000000"/>
          <w:sz w:val="20"/>
          <w:szCs w:val="20"/>
        </w:rPr>
      </w:pPr>
      <w:r>
        <w:rPr>
          <w:b/>
          <w:bCs/>
          <w:color w:val="000000"/>
          <w:sz w:val="20"/>
          <w:szCs w:val="20"/>
        </w:rPr>
        <w:lastRenderedPageBreak/>
        <w:t>Fonte:</w:t>
      </w:r>
      <w:r>
        <w:rPr>
          <w:color w:val="000000"/>
          <w:sz w:val="20"/>
          <w:szCs w:val="20"/>
        </w:rPr>
        <w:t xml:space="preserve"> Autores (2025).</w:t>
      </w:r>
    </w:p>
    <w:p w14:paraId="0000003C" w14:textId="77777777" w:rsidR="009603A2" w:rsidRDefault="00FC7FCC">
      <w:pPr>
        <w:widowControl/>
        <w:pBdr>
          <w:top w:val="nil"/>
          <w:left w:val="nil"/>
          <w:bottom w:val="nil"/>
          <w:right w:val="nil"/>
          <w:between w:val="nil"/>
        </w:pBdr>
        <w:spacing w:before="120" w:after="120" w:line="360" w:lineRule="auto"/>
        <w:ind w:firstLine="720"/>
        <w:jc w:val="both"/>
        <w:rPr>
          <w:sz w:val="24"/>
          <w:szCs w:val="24"/>
        </w:rPr>
      </w:pPr>
      <w:r>
        <w:rPr>
          <w:sz w:val="24"/>
          <w:szCs w:val="24"/>
        </w:rPr>
        <w:t>Analisando a perda acumulada de vegetação do Maranhão no período de 1990 a 2025 em relação aos marcos de encontros globais pode-se constatar uma situação crítica com a semelhança do número de ações internacionais ambientais e o aumento do desmatamento no estado. Mesmo com o aumento das agendas de sustentabilidade como o desenvolvimento dos Objetivos de Desenvolvimento Sustentável e Acordo de Paris, não houve efeito que freasse o desmatamento mantendo um crescimento exponencial (Figura 2).</w:t>
      </w:r>
    </w:p>
    <w:p w14:paraId="0000003D" w14:textId="77777777" w:rsidR="009603A2" w:rsidRDefault="00FC7FCC">
      <w:pPr>
        <w:widowControl/>
        <w:pBdr>
          <w:top w:val="nil"/>
          <w:left w:val="nil"/>
          <w:bottom w:val="nil"/>
          <w:right w:val="nil"/>
          <w:between w:val="nil"/>
        </w:pBdr>
        <w:spacing w:before="120" w:after="120" w:line="360" w:lineRule="auto"/>
        <w:ind w:firstLine="720"/>
        <w:jc w:val="both"/>
        <w:rPr>
          <w:color w:val="000000"/>
          <w:sz w:val="24"/>
          <w:szCs w:val="24"/>
        </w:rPr>
      </w:pPr>
      <w:r>
        <w:rPr>
          <w:sz w:val="24"/>
          <w:szCs w:val="24"/>
        </w:rPr>
        <w:t xml:space="preserve"> O Brasil no período de 2004 à 2012 possuiu uma redução considerável na diminuição do desmatamento da Amazônia, porém em 2016 a perda de vegetação se elevou novamente mesmo com a maior taxa de ações internacionais ambientais (Pinto, 2025). Sendo assim, pode-se discutir que a implementação de áreas verdes urbanas, como o Parque Municipal Arara Azul, é uma tomada de decisão tardia porém ainda possui sua eficiência frente às mudanças climáticas. </w:t>
      </w:r>
    </w:p>
    <w:p w14:paraId="0000003E" w14:textId="77777777" w:rsidR="009603A2" w:rsidRDefault="00FC7FCC">
      <w:pPr>
        <w:widowControl/>
        <w:pBdr>
          <w:top w:val="nil"/>
          <w:left w:val="nil"/>
          <w:bottom w:val="nil"/>
          <w:right w:val="nil"/>
          <w:between w:val="nil"/>
        </w:pBdr>
        <w:spacing w:before="120" w:after="120" w:line="360" w:lineRule="auto"/>
        <w:ind w:firstLine="709"/>
        <w:jc w:val="both"/>
        <w:rPr>
          <w:color w:val="000000"/>
          <w:sz w:val="24"/>
          <w:szCs w:val="24"/>
        </w:rPr>
      </w:pPr>
      <w:r>
        <w:rPr>
          <w:color w:val="000000"/>
          <w:sz w:val="24"/>
          <w:szCs w:val="24"/>
        </w:rPr>
        <w:t xml:space="preserve">Nesse contexto de extrema pressão, a criação do Parque Natural Municipal de Proteção Integral Arara Azul em 2021, por meio de legislação municipal, representa um marco na política ambiental de Imperatriz, sinalizando uma transição de ações pontuais para uma abordagem estruturada e alinhada com as diretrizes internacionais (Rodrigues </w:t>
      </w:r>
      <w:r>
        <w:rPr>
          <w:i/>
          <w:iCs/>
          <w:color w:val="000000"/>
          <w:sz w:val="24"/>
          <w:szCs w:val="24"/>
        </w:rPr>
        <w:t>et al.</w:t>
      </w:r>
      <w:r>
        <w:rPr>
          <w:color w:val="000000"/>
          <w:sz w:val="24"/>
          <w:szCs w:val="24"/>
        </w:rPr>
        <w:t xml:space="preserve">, 2019). A análise da cronologia das ações ambientais em Imperatriz revela um contraste significativo entre o período anterior e posterior à criação do Parque Arara Azul. O período anterior a 2021 foi marcado pela inércia no planejamento urbano-ambiental, apesar do crescimento populacional acelerado. A partir de 2021, a criação do Parque Arara Azul, uma unidade de conservação de 31.844 hectares, demonstra uma resposta institucional robusta, viabilizada por mecanismos de compensação ambiental e pelo foco na conservação (Rodrigues </w:t>
      </w:r>
      <w:r>
        <w:rPr>
          <w:i/>
          <w:iCs/>
          <w:color w:val="000000"/>
          <w:sz w:val="24"/>
          <w:szCs w:val="24"/>
        </w:rPr>
        <w:t>et al.</w:t>
      </w:r>
      <w:r>
        <w:rPr>
          <w:color w:val="000000"/>
          <w:sz w:val="24"/>
          <w:szCs w:val="24"/>
        </w:rPr>
        <w:t>, 2019).</w:t>
      </w:r>
    </w:p>
    <w:p w14:paraId="0000003F" w14:textId="77777777" w:rsidR="009603A2" w:rsidRDefault="00FC7FCC">
      <w:pPr>
        <w:widowControl/>
        <w:pBdr>
          <w:top w:val="nil"/>
          <w:left w:val="nil"/>
          <w:bottom w:val="nil"/>
          <w:right w:val="nil"/>
          <w:between w:val="nil"/>
        </w:pBdr>
        <w:spacing w:before="120" w:after="120" w:line="360" w:lineRule="auto"/>
        <w:jc w:val="both"/>
        <w:rPr>
          <w:color w:val="000000"/>
          <w:sz w:val="24"/>
          <w:szCs w:val="24"/>
        </w:rPr>
      </w:pPr>
      <w:r>
        <w:rPr>
          <w:color w:val="000000"/>
          <w:sz w:val="20"/>
          <w:szCs w:val="20"/>
        </w:rPr>
        <w:t>Tabela 2:</w:t>
      </w:r>
      <w:r>
        <w:rPr>
          <w:b/>
          <w:bCs/>
          <w:color w:val="000000"/>
          <w:sz w:val="20"/>
          <w:szCs w:val="20"/>
        </w:rPr>
        <w:t xml:space="preserve"> </w:t>
      </w:r>
      <w:sdt>
        <w:sdtPr>
          <w:tag w:val="goog_rdk_3"/>
          <w:id w:val="-858253959"/>
        </w:sdtPr>
        <w:sdtContent/>
      </w:sdt>
      <w:r>
        <w:rPr>
          <w:b/>
          <w:bCs/>
          <w:color w:val="000000"/>
          <w:sz w:val="20"/>
          <w:szCs w:val="20"/>
        </w:rPr>
        <w:t>Comparativo de Ações de Conservação em Imperatriz - MA e o Alinhamento com a Governança Global</w:t>
      </w:r>
    </w:p>
    <w:tbl>
      <w:tblPr>
        <w:tblStyle w:val="a6"/>
        <w:tblW w:w="9356" w:type="dxa"/>
        <w:tblBorders>
          <w:top w:val="single" w:sz="4" w:space="0" w:color="000000"/>
          <w:bottom w:val="single" w:sz="4" w:space="0" w:color="000000"/>
          <w:insideH w:val="single" w:sz="4" w:space="0" w:color="000000"/>
        </w:tblBorders>
        <w:tblLayout w:type="fixed"/>
        <w:tblLook w:val="0400" w:firstRow="0" w:lastRow="0" w:firstColumn="0" w:lastColumn="0" w:noHBand="0" w:noVBand="1"/>
      </w:tblPr>
      <w:tblGrid>
        <w:gridCol w:w="1100"/>
        <w:gridCol w:w="2462"/>
        <w:gridCol w:w="3458"/>
        <w:gridCol w:w="2336"/>
      </w:tblGrid>
      <w:tr w:rsidR="009603A2" w14:paraId="2BFEF0E0" w14:textId="77777777" w:rsidTr="00FF5B94">
        <w:trPr>
          <w:cantSplit/>
          <w:trHeight w:val="419"/>
          <w:tblHeader/>
        </w:trPr>
        <w:tc>
          <w:tcPr>
            <w:tcW w:w="1100" w:type="dxa"/>
            <w:shd w:val="clear" w:color="auto" w:fill="FFFFFF"/>
            <w:tcMar>
              <w:top w:w="100" w:type="dxa"/>
              <w:left w:w="120" w:type="dxa"/>
              <w:bottom w:w="100" w:type="dxa"/>
              <w:right w:w="120" w:type="dxa"/>
            </w:tcMar>
            <w:vAlign w:val="center"/>
          </w:tcPr>
          <w:p w14:paraId="00000040" w14:textId="77777777" w:rsidR="009603A2" w:rsidRDefault="00FC7FCC">
            <w:pPr>
              <w:widowControl/>
              <w:pBdr>
                <w:top w:val="nil"/>
                <w:left w:val="nil"/>
                <w:bottom w:val="nil"/>
                <w:right w:val="nil"/>
                <w:between w:val="nil"/>
              </w:pBdr>
              <w:spacing w:before="60" w:after="60"/>
              <w:jc w:val="center"/>
              <w:rPr>
                <w:b/>
                <w:bCs/>
                <w:color w:val="000000"/>
              </w:rPr>
            </w:pPr>
            <w:r>
              <w:rPr>
                <w:b/>
                <w:bCs/>
                <w:color w:val="000000"/>
              </w:rPr>
              <w:lastRenderedPageBreak/>
              <w:t>Período</w:t>
            </w:r>
          </w:p>
        </w:tc>
        <w:tc>
          <w:tcPr>
            <w:tcW w:w="2462" w:type="dxa"/>
            <w:shd w:val="clear" w:color="auto" w:fill="FFFFFF"/>
            <w:tcMar>
              <w:top w:w="100" w:type="dxa"/>
              <w:left w:w="120" w:type="dxa"/>
              <w:bottom w:w="100" w:type="dxa"/>
              <w:right w:w="120" w:type="dxa"/>
            </w:tcMar>
            <w:vAlign w:val="center"/>
          </w:tcPr>
          <w:p w14:paraId="00000041" w14:textId="77777777" w:rsidR="009603A2" w:rsidRDefault="00FC7FCC">
            <w:pPr>
              <w:widowControl/>
              <w:pBdr>
                <w:top w:val="nil"/>
                <w:left w:val="nil"/>
                <w:bottom w:val="nil"/>
                <w:right w:val="nil"/>
                <w:between w:val="nil"/>
              </w:pBdr>
              <w:spacing w:before="60" w:after="60"/>
              <w:jc w:val="center"/>
              <w:rPr>
                <w:b/>
                <w:bCs/>
                <w:color w:val="000000"/>
              </w:rPr>
            </w:pPr>
            <w:r>
              <w:rPr>
                <w:b/>
                <w:bCs/>
                <w:color w:val="000000"/>
              </w:rPr>
              <w:t>Característica Principal</w:t>
            </w:r>
          </w:p>
        </w:tc>
        <w:tc>
          <w:tcPr>
            <w:tcW w:w="3458" w:type="dxa"/>
            <w:shd w:val="clear" w:color="auto" w:fill="FFFFFF"/>
            <w:tcMar>
              <w:top w:w="100" w:type="dxa"/>
              <w:left w:w="120" w:type="dxa"/>
              <w:bottom w:w="100" w:type="dxa"/>
              <w:right w:w="120" w:type="dxa"/>
            </w:tcMar>
            <w:vAlign w:val="center"/>
          </w:tcPr>
          <w:p w14:paraId="00000042" w14:textId="77777777" w:rsidR="009603A2" w:rsidRDefault="00FC7FCC">
            <w:pPr>
              <w:widowControl/>
              <w:pBdr>
                <w:top w:val="nil"/>
                <w:left w:val="nil"/>
                <w:bottom w:val="nil"/>
                <w:right w:val="nil"/>
                <w:between w:val="nil"/>
              </w:pBdr>
              <w:spacing w:before="60" w:after="60"/>
              <w:jc w:val="center"/>
              <w:rPr>
                <w:b/>
                <w:bCs/>
                <w:color w:val="000000"/>
              </w:rPr>
            </w:pPr>
            <w:r>
              <w:rPr>
                <w:b/>
                <w:bCs/>
                <w:color w:val="000000"/>
              </w:rPr>
              <w:t xml:space="preserve">Exemplos de Ações </w:t>
            </w:r>
            <w:r>
              <w:rPr>
                <w:b/>
                <w:bCs/>
              </w:rPr>
              <w:t>em Imperatriz - MA</w:t>
            </w:r>
          </w:p>
        </w:tc>
        <w:tc>
          <w:tcPr>
            <w:tcW w:w="2336" w:type="dxa"/>
            <w:shd w:val="clear" w:color="auto" w:fill="FFFFFF"/>
            <w:tcMar>
              <w:top w:w="100" w:type="dxa"/>
              <w:left w:w="120" w:type="dxa"/>
              <w:bottom w:w="100" w:type="dxa"/>
              <w:right w:w="120" w:type="dxa"/>
            </w:tcMar>
            <w:vAlign w:val="center"/>
          </w:tcPr>
          <w:p w14:paraId="00000043" w14:textId="77777777" w:rsidR="009603A2" w:rsidRDefault="00FC7FCC">
            <w:pPr>
              <w:widowControl/>
              <w:pBdr>
                <w:top w:val="nil"/>
                <w:left w:val="nil"/>
                <w:bottom w:val="nil"/>
                <w:right w:val="nil"/>
                <w:between w:val="nil"/>
              </w:pBdr>
              <w:spacing w:before="60" w:after="60"/>
              <w:jc w:val="center"/>
              <w:rPr>
                <w:b/>
                <w:bCs/>
                <w:color w:val="000000"/>
              </w:rPr>
            </w:pPr>
            <w:r>
              <w:rPr>
                <w:b/>
                <w:bCs/>
                <w:color w:val="000000"/>
              </w:rPr>
              <w:t>Alinhamento Internacional</w:t>
            </w:r>
          </w:p>
        </w:tc>
      </w:tr>
      <w:tr w:rsidR="009603A2" w14:paraId="6E6B86AE" w14:textId="77777777" w:rsidTr="00FF5B94">
        <w:trPr>
          <w:cantSplit/>
          <w:trHeight w:val="593"/>
        </w:trPr>
        <w:tc>
          <w:tcPr>
            <w:tcW w:w="1100" w:type="dxa"/>
            <w:tcMar>
              <w:top w:w="80" w:type="dxa"/>
              <w:left w:w="120" w:type="dxa"/>
              <w:bottom w:w="80" w:type="dxa"/>
              <w:right w:w="120" w:type="dxa"/>
            </w:tcMar>
            <w:vAlign w:val="center"/>
          </w:tcPr>
          <w:p w14:paraId="00000044" w14:textId="77777777" w:rsidR="009603A2" w:rsidRDefault="00FC7FCC">
            <w:pPr>
              <w:widowControl/>
              <w:pBdr>
                <w:top w:val="nil"/>
                <w:left w:val="nil"/>
                <w:bottom w:val="nil"/>
                <w:right w:val="nil"/>
                <w:between w:val="nil"/>
              </w:pBdr>
              <w:spacing w:before="40" w:after="40"/>
              <w:jc w:val="center"/>
              <w:rPr>
                <w:color w:val="000000"/>
                <w:sz w:val="20"/>
                <w:szCs w:val="20"/>
              </w:rPr>
            </w:pPr>
            <w:r>
              <w:rPr>
                <w:b/>
                <w:bCs/>
                <w:color w:val="000000"/>
                <w:sz w:val="20"/>
                <w:szCs w:val="20"/>
              </w:rPr>
              <w:t>Antes de 2021</w:t>
            </w:r>
          </w:p>
        </w:tc>
        <w:tc>
          <w:tcPr>
            <w:tcW w:w="2462" w:type="dxa"/>
            <w:tcMar>
              <w:top w:w="80" w:type="dxa"/>
              <w:left w:w="120" w:type="dxa"/>
              <w:bottom w:w="80" w:type="dxa"/>
              <w:right w:w="120" w:type="dxa"/>
            </w:tcMar>
            <w:vAlign w:val="center"/>
          </w:tcPr>
          <w:p w14:paraId="00000045" w14:textId="77777777" w:rsidR="009603A2" w:rsidRDefault="00FC7FCC">
            <w:pPr>
              <w:widowControl/>
              <w:pBdr>
                <w:top w:val="nil"/>
                <w:left w:val="nil"/>
                <w:bottom w:val="nil"/>
                <w:right w:val="nil"/>
                <w:between w:val="nil"/>
              </w:pBdr>
              <w:spacing w:before="40" w:after="40"/>
              <w:jc w:val="center"/>
              <w:rPr>
                <w:color w:val="000000"/>
                <w:sz w:val="20"/>
                <w:szCs w:val="20"/>
              </w:rPr>
            </w:pPr>
            <w:r>
              <w:rPr>
                <w:color w:val="000000"/>
                <w:sz w:val="20"/>
                <w:szCs w:val="20"/>
              </w:rPr>
              <w:t>Abordagem Reativa e Pontual</w:t>
            </w:r>
          </w:p>
        </w:tc>
        <w:tc>
          <w:tcPr>
            <w:tcW w:w="3458" w:type="dxa"/>
            <w:tcMar>
              <w:top w:w="80" w:type="dxa"/>
              <w:left w:w="120" w:type="dxa"/>
              <w:bottom w:w="80" w:type="dxa"/>
              <w:right w:w="120" w:type="dxa"/>
            </w:tcMar>
            <w:vAlign w:val="center"/>
          </w:tcPr>
          <w:p w14:paraId="00000046" w14:textId="77777777" w:rsidR="009603A2" w:rsidRDefault="00FC7FCC">
            <w:pPr>
              <w:widowControl/>
              <w:pBdr>
                <w:top w:val="nil"/>
                <w:left w:val="nil"/>
                <w:bottom w:val="nil"/>
                <w:right w:val="nil"/>
                <w:between w:val="nil"/>
              </w:pBdr>
              <w:spacing w:before="40" w:after="40"/>
              <w:jc w:val="center"/>
              <w:rPr>
                <w:color w:val="000000"/>
                <w:sz w:val="20"/>
                <w:szCs w:val="20"/>
              </w:rPr>
            </w:pPr>
            <w:r>
              <w:rPr>
                <w:color w:val="000000"/>
                <w:sz w:val="20"/>
                <w:szCs w:val="20"/>
              </w:rPr>
              <w:t>Ausência de plano de arborização; Crescimento desordenado e ocupação irregular de margens de riachos</w:t>
            </w:r>
          </w:p>
        </w:tc>
        <w:tc>
          <w:tcPr>
            <w:tcW w:w="2336" w:type="dxa"/>
            <w:tcMar>
              <w:top w:w="80" w:type="dxa"/>
              <w:left w:w="120" w:type="dxa"/>
              <w:bottom w:w="80" w:type="dxa"/>
              <w:right w:w="120" w:type="dxa"/>
            </w:tcMar>
            <w:vAlign w:val="center"/>
          </w:tcPr>
          <w:p w14:paraId="00000047" w14:textId="77777777" w:rsidR="009603A2" w:rsidRDefault="00FC7FCC">
            <w:pPr>
              <w:widowControl/>
              <w:pBdr>
                <w:top w:val="nil"/>
                <w:left w:val="nil"/>
                <w:bottom w:val="nil"/>
                <w:right w:val="nil"/>
                <w:between w:val="nil"/>
              </w:pBdr>
              <w:spacing w:before="40" w:after="40"/>
              <w:jc w:val="center"/>
              <w:rPr>
                <w:color w:val="000000"/>
                <w:sz w:val="20"/>
                <w:szCs w:val="20"/>
              </w:rPr>
            </w:pPr>
            <w:r>
              <w:rPr>
                <w:color w:val="000000"/>
                <w:sz w:val="20"/>
                <w:szCs w:val="20"/>
              </w:rPr>
              <w:t>Baixo (Agenda 21, Acordo de Paris)</w:t>
            </w:r>
          </w:p>
        </w:tc>
      </w:tr>
      <w:tr w:rsidR="009603A2" w14:paraId="2E1AC217" w14:textId="77777777" w:rsidTr="00FF5B94">
        <w:trPr>
          <w:cantSplit/>
          <w:trHeight w:val="1640"/>
        </w:trPr>
        <w:tc>
          <w:tcPr>
            <w:tcW w:w="1100" w:type="dxa"/>
            <w:tcMar>
              <w:top w:w="80" w:type="dxa"/>
              <w:left w:w="120" w:type="dxa"/>
              <w:bottom w:w="80" w:type="dxa"/>
              <w:right w:w="120" w:type="dxa"/>
            </w:tcMar>
            <w:vAlign w:val="center"/>
          </w:tcPr>
          <w:p w14:paraId="00000048" w14:textId="77777777" w:rsidR="009603A2" w:rsidRDefault="00FC7FCC">
            <w:pPr>
              <w:widowControl/>
              <w:pBdr>
                <w:top w:val="nil"/>
                <w:left w:val="nil"/>
                <w:bottom w:val="nil"/>
                <w:right w:val="nil"/>
                <w:between w:val="nil"/>
              </w:pBdr>
              <w:spacing w:before="40" w:after="40"/>
              <w:jc w:val="center"/>
              <w:rPr>
                <w:color w:val="000000"/>
                <w:sz w:val="20"/>
                <w:szCs w:val="20"/>
              </w:rPr>
            </w:pPr>
            <w:r>
              <w:rPr>
                <w:b/>
                <w:bCs/>
                <w:color w:val="000000"/>
                <w:sz w:val="20"/>
                <w:szCs w:val="20"/>
              </w:rPr>
              <w:t>2021 - Atual</w:t>
            </w:r>
          </w:p>
        </w:tc>
        <w:tc>
          <w:tcPr>
            <w:tcW w:w="2462" w:type="dxa"/>
            <w:tcMar>
              <w:top w:w="80" w:type="dxa"/>
              <w:left w:w="120" w:type="dxa"/>
              <w:bottom w:w="80" w:type="dxa"/>
              <w:right w:w="120" w:type="dxa"/>
            </w:tcMar>
            <w:vAlign w:val="center"/>
          </w:tcPr>
          <w:p w14:paraId="00000049" w14:textId="77777777" w:rsidR="009603A2" w:rsidRDefault="00FC7FCC">
            <w:pPr>
              <w:widowControl/>
              <w:pBdr>
                <w:top w:val="nil"/>
                <w:left w:val="nil"/>
                <w:bottom w:val="nil"/>
                <w:right w:val="nil"/>
                <w:between w:val="nil"/>
              </w:pBdr>
              <w:spacing w:before="40" w:after="40"/>
              <w:jc w:val="center"/>
              <w:rPr>
                <w:color w:val="000000"/>
                <w:sz w:val="20"/>
                <w:szCs w:val="20"/>
              </w:rPr>
            </w:pPr>
            <w:r>
              <w:rPr>
                <w:color w:val="000000"/>
                <w:sz w:val="20"/>
                <w:szCs w:val="20"/>
              </w:rPr>
              <w:t>Abordagem Estruturada e Proativa</w:t>
            </w:r>
          </w:p>
        </w:tc>
        <w:tc>
          <w:tcPr>
            <w:tcW w:w="3458" w:type="dxa"/>
            <w:tcMar>
              <w:top w:w="80" w:type="dxa"/>
              <w:left w:w="120" w:type="dxa"/>
              <w:bottom w:w="80" w:type="dxa"/>
              <w:right w:w="120" w:type="dxa"/>
            </w:tcMar>
            <w:vAlign w:val="center"/>
          </w:tcPr>
          <w:p w14:paraId="0000004A" w14:textId="77777777" w:rsidR="009603A2" w:rsidRDefault="00FC7FCC">
            <w:pPr>
              <w:widowControl/>
              <w:pBdr>
                <w:top w:val="nil"/>
                <w:left w:val="nil"/>
                <w:bottom w:val="nil"/>
                <w:right w:val="nil"/>
                <w:between w:val="nil"/>
              </w:pBdr>
              <w:spacing w:before="40" w:after="40"/>
              <w:jc w:val="center"/>
              <w:rPr>
                <w:color w:val="000000"/>
                <w:sz w:val="20"/>
                <w:szCs w:val="20"/>
              </w:rPr>
            </w:pPr>
            <w:r>
              <w:rPr>
                <w:color w:val="000000"/>
                <w:sz w:val="20"/>
                <w:szCs w:val="20"/>
              </w:rPr>
              <w:t>Criação do Parque Arara Azul (31.844 ha); Foco em Restauração Ecológica e Infraestrutura Verde.</w:t>
            </w:r>
          </w:p>
        </w:tc>
        <w:tc>
          <w:tcPr>
            <w:tcW w:w="2336" w:type="dxa"/>
            <w:tcMar>
              <w:top w:w="80" w:type="dxa"/>
              <w:left w:w="120" w:type="dxa"/>
              <w:bottom w:w="80" w:type="dxa"/>
              <w:right w:w="120" w:type="dxa"/>
            </w:tcMar>
            <w:vAlign w:val="center"/>
          </w:tcPr>
          <w:p w14:paraId="0000004B" w14:textId="77777777" w:rsidR="009603A2" w:rsidRDefault="00FC7FCC">
            <w:pPr>
              <w:widowControl/>
              <w:pBdr>
                <w:top w:val="nil"/>
                <w:left w:val="nil"/>
                <w:bottom w:val="nil"/>
                <w:right w:val="nil"/>
                <w:between w:val="nil"/>
              </w:pBdr>
              <w:spacing w:before="40" w:after="40"/>
              <w:jc w:val="center"/>
              <w:rPr>
                <w:color w:val="000000"/>
                <w:sz w:val="20"/>
                <w:szCs w:val="20"/>
              </w:rPr>
            </w:pPr>
            <w:r>
              <w:rPr>
                <w:color w:val="000000"/>
                <w:sz w:val="20"/>
                <w:szCs w:val="20"/>
              </w:rPr>
              <w:t>Alto: Alinhamento formal com o ODS 11 e diretrizes do PlanAU. Ação contextualizada pelo debate da COP30 sobre resiliência urbana na Amazônia.</w:t>
            </w:r>
          </w:p>
        </w:tc>
      </w:tr>
      <w:tr w:rsidR="009603A2" w14:paraId="5394B004" w14:textId="77777777" w:rsidTr="00FF5B94">
        <w:trPr>
          <w:cantSplit/>
          <w:trHeight w:val="1387"/>
        </w:trPr>
        <w:tc>
          <w:tcPr>
            <w:tcW w:w="1100" w:type="dxa"/>
            <w:tcMar>
              <w:top w:w="80" w:type="dxa"/>
              <w:left w:w="120" w:type="dxa"/>
              <w:bottom w:w="80" w:type="dxa"/>
              <w:right w:w="120" w:type="dxa"/>
            </w:tcMar>
            <w:vAlign w:val="center"/>
          </w:tcPr>
          <w:p w14:paraId="0000004C" w14:textId="77777777" w:rsidR="009603A2" w:rsidRDefault="00FC7FCC">
            <w:pPr>
              <w:widowControl/>
              <w:pBdr>
                <w:top w:val="nil"/>
                <w:left w:val="nil"/>
                <w:bottom w:val="nil"/>
                <w:right w:val="nil"/>
                <w:between w:val="nil"/>
              </w:pBdr>
              <w:spacing w:before="40" w:after="40"/>
              <w:jc w:val="center"/>
              <w:rPr>
                <w:b/>
                <w:bCs/>
                <w:color w:val="000000"/>
                <w:sz w:val="20"/>
                <w:szCs w:val="20"/>
              </w:rPr>
            </w:pPr>
            <w:r>
              <w:rPr>
                <w:b/>
                <w:bCs/>
                <w:color w:val="000000"/>
                <w:sz w:val="20"/>
                <w:szCs w:val="20"/>
              </w:rPr>
              <w:t>PlanAU</w:t>
            </w:r>
          </w:p>
          <w:p w14:paraId="0000004D" w14:textId="77777777" w:rsidR="009603A2" w:rsidRDefault="009603A2">
            <w:pPr>
              <w:widowControl/>
              <w:pBdr>
                <w:top w:val="nil"/>
                <w:left w:val="nil"/>
                <w:bottom w:val="nil"/>
                <w:right w:val="nil"/>
                <w:between w:val="nil"/>
              </w:pBdr>
              <w:spacing w:before="40" w:after="40"/>
              <w:jc w:val="center"/>
              <w:rPr>
                <w:b/>
                <w:bCs/>
                <w:color w:val="000000"/>
                <w:sz w:val="20"/>
                <w:szCs w:val="20"/>
              </w:rPr>
            </w:pPr>
          </w:p>
          <w:p w14:paraId="0000004E" w14:textId="77777777" w:rsidR="009603A2" w:rsidRDefault="009603A2">
            <w:pPr>
              <w:widowControl/>
              <w:pBdr>
                <w:top w:val="nil"/>
                <w:left w:val="nil"/>
                <w:bottom w:val="nil"/>
                <w:right w:val="nil"/>
                <w:between w:val="nil"/>
              </w:pBdr>
              <w:spacing w:before="40" w:after="40"/>
              <w:jc w:val="center"/>
              <w:rPr>
                <w:b/>
                <w:bCs/>
                <w:color w:val="000000"/>
                <w:sz w:val="20"/>
                <w:szCs w:val="20"/>
              </w:rPr>
            </w:pPr>
          </w:p>
        </w:tc>
        <w:tc>
          <w:tcPr>
            <w:tcW w:w="2462" w:type="dxa"/>
            <w:tcMar>
              <w:top w:w="80" w:type="dxa"/>
              <w:left w:w="120" w:type="dxa"/>
              <w:bottom w:w="80" w:type="dxa"/>
              <w:right w:w="120" w:type="dxa"/>
            </w:tcMar>
            <w:vAlign w:val="center"/>
          </w:tcPr>
          <w:p w14:paraId="0000004F" w14:textId="77777777" w:rsidR="009603A2" w:rsidRDefault="00FC7FCC">
            <w:pPr>
              <w:widowControl/>
              <w:pBdr>
                <w:top w:val="nil"/>
                <w:left w:val="nil"/>
                <w:bottom w:val="nil"/>
                <w:right w:val="nil"/>
                <w:between w:val="nil"/>
              </w:pBdr>
              <w:spacing w:before="40" w:after="40"/>
              <w:jc w:val="center"/>
              <w:rPr>
                <w:color w:val="000000"/>
                <w:sz w:val="20"/>
                <w:szCs w:val="20"/>
              </w:rPr>
            </w:pPr>
            <w:r>
              <w:rPr>
                <w:color w:val="000000"/>
                <w:sz w:val="20"/>
                <w:szCs w:val="20"/>
              </w:rPr>
              <w:t>Plano Nacional de Arborização Urbana</w:t>
            </w:r>
            <w:r>
              <w:rPr>
                <w:b/>
                <w:bCs/>
                <w:color w:val="000000"/>
                <w:sz w:val="20"/>
                <w:szCs w:val="20"/>
              </w:rPr>
              <w:t>.</w:t>
            </w:r>
            <w:r>
              <w:rPr>
                <w:color w:val="000000"/>
                <w:sz w:val="20"/>
                <w:szCs w:val="20"/>
              </w:rPr>
              <w:t xml:space="preserve"> </w:t>
            </w:r>
          </w:p>
        </w:tc>
        <w:tc>
          <w:tcPr>
            <w:tcW w:w="3458" w:type="dxa"/>
            <w:tcMar>
              <w:top w:w="80" w:type="dxa"/>
              <w:left w:w="120" w:type="dxa"/>
              <w:bottom w:w="80" w:type="dxa"/>
              <w:right w:w="120" w:type="dxa"/>
            </w:tcMar>
            <w:vAlign w:val="center"/>
          </w:tcPr>
          <w:p w14:paraId="00000050" w14:textId="77777777" w:rsidR="009603A2" w:rsidRDefault="00FC7FCC">
            <w:pPr>
              <w:widowControl/>
              <w:pBdr>
                <w:top w:val="nil"/>
                <w:left w:val="nil"/>
                <w:bottom w:val="nil"/>
                <w:right w:val="nil"/>
                <w:between w:val="nil"/>
              </w:pBdr>
              <w:spacing w:before="40" w:after="40"/>
              <w:jc w:val="center"/>
              <w:rPr>
                <w:color w:val="000000"/>
                <w:sz w:val="20"/>
                <w:szCs w:val="20"/>
              </w:rPr>
            </w:pPr>
            <w:r>
              <w:rPr>
                <w:color w:val="000000"/>
                <w:sz w:val="20"/>
                <w:szCs w:val="20"/>
              </w:rPr>
              <w:t>Busca ampliar a presença de vegetação nas cidades, contribuindo para melhores condições ambientais e climáticas.</w:t>
            </w:r>
          </w:p>
        </w:tc>
        <w:tc>
          <w:tcPr>
            <w:tcW w:w="2336" w:type="dxa"/>
            <w:tcMar>
              <w:top w:w="80" w:type="dxa"/>
              <w:left w:w="120" w:type="dxa"/>
              <w:bottom w:w="80" w:type="dxa"/>
              <w:right w:w="120" w:type="dxa"/>
            </w:tcMar>
            <w:vAlign w:val="center"/>
          </w:tcPr>
          <w:p w14:paraId="00000051" w14:textId="77777777" w:rsidR="009603A2" w:rsidRDefault="00FC7FCC">
            <w:pPr>
              <w:widowControl/>
              <w:pBdr>
                <w:top w:val="nil"/>
                <w:left w:val="nil"/>
                <w:bottom w:val="nil"/>
                <w:right w:val="nil"/>
                <w:between w:val="nil"/>
              </w:pBdr>
              <w:spacing w:before="40" w:after="40"/>
              <w:jc w:val="center"/>
              <w:rPr>
                <w:color w:val="000000"/>
                <w:sz w:val="20"/>
                <w:szCs w:val="20"/>
              </w:rPr>
            </w:pPr>
            <w:r>
              <w:rPr>
                <w:color w:val="000000"/>
                <w:sz w:val="20"/>
                <w:szCs w:val="20"/>
              </w:rPr>
              <w:t>Paradoxo: O instrumento existe, mas a aplicação local falha em reverter a situação, evidenciando a lacuna entre política e prática.</w:t>
            </w:r>
          </w:p>
        </w:tc>
      </w:tr>
      <w:tr w:rsidR="009603A2" w14:paraId="0A31641F" w14:textId="77777777" w:rsidTr="00FF5B94">
        <w:trPr>
          <w:cantSplit/>
          <w:trHeight w:val="1297"/>
        </w:trPr>
        <w:tc>
          <w:tcPr>
            <w:tcW w:w="1100" w:type="dxa"/>
            <w:tcMar>
              <w:top w:w="80" w:type="dxa"/>
              <w:left w:w="120" w:type="dxa"/>
              <w:bottom w:w="80" w:type="dxa"/>
              <w:right w:w="120" w:type="dxa"/>
            </w:tcMar>
            <w:vAlign w:val="center"/>
          </w:tcPr>
          <w:p w14:paraId="00000052" w14:textId="77777777" w:rsidR="009603A2" w:rsidRDefault="00FC7FCC">
            <w:pPr>
              <w:widowControl/>
              <w:pBdr>
                <w:top w:val="nil"/>
                <w:left w:val="nil"/>
                <w:bottom w:val="nil"/>
                <w:right w:val="nil"/>
                <w:between w:val="nil"/>
              </w:pBdr>
              <w:spacing w:before="40" w:after="40"/>
              <w:jc w:val="center"/>
              <w:rPr>
                <w:b/>
                <w:bCs/>
                <w:color w:val="000000"/>
                <w:sz w:val="20"/>
                <w:szCs w:val="20"/>
              </w:rPr>
            </w:pPr>
            <w:r>
              <w:rPr>
                <w:b/>
                <w:bCs/>
                <w:color w:val="000000"/>
                <w:sz w:val="20"/>
                <w:szCs w:val="20"/>
              </w:rPr>
              <w:t>COP30</w:t>
            </w:r>
          </w:p>
        </w:tc>
        <w:tc>
          <w:tcPr>
            <w:tcW w:w="2462" w:type="dxa"/>
            <w:tcMar>
              <w:top w:w="80" w:type="dxa"/>
              <w:left w:w="120" w:type="dxa"/>
              <w:bottom w:w="80" w:type="dxa"/>
              <w:right w:w="120" w:type="dxa"/>
            </w:tcMar>
            <w:vAlign w:val="center"/>
          </w:tcPr>
          <w:p w14:paraId="00000053" w14:textId="77777777" w:rsidR="009603A2" w:rsidRDefault="00FC7FCC">
            <w:pPr>
              <w:widowControl/>
              <w:pBdr>
                <w:top w:val="nil"/>
                <w:left w:val="nil"/>
                <w:bottom w:val="nil"/>
                <w:right w:val="nil"/>
                <w:between w:val="nil"/>
              </w:pBdr>
              <w:spacing w:before="40" w:after="40"/>
              <w:jc w:val="center"/>
              <w:rPr>
                <w:color w:val="000000"/>
                <w:sz w:val="20"/>
                <w:szCs w:val="20"/>
              </w:rPr>
            </w:pPr>
            <w:r>
              <w:rPr>
                <w:color w:val="000000"/>
                <w:sz w:val="20"/>
                <w:szCs w:val="20"/>
              </w:rPr>
              <w:t>Conferência das Nações Unidas sobre Mudanças Climáticas (Belém, 2025). Marco de Relações Internacionais com foco na Amazônia e resiliência urbana.</w:t>
            </w:r>
          </w:p>
        </w:tc>
        <w:tc>
          <w:tcPr>
            <w:tcW w:w="3458" w:type="dxa"/>
            <w:tcMar>
              <w:top w:w="80" w:type="dxa"/>
              <w:left w:w="120" w:type="dxa"/>
              <w:bottom w:w="80" w:type="dxa"/>
              <w:right w:w="120" w:type="dxa"/>
            </w:tcMar>
            <w:vAlign w:val="center"/>
          </w:tcPr>
          <w:p w14:paraId="00000054" w14:textId="77777777" w:rsidR="009603A2" w:rsidRDefault="00FC7FCC">
            <w:pPr>
              <w:widowControl/>
              <w:pBdr>
                <w:top w:val="nil"/>
                <w:left w:val="nil"/>
                <w:bottom w:val="nil"/>
                <w:right w:val="nil"/>
                <w:between w:val="nil"/>
              </w:pBdr>
              <w:spacing w:before="40" w:after="40"/>
              <w:jc w:val="center"/>
              <w:rPr>
                <w:color w:val="000000"/>
                <w:sz w:val="20"/>
                <w:szCs w:val="20"/>
              </w:rPr>
            </w:pPr>
            <w:r>
              <w:rPr>
                <w:color w:val="000000"/>
                <w:sz w:val="20"/>
                <w:szCs w:val="20"/>
              </w:rPr>
              <w:t>Reforça a importância das Soluções Baseadas na Natureza e da infraestrutura verde para adaptação e mitigação climática.</w:t>
            </w:r>
          </w:p>
        </w:tc>
        <w:tc>
          <w:tcPr>
            <w:tcW w:w="2336" w:type="dxa"/>
            <w:tcMar>
              <w:top w:w="80" w:type="dxa"/>
              <w:left w:w="120" w:type="dxa"/>
              <w:bottom w:w="80" w:type="dxa"/>
              <w:right w:w="120" w:type="dxa"/>
            </w:tcMar>
            <w:vAlign w:val="center"/>
          </w:tcPr>
          <w:p w14:paraId="00000055" w14:textId="77777777" w:rsidR="009603A2" w:rsidRDefault="00FC7FCC">
            <w:pPr>
              <w:widowControl/>
              <w:pBdr>
                <w:top w:val="nil"/>
                <w:left w:val="nil"/>
                <w:bottom w:val="nil"/>
                <w:right w:val="nil"/>
                <w:between w:val="nil"/>
              </w:pBdr>
              <w:spacing w:before="40" w:after="40"/>
              <w:jc w:val="center"/>
              <w:rPr>
                <w:color w:val="000000"/>
                <w:sz w:val="20"/>
                <w:szCs w:val="20"/>
              </w:rPr>
            </w:pPr>
            <w:r>
              <w:rPr>
                <w:color w:val="000000"/>
                <w:sz w:val="20"/>
                <w:szCs w:val="20"/>
              </w:rPr>
              <w:t>O marco internacional evidencia a falha na tradução dos compromissos globais em resultados concretos e satisfatórios.</w:t>
            </w:r>
          </w:p>
        </w:tc>
      </w:tr>
    </w:tbl>
    <w:p w14:paraId="00000056" w14:textId="77777777" w:rsidR="009603A2" w:rsidRDefault="00FC7FCC">
      <w:pPr>
        <w:widowControl/>
        <w:pBdr>
          <w:top w:val="nil"/>
          <w:left w:val="nil"/>
          <w:bottom w:val="nil"/>
          <w:right w:val="nil"/>
          <w:between w:val="nil"/>
        </w:pBdr>
        <w:spacing w:before="120" w:after="120"/>
        <w:jc w:val="both"/>
        <w:rPr>
          <w:color w:val="000000"/>
          <w:sz w:val="20"/>
          <w:szCs w:val="20"/>
        </w:rPr>
      </w:pPr>
      <w:r>
        <w:rPr>
          <w:b/>
          <w:bCs/>
          <w:color w:val="000000"/>
          <w:sz w:val="20"/>
          <w:szCs w:val="20"/>
        </w:rPr>
        <w:t>Fonte:</w:t>
      </w:r>
      <w:r>
        <w:rPr>
          <w:color w:val="000000"/>
          <w:sz w:val="20"/>
          <w:szCs w:val="20"/>
        </w:rPr>
        <w:t xml:space="preserve"> Autores (2025).</w:t>
      </w:r>
    </w:p>
    <w:p w14:paraId="00000057" w14:textId="1EB49C2B" w:rsidR="009603A2" w:rsidRDefault="00FC7FCC">
      <w:pPr>
        <w:widowControl/>
        <w:pBdr>
          <w:top w:val="nil"/>
          <w:left w:val="nil"/>
          <w:bottom w:val="nil"/>
          <w:right w:val="nil"/>
          <w:between w:val="nil"/>
        </w:pBdr>
        <w:spacing w:before="120" w:after="120" w:line="360" w:lineRule="auto"/>
        <w:ind w:firstLine="709"/>
        <w:jc w:val="both"/>
        <w:rPr>
          <w:color w:val="000000"/>
          <w:sz w:val="24"/>
          <w:szCs w:val="24"/>
        </w:rPr>
      </w:pPr>
      <w:r>
        <w:rPr>
          <w:color w:val="000000"/>
          <w:sz w:val="24"/>
          <w:szCs w:val="24"/>
        </w:rPr>
        <w:t xml:space="preserve">Se evidencia o paradoxo entre o compromisso internacional e a ineficácia local (Tabela 2). O período </w:t>
      </w:r>
      <w:r>
        <w:rPr>
          <w:sz w:val="24"/>
          <w:szCs w:val="24"/>
        </w:rPr>
        <w:t>anterior a 2021</w:t>
      </w:r>
      <w:r>
        <w:rPr>
          <w:color w:val="000000"/>
          <w:sz w:val="24"/>
          <w:szCs w:val="24"/>
        </w:rPr>
        <w:t xml:space="preserve"> mostra a inércia, com crescimento desordenado apesar da existência de marcos globais (Acordo de Paris). A resposta 2021 - Atual é formalmente alinhada com o ODS 11 e o PlanAU, mas é tardia e insuficiente. O PlanAU e a COP30 servem como prova de que o problema não é a falta de política, mas a falha na implementação. O marco internacional (COP30) expõe a fragilidade da resposta local: o alto alinhamento formal contrasta com a realidade de degradação do Parque Arara Azul. Portanto, é demonstrado que os marcos de Relações Internacionais falham em frear a extrema urbanização</w:t>
      </w:r>
      <w:r w:rsidR="002742B5">
        <w:rPr>
          <w:color w:val="000000"/>
          <w:sz w:val="24"/>
          <w:szCs w:val="24"/>
        </w:rPr>
        <w:t xml:space="preserve"> desordenada</w:t>
      </w:r>
      <w:r>
        <w:rPr>
          <w:color w:val="000000"/>
          <w:sz w:val="24"/>
          <w:szCs w:val="24"/>
        </w:rPr>
        <w:t xml:space="preserve"> quando não acompanhados por uma gestão local robusta (Tabela 2).</w:t>
      </w:r>
    </w:p>
    <w:p w14:paraId="667F0557" w14:textId="77777777" w:rsidR="001B13CA" w:rsidRDefault="00FC7FCC" w:rsidP="001B13CA">
      <w:pPr>
        <w:widowControl/>
        <w:pBdr>
          <w:top w:val="nil"/>
          <w:left w:val="nil"/>
          <w:bottom w:val="nil"/>
          <w:right w:val="nil"/>
          <w:between w:val="nil"/>
        </w:pBdr>
        <w:spacing w:before="120" w:after="120" w:line="360" w:lineRule="auto"/>
        <w:ind w:firstLine="709"/>
        <w:jc w:val="both"/>
        <w:rPr>
          <w:color w:val="000000"/>
          <w:sz w:val="24"/>
          <w:szCs w:val="24"/>
        </w:rPr>
      </w:pPr>
      <w:r>
        <w:rPr>
          <w:color w:val="000000"/>
          <w:sz w:val="24"/>
          <w:szCs w:val="24"/>
        </w:rPr>
        <w:t>O Parque Arara Azul não é apenas um espaço verde, mas uma estratégia de biologia da conservação aplicada ao contexto urbano. Sua localização em um ecótono Amazônia</w:t>
      </w:r>
      <w:r>
        <w:rPr>
          <w:b/>
          <w:bCs/>
          <w:color w:val="000000"/>
          <w:sz w:val="24"/>
          <w:szCs w:val="24"/>
        </w:rPr>
        <w:t>-</w:t>
      </w:r>
      <w:r>
        <w:rPr>
          <w:color w:val="000000"/>
          <w:sz w:val="24"/>
          <w:szCs w:val="24"/>
        </w:rPr>
        <w:t xml:space="preserve">Cerrado </w:t>
      </w:r>
      <w:r>
        <w:rPr>
          <w:color w:val="000000"/>
          <w:sz w:val="24"/>
          <w:szCs w:val="24"/>
        </w:rPr>
        <w:lastRenderedPageBreak/>
        <w:t xml:space="preserve">confere-lhe uma importância ecológica ímpar, atuando como um refúgio para a biodiversidade em uma região de intensa fragmentação de </w:t>
      </w:r>
      <w:r>
        <w:rPr>
          <w:i/>
          <w:iCs/>
          <w:color w:val="000000"/>
          <w:sz w:val="24"/>
          <w:szCs w:val="24"/>
        </w:rPr>
        <w:t>habitats</w:t>
      </w:r>
      <w:r>
        <w:rPr>
          <w:color w:val="000000"/>
          <w:sz w:val="24"/>
          <w:szCs w:val="24"/>
        </w:rPr>
        <w:t xml:space="preserve"> (Junior </w:t>
      </w:r>
      <w:r>
        <w:rPr>
          <w:i/>
          <w:iCs/>
          <w:color w:val="000000"/>
          <w:sz w:val="24"/>
          <w:szCs w:val="24"/>
        </w:rPr>
        <w:t>et al.</w:t>
      </w:r>
      <w:r>
        <w:rPr>
          <w:color w:val="000000"/>
          <w:sz w:val="24"/>
          <w:szCs w:val="24"/>
        </w:rPr>
        <w:t>, 2020). A aplicação dos princípios da Biologia da Conservação (Primack, 2014) no planejamento do Parque Arara Azul demonstra como as obrigações globais são traduzidas em estratégias locais de manejo e proteção.</w:t>
      </w:r>
    </w:p>
    <w:p w14:paraId="00000059" w14:textId="4547972A" w:rsidR="009603A2" w:rsidRPr="001B13CA" w:rsidRDefault="00FC7FCC" w:rsidP="001B13CA">
      <w:pPr>
        <w:widowControl/>
        <w:pBdr>
          <w:top w:val="nil"/>
          <w:left w:val="nil"/>
          <w:bottom w:val="nil"/>
          <w:right w:val="nil"/>
          <w:between w:val="nil"/>
        </w:pBdr>
        <w:spacing w:before="120" w:after="120" w:line="360" w:lineRule="auto"/>
        <w:ind w:firstLine="709"/>
        <w:jc w:val="both"/>
        <w:rPr>
          <w:color w:val="000000"/>
          <w:sz w:val="24"/>
          <w:szCs w:val="24"/>
        </w:rPr>
      </w:pPr>
      <w:r>
        <w:rPr>
          <w:color w:val="000000"/>
          <w:sz w:val="24"/>
          <w:szCs w:val="24"/>
        </w:rPr>
        <w:t xml:space="preserve">Em um contexto de intensa fragmentação de </w:t>
      </w:r>
      <w:r>
        <w:rPr>
          <w:i/>
          <w:iCs/>
          <w:color w:val="000000"/>
          <w:sz w:val="24"/>
          <w:szCs w:val="24"/>
        </w:rPr>
        <w:t>habitats</w:t>
      </w:r>
      <w:r>
        <w:rPr>
          <w:color w:val="000000"/>
          <w:sz w:val="24"/>
          <w:szCs w:val="24"/>
        </w:rPr>
        <w:t xml:space="preserve"> (Junior </w:t>
      </w:r>
      <w:r>
        <w:rPr>
          <w:i/>
          <w:iCs/>
          <w:color w:val="000000"/>
          <w:sz w:val="24"/>
          <w:szCs w:val="24"/>
        </w:rPr>
        <w:t>et al</w:t>
      </w:r>
      <w:r>
        <w:rPr>
          <w:color w:val="000000"/>
          <w:sz w:val="24"/>
          <w:szCs w:val="24"/>
        </w:rPr>
        <w:t>., 2020), o Parque atua como um núcleo de conservação</w:t>
      </w:r>
      <w:r>
        <w:rPr>
          <w:b/>
          <w:bCs/>
          <w:color w:val="000000"/>
          <w:sz w:val="24"/>
          <w:szCs w:val="24"/>
        </w:rPr>
        <w:t xml:space="preserve"> </w:t>
      </w:r>
      <w:r>
        <w:rPr>
          <w:i/>
          <w:iCs/>
          <w:color w:val="000000"/>
          <w:sz w:val="24"/>
          <w:szCs w:val="24"/>
        </w:rPr>
        <w:t>in situ</w:t>
      </w:r>
      <w:r>
        <w:rPr>
          <w:color w:val="000000"/>
          <w:sz w:val="24"/>
          <w:szCs w:val="24"/>
        </w:rPr>
        <w:t>, crucial para a manutenção da conectividade ecológica na matriz urbana. A ênfase na Restauração Ecológica visa não apenas a recuperação da biodiversidade, mas também a ampliação da</w:t>
      </w:r>
      <w:r>
        <w:rPr>
          <w:b/>
          <w:bCs/>
          <w:color w:val="000000"/>
          <w:sz w:val="24"/>
          <w:szCs w:val="24"/>
        </w:rPr>
        <w:t xml:space="preserve"> </w:t>
      </w:r>
      <w:r>
        <w:rPr>
          <w:color w:val="000000"/>
          <w:sz w:val="24"/>
          <w:szCs w:val="24"/>
        </w:rPr>
        <w:t>infraestrutura verde na cidade (Tabela 3).</w:t>
      </w:r>
    </w:p>
    <w:p w14:paraId="0000005A" w14:textId="77777777" w:rsidR="009603A2" w:rsidRDefault="00FC7FCC">
      <w:pPr>
        <w:widowControl/>
        <w:pBdr>
          <w:top w:val="nil"/>
          <w:left w:val="nil"/>
          <w:bottom w:val="nil"/>
          <w:right w:val="nil"/>
          <w:between w:val="nil"/>
        </w:pBdr>
        <w:spacing w:before="120" w:after="120"/>
        <w:ind w:firstLine="720"/>
        <w:jc w:val="center"/>
        <w:rPr>
          <w:b/>
          <w:bCs/>
          <w:color w:val="000000"/>
        </w:rPr>
      </w:pPr>
      <w:r>
        <w:rPr>
          <w:b/>
          <w:bCs/>
          <w:color w:val="000000"/>
        </w:rPr>
        <w:t xml:space="preserve">Tabela 3: </w:t>
      </w:r>
      <w:r>
        <w:rPr>
          <w:b/>
          <w:bCs/>
          <w:color w:val="000000"/>
          <w:sz w:val="20"/>
          <w:szCs w:val="20"/>
        </w:rPr>
        <w:t>Análise Crítica dos Princípios da Biologia da Conservação Aplicados no Parque Arara Azul e Sugestões de Ação</w:t>
      </w:r>
    </w:p>
    <w:tbl>
      <w:tblPr>
        <w:tblStyle w:val="a7"/>
        <w:tblW w:w="9075" w:type="dxa"/>
        <w:tblBorders>
          <w:top w:val="single" w:sz="4" w:space="0" w:color="000000"/>
          <w:bottom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8"/>
        <w:gridCol w:w="5405"/>
        <w:gridCol w:w="1672"/>
      </w:tblGrid>
      <w:tr w:rsidR="009603A2" w14:paraId="23DAA47F" w14:textId="77777777" w:rsidTr="00FF5B94">
        <w:trPr>
          <w:cantSplit/>
          <w:trHeight w:val="399"/>
          <w:tblHeader/>
        </w:trPr>
        <w:tc>
          <w:tcPr>
            <w:tcW w:w="1998" w:type="dxa"/>
            <w:tcMar>
              <w:top w:w="100" w:type="dxa"/>
              <w:left w:w="120" w:type="dxa"/>
              <w:bottom w:w="100" w:type="dxa"/>
              <w:right w:w="120" w:type="dxa"/>
            </w:tcMar>
            <w:vAlign w:val="center"/>
          </w:tcPr>
          <w:p w14:paraId="0000005B" w14:textId="77777777" w:rsidR="009603A2" w:rsidRDefault="00FC7FCC">
            <w:pPr>
              <w:widowControl/>
              <w:pBdr>
                <w:top w:val="nil"/>
                <w:left w:val="nil"/>
                <w:bottom w:val="nil"/>
                <w:right w:val="nil"/>
                <w:between w:val="nil"/>
              </w:pBdr>
              <w:spacing w:before="60" w:after="60"/>
              <w:jc w:val="center"/>
              <w:rPr>
                <w:b/>
                <w:bCs/>
                <w:color w:val="000000"/>
              </w:rPr>
            </w:pPr>
            <w:r>
              <w:rPr>
                <w:b/>
                <w:bCs/>
                <w:color w:val="000000"/>
              </w:rPr>
              <w:t xml:space="preserve">Princípio </w:t>
            </w:r>
          </w:p>
        </w:tc>
        <w:tc>
          <w:tcPr>
            <w:tcW w:w="5405" w:type="dxa"/>
            <w:tcMar>
              <w:top w:w="100" w:type="dxa"/>
              <w:left w:w="120" w:type="dxa"/>
              <w:bottom w:w="100" w:type="dxa"/>
              <w:right w:w="120" w:type="dxa"/>
            </w:tcMar>
            <w:vAlign w:val="center"/>
          </w:tcPr>
          <w:p w14:paraId="0000005C" w14:textId="77777777" w:rsidR="009603A2" w:rsidRDefault="00FC7FCC">
            <w:pPr>
              <w:widowControl/>
              <w:pBdr>
                <w:top w:val="nil"/>
                <w:left w:val="nil"/>
                <w:bottom w:val="nil"/>
                <w:right w:val="nil"/>
                <w:between w:val="nil"/>
              </w:pBdr>
              <w:spacing w:before="60" w:after="60"/>
              <w:jc w:val="center"/>
              <w:rPr>
                <w:b/>
                <w:bCs/>
                <w:color w:val="000000"/>
              </w:rPr>
            </w:pPr>
            <w:r>
              <w:rPr>
                <w:b/>
                <w:bCs/>
                <w:color w:val="000000"/>
              </w:rPr>
              <w:t>Aplicação no Parque Arara Azul</w:t>
            </w:r>
          </w:p>
        </w:tc>
        <w:tc>
          <w:tcPr>
            <w:tcW w:w="1672" w:type="dxa"/>
            <w:tcMar>
              <w:top w:w="100" w:type="dxa"/>
              <w:left w:w="120" w:type="dxa"/>
              <w:bottom w:w="100" w:type="dxa"/>
              <w:right w:w="120" w:type="dxa"/>
            </w:tcMar>
            <w:vAlign w:val="center"/>
          </w:tcPr>
          <w:p w14:paraId="0000005D" w14:textId="77777777" w:rsidR="009603A2" w:rsidRDefault="00FC7FCC">
            <w:pPr>
              <w:widowControl/>
              <w:pBdr>
                <w:top w:val="nil"/>
                <w:left w:val="nil"/>
                <w:bottom w:val="nil"/>
                <w:right w:val="nil"/>
                <w:between w:val="nil"/>
              </w:pBdr>
              <w:spacing w:before="60" w:after="60"/>
              <w:jc w:val="center"/>
              <w:rPr>
                <w:b/>
                <w:bCs/>
                <w:color w:val="000000"/>
              </w:rPr>
            </w:pPr>
            <w:r>
              <w:rPr>
                <w:b/>
                <w:bCs/>
                <w:color w:val="000000"/>
              </w:rPr>
              <w:t>Nível de Aplicação</w:t>
            </w:r>
          </w:p>
        </w:tc>
      </w:tr>
      <w:tr w:rsidR="009603A2" w14:paraId="15E56E90" w14:textId="77777777">
        <w:trPr>
          <w:cantSplit/>
          <w:trHeight w:val="180"/>
        </w:trPr>
        <w:tc>
          <w:tcPr>
            <w:tcW w:w="1998" w:type="dxa"/>
            <w:tcMar>
              <w:top w:w="80" w:type="dxa"/>
              <w:left w:w="120" w:type="dxa"/>
              <w:bottom w:w="80" w:type="dxa"/>
              <w:right w:w="120" w:type="dxa"/>
            </w:tcMar>
            <w:vAlign w:val="center"/>
          </w:tcPr>
          <w:p w14:paraId="0000005E" w14:textId="77777777" w:rsidR="009603A2" w:rsidRDefault="00FC7FCC">
            <w:pPr>
              <w:widowControl/>
              <w:pBdr>
                <w:top w:val="nil"/>
                <w:left w:val="nil"/>
                <w:bottom w:val="nil"/>
                <w:right w:val="nil"/>
                <w:between w:val="nil"/>
              </w:pBdr>
              <w:spacing w:before="40" w:after="40"/>
              <w:jc w:val="center"/>
              <w:rPr>
                <w:b/>
                <w:bCs/>
                <w:color w:val="000000"/>
                <w:sz w:val="20"/>
                <w:szCs w:val="20"/>
              </w:rPr>
            </w:pPr>
            <w:r>
              <w:rPr>
                <w:b/>
                <w:bCs/>
                <w:color w:val="000000"/>
                <w:sz w:val="20"/>
                <w:szCs w:val="20"/>
              </w:rPr>
              <w:t xml:space="preserve">Conservação </w:t>
            </w:r>
            <w:r>
              <w:rPr>
                <w:i/>
                <w:iCs/>
                <w:color w:val="000000"/>
                <w:sz w:val="20"/>
                <w:szCs w:val="20"/>
              </w:rPr>
              <w:t>in situ</w:t>
            </w:r>
          </w:p>
        </w:tc>
        <w:tc>
          <w:tcPr>
            <w:tcW w:w="5405" w:type="dxa"/>
            <w:tcMar>
              <w:top w:w="80" w:type="dxa"/>
              <w:left w:w="120" w:type="dxa"/>
              <w:bottom w:w="80" w:type="dxa"/>
              <w:right w:w="120" w:type="dxa"/>
            </w:tcMar>
            <w:vAlign w:val="center"/>
          </w:tcPr>
          <w:p w14:paraId="0000005F" w14:textId="77777777" w:rsidR="009603A2" w:rsidRDefault="00FC7FCC">
            <w:pPr>
              <w:widowControl/>
              <w:pBdr>
                <w:top w:val="nil"/>
                <w:left w:val="nil"/>
                <w:bottom w:val="nil"/>
                <w:right w:val="nil"/>
                <w:between w:val="nil"/>
              </w:pBdr>
              <w:spacing w:before="40" w:after="40"/>
              <w:jc w:val="center"/>
              <w:rPr>
                <w:color w:val="000000"/>
                <w:sz w:val="20"/>
                <w:szCs w:val="20"/>
              </w:rPr>
            </w:pPr>
            <w:r>
              <w:rPr>
                <w:color w:val="000000"/>
                <w:sz w:val="20"/>
                <w:szCs w:val="20"/>
              </w:rPr>
              <w:t>Proteção de 31.844 hectares de ecótono em seu local de origem.</w:t>
            </w:r>
          </w:p>
        </w:tc>
        <w:tc>
          <w:tcPr>
            <w:tcW w:w="1672" w:type="dxa"/>
            <w:tcMar>
              <w:top w:w="80" w:type="dxa"/>
              <w:left w:w="120" w:type="dxa"/>
              <w:bottom w:w="80" w:type="dxa"/>
              <w:right w:w="120" w:type="dxa"/>
            </w:tcMar>
            <w:vAlign w:val="center"/>
          </w:tcPr>
          <w:p w14:paraId="00000060" w14:textId="77777777" w:rsidR="009603A2" w:rsidRDefault="00FC7FCC">
            <w:pPr>
              <w:widowControl/>
              <w:pBdr>
                <w:top w:val="nil"/>
                <w:left w:val="nil"/>
                <w:bottom w:val="nil"/>
                <w:right w:val="nil"/>
                <w:between w:val="nil"/>
              </w:pBdr>
              <w:spacing w:before="40" w:after="40"/>
              <w:jc w:val="center"/>
              <w:rPr>
                <w:color w:val="000000"/>
                <w:sz w:val="20"/>
                <w:szCs w:val="20"/>
              </w:rPr>
            </w:pPr>
            <w:r>
              <w:rPr>
                <w:color w:val="000000"/>
                <w:sz w:val="20"/>
                <w:szCs w:val="20"/>
              </w:rPr>
              <w:t>Excelente</w:t>
            </w:r>
          </w:p>
        </w:tc>
      </w:tr>
      <w:tr w:rsidR="009603A2" w14:paraId="1DCF364C" w14:textId="77777777">
        <w:trPr>
          <w:cantSplit/>
          <w:trHeight w:val="276"/>
        </w:trPr>
        <w:tc>
          <w:tcPr>
            <w:tcW w:w="1998" w:type="dxa"/>
            <w:tcMar>
              <w:top w:w="80" w:type="dxa"/>
              <w:left w:w="120" w:type="dxa"/>
              <w:bottom w:w="80" w:type="dxa"/>
              <w:right w:w="120" w:type="dxa"/>
            </w:tcMar>
            <w:vAlign w:val="center"/>
          </w:tcPr>
          <w:p w14:paraId="00000061" w14:textId="77777777" w:rsidR="009603A2" w:rsidRDefault="00FC7FCC">
            <w:pPr>
              <w:widowControl/>
              <w:pBdr>
                <w:top w:val="nil"/>
                <w:left w:val="nil"/>
                <w:bottom w:val="nil"/>
                <w:right w:val="nil"/>
                <w:between w:val="nil"/>
              </w:pBdr>
              <w:spacing w:before="40" w:after="40"/>
              <w:jc w:val="center"/>
              <w:rPr>
                <w:color w:val="000000"/>
                <w:sz w:val="20"/>
                <w:szCs w:val="20"/>
              </w:rPr>
            </w:pPr>
            <w:r>
              <w:rPr>
                <w:b/>
                <w:bCs/>
                <w:color w:val="000000"/>
                <w:sz w:val="20"/>
                <w:szCs w:val="20"/>
              </w:rPr>
              <w:t>Restauração Ecológica</w:t>
            </w:r>
          </w:p>
        </w:tc>
        <w:tc>
          <w:tcPr>
            <w:tcW w:w="5405" w:type="dxa"/>
            <w:tcMar>
              <w:top w:w="80" w:type="dxa"/>
              <w:left w:w="120" w:type="dxa"/>
              <w:bottom w:w="80" w:type="dxa"/>
              <w:right w:w="120" w:type="dxa"/>
            </w:tcMar>
            <w:vAlign w:val="center"/>
          </w:tcPr>
          <w:p w14:paraId="00000062" w14:textId="77777777" w:rsidR="009603A2" w:rsidRDefault="00FC7FCC">
            <w:pPr>
              <w:widowControl/>
              <w:pBdr>
                <w:top w:val="nil"/>
                <w:left w:val="nil"/>
                <w:bottom w:val="nil"/>
                <w:right w:val="nil"/>
                <w:between w:val="nil"/>
              </w:pBdr>
              <w:spacing w:before="40" w:after="40"/>
              <w:jc w:val="center"/>
              <w:rPr>
                <w:color w:val="000000"/>
                <w:sz w:val="20"/>
                <w:szCs w:val="20"/>
              </w:rPr>
            </w:pPr>
            <w:r>
              <w:rPr>
                <w:color w:val="000000"/>
                <w:sz w:val="20"/>
                <w:szCs w:val="20"/>
              </w:rPr>
              <w:t>Foco na recuperação de áreas degradadas e arborização urbana (RODRIGUES et al., 2019).</w:t>
            </w:r>
          </w:p>
        </w:tc>
        <w:tc>
          <w:tcPr>
            <w:tcW w:w="1672" w:type="dxa"/>
            <w:tcMar>
              <w:top w:w="80" w:type="dxa"/>
              <w:left w:w="120" w:type="dxa"/>
              <w:bottom w:w="80" w:type="dxa"/>
              <w:right w:w="120" w:type="dxa"/>
            </w:tcMar>
            <w:vAlign w:val="center"/>
          </w:tcPr>
          <w:p w14:paraId="00000063" w14:textId="77777777" w:rsidR="009603A2" w:rsidRDefault="00FC7FCC">
            <w:pPr>
              <w:widowControl/>
              <w:pBdr>
                <w:top w:val="nil"/>
                <w:left w:val="nil"/>
                <w:bottom w:val="nil"/>
                <w:right w:val="nil"/>
                <w:between w:val="nil"/>
              </w:pBdr>
              <w:spacing w:before="40" w:after="40"/>
              <w:jc w:val="center"/>
              <w:rPr>
                <w:color w:val="000000"/>
                <w:sz w:val="20"/>
                <w:szCs w:val="20"/>
              </w:rPr>
            </w:pPr>
            <w:r>
              <w:rPr>
                <w:color w:val="000000"/>
                <w:sz w:val="20"/>
                <w:szCs w:val="20"/>
              </w:rPr>
              <w:t>Ruim</w:t>
            </w:r>
          </w:p>
        </w:tc>
      </w:tr>
      <w:tr w:rsidR="009603A2" w14:paraId="3162CCFD" w14:textId="77777777">
        <w:trPr>
          <w:cantSplit/>
          <w:trHeight w:val="576"/>
        </w:trPr>
        <w:tc>
          <w:tcPr>
            <w:tcW w:w="1998" w:type="dxa"/>
            <w:tcMar>
              <w:top w:w="80" w:type="dxa"/>
              <w:left w:w="120" w:type="dxa"/>
              <w:bottom w:w="80" w:type="dxa"/>
              <w:right w:w="120" w:type="dxa"/>
            </w:tcMar>
            <w:vAlign w:val="center"/>
          </w:tcPr>
          <w:p w14:paraId="00000064" w14:textId="77777777" w:rsidR="009603A2" w:rsidRDefault="00FC7FCC">
            <w:pPr>
              <w:widowControl/>
              <w:pBdr>
                <w:top w:val="nil"/>
                <w:left w:val="nil"/>
                <w:bottom w:val="nil"/>
                <w:right w:val="nil"/>
                <w:between w:val="nil"/>
              </w:pBdr>
              <w:spacing w:before="40" w:after="40"/>
              <w:jc w:val="center"/>
              <w:rPr>
                <w:color w:val="000000"/>
                <w:sz w:val="20"/>
                <w:szCs w:val="20"/>
              </w:rPr>
            </w:pPr>
            <w:r>
              <w:rPr>
                <w:b/>
                <w:bCs/>
                <w:color w:val="000000"/>
                <w:sz w:val="20"/>
                <w:szCs w:val="20"/>
              </w:rPr>
              <w:t>Conectividade Ecológica</w:t>
            </w:r>
          </w:p>
        </w:tc>
        <w:tc>
          <w:tcPr>
            <w:tcW w:w="5405" w:type="dxa"/>
            <w:tcMar>
              <w:top w:w="80" w:type="dxa"/>
              <w:left w:w="120" w:type="dxa"/>
              <w:bottom w:w="80" w:type="dxa"/>
              <w:right w:w="120" w:type="dxa"/>
            </w:tcMar>
            <w:vAlign w:val="center"/>
          </w:tcPr>
          <w:p w14:paraId="00000065" w14:textId="77777777" w:rsidR="009603A2" w:rsidRDefault="00FC7FCC">
            <w:pPr>
              <w:widowControl/>
              <w:pBdr>
                <w:top w:val="nil"/>
                <w:left w:val="nil"/>
                <w:bottom w:val="nil"/>
                <w:right w:val="nil"/>
                <w:between w:val="nil"/>
              </w:pBdr>
              <w:spacing w:before="40" w:after="40"/>
              <w:jc w:val="center"/>
              <w:rPr>
                <w:color w:val="000000"/>
                <w:sz w:val="20"/>
                <w:szCs w:val="20"/>
              </w:rPr>
            </w:pPr>
            <w:r>
              <w:rPr>
                <w:color w:val="000000"/>
                <w:sz w:val="20"/>
                <w:szCs w:val="20"/>
              </w:rPr>
              <w:t>Atua como um núcleo de conservação em uma matriz urbana fragmentada (PRIMACK, 2014).</w:t>
            </w:r>
          </w:p>
        </w:tc>
        <w:tc>
          <w:tcPr>
            <w:tcW w:w="1672" w:type="dxa"/>
            <w:tcMar>
              <w:top w:w="80" w:type="dxa"/>
              <w:left w:w="120" w:type="dxa"/>
              <w:bottom w:w="80" w:type="dxa"/>
              <w:right w:w="120" w:type="dxa"/>
            </w:tcMar>
            <w:vAlign w:val="center"/>
          </w:tcPr>
          <w:p w14:paraId="00000066" w14:textId="77777777" w:rsidR="009603A2" w:rsidRDefault="00FC7FCC">
            <w:pPr>
              <w:widowControl/>
              <w:pBdr>
                <w:top w:val="nil"/>
                <w:left w:val="nil"/>
                <w:bottom w:val="nil"/>
                <w:right w:val="nil"/>
                <w:between w:val="nil"/>
              </w:pBdr>
              <w:spacing w:before="40" w:after="40"/>
              <w:jc w:val="center"/>
              <w:rPr>
                <w:color w:val="000000"/>
                <w:sz w:val="20"/>
                <w:szCs w:val="20"/>
              </w:rPr>
            </w:pPr>
            <w:r>
              <w:t xml:space="preserve">     </w:t>
            </w:r>
            <w:r>
              <w:rPr>
                <w:color w:val="000000"/>
                <w:sz w:val="20"/>
                <w:szCs w:val="20"/>
              </w:rPr>
              <w:t>Ruim</w:t>
            </w:r>
          </w:p>
        </w:tc>
      </w:tr>
      <w:tr w:rsidR="009603A2" w14:paraId="365ED569" w14:textId="77777777">
        <w:trPr>
          <w:cantSplit/>
          <w:trHeight w:val="339"/>
        </w:trPr>
        <w:tc>
          <w:tcPr>
            <w:tcW w:w="1998" w:type="dxa"/>
            <w:tcMar>
              <w:top w:w="80" w:type="dxa"/>
              <w:left w:w="120" w:type="dxa"/>
              <w:bottom w:w="80" w:type="dxa"/>
              <w:right w:w="120" w:type="dxa"/>
            </w:tcMar>
            <w:vAlign w:val="center"/>
          </w:tcPr>
          <w:p w14:paraId="00000067" w14:textId="77777777" w:rsidR="009603A2" w:rsidRDefault="00FC7FCC">
            <w:pPr>
              <w:widowControl/>
              <w:pBdr>
                <w:top w:val="nil"/>
                <w:left w:val="nil"/>
                <w:bottom w:val="nil"/>
                <w:right w:val="nil"/>
                <w:between w:val="nil"/>
              </w:pBdr>
              <w:spacing w:before="40" w:after="40"/>
              <w:jc w:val="center"/>
              <w:rPr>
                <w:color w:val="000000"/>
                <w:sz w:val="20"/>
                <w:szCs w:val="20"/>
              </w:rPr>
            </w:pPr>
            <w:r>
              <w:rPr>
                <w:b/>
                <w:bCs/>
                <w:color w:val="000000"/>
                <w:sz w:val="20"/>
                <w:szCs w:val="20"/>
              </w:rPr>
              <w:t>Educação Ambiental</w:t>
            </w:r>
          </w:p>
        </w:tc>
        <w:tc>
          <w:tcPr>
            <w:tcW w:w="5405" w:type="dxa"/>
            <w:tcMar>
              <w:top w:w="80" w:type="dxa"/>
              <w:left w:w="120" w:type="dxa"/>
              <w:bottom w:w="80" w:type="dxa"/>
              <w:right w:w="120" w:type="dxa"/>
            </w:tcMar>
            <w:vAlign w:val="center"/>
          </w:tcPr>
          <w:p w14:paraId="00000068" w14:textId="77777777" w:rsidR="009603A2" w:rsidRDefault="00FC7FCC">
            <w:pPr>
              <w:widowControl/>
              <w:pBdr>
                <w:top w:val="nil"/>
                <w:left w:val="nil"/>
                <w:bottom w:val="nil"/>
                <w:right w:val="nil"/>
                <w:between w:val="nil"/>
              </w:pBdr>
              <w:spacing w:before="40" w:after="40"/>
              <w:jc w:val="center"/>
              <w:rPr>
                <w:color w:val="000000"/>
                <w:sz w:val="20"/>
                <w:szCs w:val="20"/>
              </w:rPr>
            </w:pPr>
            <w:r>
              <w:rPr>
                <w:color w:val="000000"/>
                <w:sz w:val="20"/>
                <w:szCs w:val="20"/>
              </w:rPr>
              <w:t>Estrutura para receber visitantes, promovendo a conscientização.</w:t>
            </w:r>
          </w:p>
        </w:tc>
        <w:tc>
          <w:tcPr>
            <w:tcW w:w="1672" w:type="dxa"/>
            <w:tcMar>
              <w:top w:w="80" w:type="dxa"/>
              <w:left w:w="120" w:type="dxa"/>
              <w:bottom w:w="80" w:type="dxa"/>
              <w:right w:w="120" w:type="dxa"/>
            </w:tcMar>
            <w:vAlign w:val="center"/>
          </w:tcPr>
          <w:p w14:paraId="00000069" w14:textId="77777777" w:rsidR="009603A2" w:rsidRDefault="00FC7FCC">
            <w:pPr>
              <w:widowControl/>
              <w:pBdr>
                <w:top w:val="nil"/>
                <w:left w:val="nil"/>
                <w:bottom w:val="nil"/>
                <w:right w:val="nil"/>
                <w:between w:val="nil"/>
              </w:pBdr>
              <w:spacing w:before="40" w:after="40"/>
              <w:jc w:val="center"/>
              <w:rPr>
                <w:color w:val="000000"/>
                <w:sz w:val="20"/>
                <w:szCs w:val="20"/>
              </w:rPr>
            </w:pPr>
            <w:r>
              <w:t xml:space="preserve">     </w:t>
            </w:r>
            <w:r>
              <w:rPr>
                <w:color w:val="000000"/>
                <w:sz w:val="20"/>
                <w:szCs w:val="20"/>
              </w:rPr>
              <w:t>Inexistente</w:t>
            </w:r>
          </w:p>
        </w:tc>
      </w:tr>
      <w:tr w:rsidR="009603A2" w14:paraId="6F2DEC44" w14:textId="77777777">
        <w:trPr>
          <w:cantSplit/>
          <w:trHeight w:val="308"/>
        </w:trPr>
        <w:tc>
          <w:tcPr>
            <w:tcW w:w="1998" w:type="dxa"/>
            <w:tcMar>
              <w:top w:w="80" w:type="dxa"/>
              <w:left w:w="120" w:type="dxa"/>
              <w:bottom w:w="80" w:type="dxa"/>
              <w:right w:w="120" w:type="dxa"/>
            </w:tcMar>
            <w:vAlign w:val="center"/>
          </w:tcPr>
          <w:p w14:paraId="0000006A" w14:textId="77777777" w:rsidR="009603A2" w:rsidRDefault="00FC7FCC">
            <w:pPr>
              <w:widowControl/>
              <w:pBdr>
                <w:top w:val="nil"/>
                <w:left w:val="nil"/>
                <w:bottom w:val="nil"/>
                <w:right w:val="nil"/>
                <w:between w:val="nil"/>
              </w:pBdr>
              <w:spacing w:before="40" w:after="40"/>
              <w:jc w:val="center"/>
              <w:rPr>
                <w:color w:val="000000"/>
                <w:sz w:val="20"/>
                <w:szCs w:val="20"/>
              </w:rPr>
            </w:pPr>
            <w:r>
              <w:rPr>
                <w:b/>
                <w:bCs/>
                <w:color w:val="000000"/>
                <w:sz w:val="20"/>
                <w:szCs w:val="20"/>
              </w:rPr>
              <w:t>Pesquisa Científica</w:t>
            </w:r>
          </w:p>
        </w:tc>
        <w:tc>
          <w:tcPr>
            <w:tcW w:w="5405" w:type="dxa"/>
            <w:tcMar>
              <w:top w:w="80" w:type="dxa"/>
              <w:left w:w="120" w:type="dxa"/>
              <w:bottom w:w="80" w:type="dxa"/>
              <w:right w:w="120" w:type="dxa"/>
            </w:tcMar>
            <w:vAlign w:val="center"/>
          </w:tcPr>
          <w:p w14:paraId="0000006B" w14:textId="77777777" w:rsidR="009603A2" w:rsidRDefault="00FC7FCC">
            <w:pPr>
              <w:widowControl/>
              <w:pBdr>
                <w:top w:val="nil"/>
                <w:left w:val="nil"/>
                <w:bottom w:val="nil"/>
                <w:right w:val="nil"/>
                <w:between w:val="nil"/>
              </w:pBdr>
              <w:spacing w:before="40" w:after="40"/>
              <w:jc w:val="center"/>
              <w:rPr>
                <w:color w:val="000000"/>
                <w:sz w:val="20"/>
                <w:szCs w:val="20"/>
              </w:rPr>
            </w:pPr>
            <w:r>
              <w:rPr>
                <w:color w:val="000000"/>
                <w:sz w:val="20"/>
                <w:szCs w:val="20"/>
              </w:rPr>
              <w:t>Levantamento de biodiversidade (RODRIGUES et al., 2019).</w:t>
            </w:r>
          </w:p>
        </w:tc>
        <w:tc>
          <w:tcPr>
            <w:tcW w:w="1672" w:type="dxa"/>
            <w:tcMar>
              <w:top w:w="80" w:type="dxa"/>
              <w:left w:w="120" w:type="dxa"/>
              <w:bottom w:w="80" w:type="dxa"/>
              <w:right w:w="120" w:type="dxa"/>
            </w:tcMar>
            <w:vAlign w:val="center"/>
          </w:tcPr>
          <w:p w14:paraId="0000006C" w14:textId="77777777" w:rsidR="009603A2" w:rsidRDefault="00FC7FCC">
            <w:pPr>
              <w:widowControl/>
              <w:pBdr>
                <w:top w:val="nil"/>
                <w:left w:val="nil"/>
                <w:bottom w:val="nil"/>
                <w:right w:val="nil"/>
                <w:between w:val="nil"/>
              </w:pBdr>
              <w:spacing w:before="40" w:after="40"/>
              <w:jc w:val="center"/>
              <w:rPr>
                <w:color w:val="000000"/>
                <w:sz w:val="20"/>
                <w:szCs w:val="20"/>
              </w:rPr>
            </w:pPr>
            <w:r>
              <w:t xml:space="preserve">     </w:t>
            </w:r>
            <w:r>
              <w:rPr>
                <w:color w:val="000000"/>
                <w:sz w:val="20"/>
                <w:szCs w:val="20"/>
              </w:rPr>
              <w:t>Ruim</w:t>
            </w:r>
          </w:p>
        </w:tc>
      </w:tr>
      <w:tr w:rsidR="009603A2" w14:paraId="4FCDE5B6" w14:textId="77777777">
        <w:trPr>
          <w:cantSplit/>
          <w:trHeight w:val="403"/>
        </w:trPr>
        <w:tc>
          <w:tcPr>
            <w:tcW w:w="1998" w:type="dxa"/>
            <w:tcMar>
              <w:top w:w="80" w:type="dxa"/>
              <w:left w:w="120" w:type="dxa"/>
              <w:bottom w:w="80" w:type="dxa"/>
              <w:right w:w="120" w:type="dxa"/>
            </w:tcMar>
            <w:vAlign w:val="center"/>
          </w:tcPr>
          <w:p w14:paraId="0000006D" w14:textId="77777777" w:rsidR="009603A2" w:rsidRDefault="00FC7FCC">
            <w:pPr>
              <w:widowControl/>
              <w:pBdr>
                <w:top w:val="nil"/>
                <w:left w:val="nil"/>
                <w:bottom w:val="nil"/>
                <w:right w:val="nil"/>
                <w:between w:val="nil"/>
              </w:pBdr>
              <w:spacing w:before="40" w:after="40"/>
              <w:jc w:val="center"/>
              <w:rPr>
                <w:color w:val="000000"/>
                <w:sz w:val="20"/>
                <w:szCs w:val="20"/>
              </w:rPr>
            </w:pPr>
            <w:r>
              <w:rPr>
                <w:b/>
                <w:bCs/>
                <w:color w:val="000000"/>
                <w:sz w:val="20"/>
                <w:szCs w:val="20"/>
              </w:rPr>
              <w:t>Uso Sustentável</w:t>
            </w:r>
          </w:p>
        </w:tc>
        <w:tc>
          <w:tcPr>
            <w:tcW w:w="5405" w:type="dxa"/>
            <w:tcMar>
              <w:top w:w="80" w:type="dxa"/>
              <w:left w:w="120" w:type="dxa"/>
              <w:bottom w:w="80" w:type="dxa"/>
              <w:right w:w="120" w:type="dxa"/>
            </w:tcMar>
            <w:vAlign w:val="center"/>
          </w:tcPr>
          <w:p w14:paraId="0000006E" w14:textId="77777777" w:rsidR="009603A2" w:rsidRDefault="00FC7FCC">
            <w:pPr>
              <w:widowControl/>
              <w:pBdr>
                <w:top w:val="nil"/>
                <w:left w:val="nil"/>
                <w:bottom w:val="nil"/>
                <w:right w:val="nil"/>
                <w:between w:val="nil"/>
              </w:pBdr>
              <w:spacing w:before="40" w:after="40"/>
              <w:jc w:val="center"/>
              <w:rPr>
                <w:color w:val="000000"/>
                <w:sz w:val="20"/>
                <w:szCs w:val="20"/>
              </w:rPr>
            </w:pPr>
            <w:r>
              <w:rPr>
                <w:color w:val="000000"/>
                <w:sz w:val="20"/>
                <w:szCs w:val="20"/>
              </w:rPr>
              <w:t>Integração de lazer com conservação.</w:t>
            </w:r>
          </w:p>
        </w:tc>
        <w:tc>
          <w:tcPr>
            <w:tcW w:w="1672" w:type="dxa"/>
            <w:tcMar>
              <w:top w:w="80" w:type="dxa"/>
              <w:left w:w="120" w:type="dxa"/>
              <w:bottom w:w="80" w:type="dxa"/>
              <w:right w:w="120" w:type="dxa"/>
            </w:tcMar>
            <w:vAlign w:val="center"/>
          </w:tcPr>
          <w:p w14:paraId="0000006F" w14:textId="77777777" w:rsidR="009603A2" w:rsidRDefault="00FC7FCC">
            <w:pPr>
              <w:widowControl/>
              <w:pBdr>
                <w:top w:val="nil"/>
                <w:left w:val="nil"/>
                <w:bottom w:val="nil"/>
                <w:right w:val="nil"/>
                <w:between w:val="nil"/>
              </w:pBdr>
              <w:spacing w:before="40" w:after="40"/>
              <w:jc w:val="center"/>
              <w:rPr>
                <w:color w:val="000000"/>
                <w:sz w:val="20"/>
                <w:szCs w:val="20"/>
              </w:rPr>
            </w:pPr>
            <w:r>
              <w:rPr>
                <w:color w:val="000000"/>
                <w:sz w:val="20"/>
                <w:szCs w:val="20"/>
              </w:rPr>
              <w:t>Ruim</w:t>
            </w:r>
          </w:p>
        </w:tc>
      </w:tr>
      <w:tr w:rsidR="009603A2" w14:paraId="28F25E72" w14:textId="77777777">
        <w:trPr>
          <w:cantSplit/>
          <w:trHeight w:val="403"/>
        </w:trPr>
        <w:tc>
          <w:tcPr>
            <w:tcW w:w="1998" w:type="dxa"/>
            <w:tcMar>
              <w:top w:w="80" w:type="dxa"/>
              <w:left w:w="120" w:type="dxa"/>
              <w:bottom w:w="80" w:type="dxa"/>
              <w:right w:w="120" w:type="dxa"/>
            </w:tcMar>
            <w:vAlign w:val="center"/>
          </w:tcPr>
          <w:p w14:paraId="00000070" w14:textId="77777777" w:rsidR="009603A2" w:rsidRDefault="00FC7FCC">
            <w:pPr>
              <w:widowControl/>
              <w:pBdr>
                <w:top w:val="nil"/>
                <w:left w:val="nil"/>
                <w:bottom w:val="nil"/>
                <w:right w:val="nil"/>
                <w:between w:val="nil"/>
              </w:pBdr>
              <w:spacing w:before="40" w:after="40"/>
              <w:jc w:val="center"/>
              <w:rPr>
                <w:b/>
                <w:bCs/>
                <w:color w:val="000000"/>
                <w:sz w:val="20"/>
                <w:szCs w:val="20"/>
              </w:rPr>
            </w:pPr>
            <w:r>
              <w:rPr>
                <w:b/>
                <w:bCs/>
                <w:sz w:val="20"/>
                <w:szCs w:val="20"/>
              </w:rPr>
              <w:t>Manejo</w:t>
            </w:r>
          </w:p>
        </w:tc>
        <w:tc>
          <w:tcPr>
            <w:tcW w:w="5405" w:type="dxa"/>
            <w:tcMar>
              <w:top w:w="80" w:type="dxa"/>
              <w:left w:w="120" w:type="dxa"/>
              <w:bottom w:w="80" w:type="dxa"/>
              <w:right w:w="120" w:type="dxa"/>
            </w:tcMar>
            <w:vAlign w:val="center"/>
          </w:tcPr>
          <w:p w14:paraId="00000071" w14:textId="77777777" w:rsidR="009603A2" w:rsidRDefault="00FC7FCC">
            <w:pPr>
              <w:widowControl/>
              <w:pBdr>
                <w:top w:val="nil"/>
                <w:left w:val="nil"/>
                <w:bottom w:val="nil"/>
                <w:right w:val="nil"/>
                <w:between w:val="nil"/>
              </w:pBdr>
              <w:spacing w:before="40" w:after="40"/>
              <w:jc w:val="center"/>
              <w:rPr>
                <w:color w:val="000000"/>
                <w:sz w:val="20"/>
                <w:szCs w:val="20"/>
              </w:rPr>
            </w:pPr>
            <w:r>
              <w:rPr>
                <w:sz w:val="20"/>
                <w:szCs w:val="20"/>
              </w:rPr>
              <w:t xml:space="preserve">Planejamento técnico para uso e manejo adequado da área. </w:t>
            </w:r>
          </w:p>
        </w:tc>
        <w:tc>
          <w:tcPr>
            <w:tcW w:w="1672" w:type="dxa"/>
            <w:tcMar>
              <w:top w:w="80" w:type="dxa"/>
              <w:left w:w="120" w:type="dxa"/>
              <w:bottom w:w="80" w:type="dxa"/>
              <w:right w:w="120" w:type="dxa"/>
            </w:tcMar>
            <w:vAlign w:val="center"/>
          </w:tcPr>
          <w:p w14:paraId="00000072" w14:textId="77777777" w:rsidR="009603A2" w:rsidRDefault="00FC7FCC">
            <w:pPr>
              <w:widowControl/>
              <w:pBdr>
                <w:top w:val="nil"/>
                <w:left w:val="nil"/>
                <w:bottom w:val="nil"/>
                <w:right w:val="nil"/>
                <w:between w:val="nil"/>
              </w:pBdr>
              <w:spacing w:before="40" w:after="40"/>
              <w:jc w:val="center"/>
              <w:rPr>
                <w:color w:val="000000"/>
                <w:sz w:val="20"/>
                <w:szCs w:val="20"/>
              </w:rPr>
            </w:pPr>
            <w:r>
              <w:rPr>
                <w:sz w:val="20"/>
                <w:szCs w:val="20"/>
              </w:rPr>
              <w:t>Inexistente</w:t>
            </w:r>
          </w:p>
        </w:tc>
      </w:tr>
    </w:tbl>
    <w:p w14:paraId="00000073" w14:textId="77777777" w:rsidR="009603A2" w:rsidRDefault="00FC7FCC">
      <w:pPr>
        <w:pBdr>
          <w:bottom w:val="none" w:sz="0" w:space="8" w:color="000000"/>
        </w:pBdr>
        <w:shd w:val="clear" w:color="auto" w:fill="FFFFFF"/>
        <w:tabs>
          <w:tab w:val="left" w:pos="2500"/>
        </w:tabs>
        <w:jc w:val="both"/>
      </w:pPr>
      <w:r>
        <w:rPr>
          <w:b/>
          <w:bCs/>
        </w:rPr>
        <w:t>Fonte:</w:t>
      </w:r>
      <w:r>
        <w:t xml:space="preserve"> Adaptado de Primack 2014; Rodrigues et al. 2019.</w:t>
      </w:r>
    </w:p>
    <w:p w14:paraId="00000074" w14:textId="77777777" w:rsidR="009603A2" w:rsidRDefault="009603A2">
      <w:pPr>
        <w:pBdr>
          <w:bottom w:val="none" w:sz="0" w:space="8" w:color="000000"/>
        </w:pBdr>
        <w:shd w:val="clear" w:color="auto" w:fill="FFFFFF"/>
        <w:tabs>
          <w:tab w:val="left" w:pos="2500"/>
        </w:tabs>
        <w:jc w:val="both"/>
      </w:pPr>
    </w:p>
    <w:p w14:paraId="00000075" w14:textId="77777777" w:rsidR="009603A2" w:rsidRDefault="00FC7FCC">
      <w:pPr>
        <w:pBdr>
          <w:bottom w:val="none" w:sz="0" w:space="8" w:color="000000"/>
        </w:pBdr>
        <w:shd w:val="clear" w:color="auto" w:fill="FFFFFF"/>
        <w:tabs>
          <w:tab w:val="left" w:pos="2500"/>
        </w:tabs>
        <w:spacing w:line="360" w:lineRule="auto"/>
        <w:ind w:firstLine="709"/>
        <w:jc w:val="both"/>
        <w:rPr>
          <w:sz w:val="24"/>
          <w:szCs w:val="24"/>
        </w:rPr>
      </w:pPr>
      <w:r>
        <w:rPr>
          <w:sz w:val="24"/>
          <w:szCs w:val="24"/>
        </w:rPr>
        <w:t xml:space="preserve">É retratado sob uma perspectiva crítica, evidenciando o paradoxo entre o alto alinhamento formal de Imperatriz com a agenda internacional e a falha na implementação local (Tabela 3). O problema não reside na falta de instrumentos normativos, como o PlanAU ou o debate catalisado pela COP 30 que estipulou respostas às mudanças climáticas como a triplicação de financiamento para países em desenvolvimento e Acelerador de Implementação </w:t>
      </w:r>
      <w:r>
        <w:rPr>
          <w:sz w:val="24"/>
          <w:szCs w:val="24"/>
        </w:rPr>
        <w:lastRenderedPageBreak/>
        <w:t xml:space="preserve">Global (COP 30, 2025), mas sim na lacuna de gestão que permite o abandono, a poluição e a ausência de um Plano de Manejo no Parque Arara Azul (Lima e Amorim, 2006). Portanto, a existência de áreas verdes no meio urbano bem planejadas e manejadas podem servir de mecanismos eficientes para difundir educação ambiental, o que ocasiona na sua própria preservação garantindo o efeito de seus serviços ecológicos e sociais (Rosso </w:t>
      </w:r>
      <w:r>
        <w:rPr>
          <w:i/>
          <w:iCs/>
          <w:sz w:val="24"/>
          <w:szCs w:val="24"/>
        </w:rPr>
        <w:t>et al.,</w:t>
      </w:r>
      <w:r>
        <w:rPr>
          <w:sz w:val="24"/>
          <w:szCs w:val="24"/>
        </w:rPr>
        <w:t xml:space="preserve"> 2021).</w:t>
      </w:r>
    </w:p>
    <w:p w14:paraId="00000076" w14:textId="77777777" w:rsidR="009603A2" w:rsidRDefault="00FC7FCC">
      <w:pPr>
        <w:pBdr>
          <w:bottom w:val="none" w:sz="0" w:space="8" w:color="000000"/>
        </w:pBdr>
        <w:shd w:val="clear" w:color="auto" w:fill="FFFFFF"/>
        <w:tabs>
          <w:tab w:val="left" w:pos="2500"/>
        </w:tabs>
        <w:spacing w:line="360" w:lineRule="auto"/>
        <w:ind w:firstLine="709"/>
        <w:jc w:val="both"/>
        <w:rPr>
          <w:sz w:val="24"/>
          <w:szCs w:val="24"/>
        </w:rPr>
      </w:pPr>
      <w:r>
        <w:rPr>
          <w:sz w:val="24"/>
          <w:szCs w:val="24"/>
        </w:rPr>
        <w:t>A análise sugere que a resposta à extrema urbanização deve ir além da mera criação de uma Unidade de Conservação. É imperativo que o município traduza o compromisso global em ações concretas, como a implementação imediata do Plano de Manejo e o estabelecimento de cooperação</w:t>
      </w:r>
      <w:r>
        <w:rPr>
          <w:b/>
          <w:bCs/>
          <w:sz w:val="24"/>
          <w:szCs w:val="24"/>
        </w:rPr>
        <w:t xml:space="preserve"> </w:t>
      </w:r>
      <w:r>
        <w:rPr>
          <w:sz w:val="24"/>
          <w:szCs w:val="24"/>
        </w:rPr>
        <w:t xml:space="preserve">técnica com universidades, segurança ambiental e cumprimento de metas (Klippel </w:t>
      </w:r>
      <w:r>
        <w:rPr>
          <w:i/>
          <w:iCs/>
          <w:sz w:val="24"/>
          <w:szCs w:val="24"/>
        </w:rPr>
        <w:t>et al</w:t>
      </w:r>
      <w:r>
        <w:rPr>
          <w:sz w:val="24"/>
          <w:szCs w:val="24"/>
        </w:rPr>
        <w:t>., 2015). Portanto pode ser observado um roteiro para a intervenção necessária, transformando a crítica em proposta de ação.</w:t>
      </w:r>
    </w:p>
    <w:p w14:paraId="00000077" w14:textId="77777777" w:rsidR="009603A2" w:rsidRDefault="00FC7FCC">
      <w:pPr>
        <w:widowControl/>
        <w:tabs>
          <w:tab w:val="left" w:pos="1290"/>
        </w:tabs>
        <w:spacing w:after="160" w:line="259" w:lineRule="auto"/>
        <w:jc w:val="both"/>
        <w:rPr>
          <w:sz w:val="28"/>
          <w:szCs w:val="28"/>
        </w:rPr>
      </w:pPr>
      <w:r>
        <w:rPr>
          <w:b/>
          <w:bCs/>
          <w:sz w:val="24"/>
          <w:szCs w:val="24"/>
        </w:rPr>
        <w:t>4. CONCLUSÃO</w:t>
      </w:r>
    </w:p>
    <w:p w14:paraId="39D8488F" w14:textId="77777777" w:rsidR="004E02BF" w:rsidRDefault="00000000" w:rsidP="004E02BF">
      <w:pPr>
        <w:widowControl/>
        <w:tabs>
          <w:tab w:val="left" w:pos="699"/>
        </w:tabs>
        <w:spacing w:after="160" w:line="360" w:lineRule="auto"/>
        <w:ind w:firstLine="709"/>
        <w:jc w:val="both"/>
        <w:rPr>
          <w:color w:val="000000"/>
          <w:sz w:val="24"/>
          <w:szCs w:val="24"/>
        </w:rPr>
      </w:pPr>
      <w:sdt>
        <w:sdtPr>
          <w:tag w:val="goog_rdk_4"/>
          <w:id w:val="-1994545968"/>
        </w:sdtPr>
        <w:sdtContent/>
      </w:sdt>
      <w:r w:rsidR="00FC7FCC">
        <w:rPr>
          <w:sz w:val="24"/>
          <w:szCs w:val="24"/>
        </w:rPr>
        <w:tab/>
      </w:r>
      <w:r w:rsidR="00FC7FCC">
        <w:rPr>
          <w:color w:val="000000"/>
          <w:sz w:val="24"/>
          <w:szCs w:val="24"/>
        </w:rPr>
        <w:t xml:space="preserve">A criação do Parque Municipal Arara Azul, em Imperatriz, reflete uma tomada de decisão tardia mas importante para mitigação de urbanização desenfreada </w:t>
      </w:r>
      <w:r w:rsidR="00863170">
        <w:rPr>
          <w:color w:val="000000"/>
          <w:sz w:val="24"/>
          <w:szCs w:val="24"/>
        </w:rPr>
        <w:t xml:space="preserve">impulsionada por marcos Internacionais como ODS 11 e PlanAU, e que por meio de uma análise crítica se observa </w:t>
      </w:r>
      <w:r w:rsidR="00863170">
        <w:rPr>
          <w:sz w:val="24"/>
          <w:szCs w:val="24"/>
        </w:rPr>
        <w:t>lacuna de gestão que permite o abandono e descaso</w:t>
      </w:r>
      <w:r w:rsidR="00FC7FCC">
        <w:rPr>
          <w:color w:val="000000"/>
          <w:sz w:val="24"/>
          <w:szCs w:val="24"/>
        </w:rPr>
        <w:t xml:space="preserve">. </w:t>
      </w:r>
      <w:r w:rsidR="00863170">
        <w:rPr>
          <w:color w:val="000000"/>
          <w:sz w:val="24"/>
          <w:szCs w:val="24"/>
        </w:rPr>
        <w:t>A eficácia dos marcos de Relações Internacionais na mitigação do desmatamento e urbanização extrema é dependente de boa implementação e gestão pública local</w:t>
      </w:r>
      <w:r w:rsidR="004E02BF">
        <w:rPr>
          <w:color w:val="000000"/>
          <w:sz w:val="24"/>
          <w:szCs w:val="24"/>
        </w:rPr>
        <w:t>.</w:t>
      </w:r>
      <w:r w:rsidR="00863170">
        <w:rPr>
          <w:color w:val="000000"/>
          <w:sz w:val="24"/>
          <w:szCs w:val="24"/>
        </w:rPr>
        <w:t xml:space="preserve"> </w:t>
      </w:r>
    </w:p>
    <w:p w14:paraId="00000079" w14:textId="37F129AB" w:rsidR="009603A2" w:rsidRPr="004E02BF" w:rsidRDefault="00FC7FCC" w:rsidP="004E02BF">
      <w:pPr>
        <w:widowControl/>
        <w:tabs>
          <w:tab w:val="left" w:pos="699"/>
        </w:tabs>
        <w:spacing w:after="160" w:line="360" w:lineRule="auto"/>
        <w:jc w:val="both"/>
        <w:rPr>
          <w:color w:val="000000"/>
          <w:sz w:val="24"/>
          <w:szCs w:val="24"/>
        </w:rPr>
      </w:pPr>
      <w:r>
        <w:rPr>
          <w:b/>
          <w:bCs/>
          <w:sz w:val="24"/>
          <w:szCs w:val="24"/>
        </w:rPr>
        <w:t>REFERÊNCIAS</w:t>
      </w:r>
    </w:p>
    <w:p w14:paraId="0000007A" w14:textId="77777777" w:rsidR="009603A2" w:rsidRDefault="00FC7FCC">
      <w:pPr>
        <w:spacing w:before="240" w:after="240"/>
        <w:jc w:val="both"/>
        <w:rPr>
          <w:color w:val="000000"/>
          <w:sz w:val="24"/>
          <w:szCs w:val="24"/>
        </w:rPr>
      </w:pPr>
      <w:bookmarkStart w:id="4" w:name="_heading=h.inq4g18p7r1y" w:colFirst="0" w:colLast="0"/>
      <w:bookmarkEnd w:id="4"/>
      <w:r>
        <w:rPr>
          <w:color w:val="000000"/>
          <w:sz w:val="24"/>
          <w:szCs w:val="24"/>
        </w:rPr>
        <w:t xml:space="preserve">BISSANI, K. O desenvolvimento urbano sustentável e os tratados internacionais sobre mudanças climáticas. </w:t>
      </w:r>
      <w:r>
        <w:rPr>
          <w:b/>
          <w:bCs/>
          <w:color w:val="000000"/>
          <w:sz w:val="24"/>
          <w:szCs w:val="24"/>
        </w:rPr>
        <w:t>Revista Jurídica da FA7</w:t>
      </w:r>
      <w:r>
        <w:rPr>
          <w:color w:val="000000"/>
          <w:sz w:val="24"/>
          <w:szCs w:val="24"/>
        </w:rPr>
        <w:t>, Fortaleza, v. 16, n. 1, p. 137-149, 2019. DOI: 10.24067/rjfa7;16.1:955. Disponível em: https://periodicos.uni7.edu.br/index.php/revistajuridica/article/view/955. Acesso em: 02 nov. 2025.</w:t>
      </w:r>
    </w:p>
    <w:p w14:paraId="0000007B" w14:textId="77777777" w:rsidR="009603A2" w:rsidRDefault="00FC7FCC">
      <w:pPr>
        <w:spacing w:before="240" w:after="240"/>
        <w:jc w:val="both"/>
        <w:rPr>
          <w:color w:val="000000"/>
          <w:sz w:val="24"/>
          <w:szCs w:val="24"/>
        </w:rPr>
      </w:pPr>
      <w:r>
        <w:rPr>
          <w:color w:val="000000"/>
          <w:sz w:val="24"/>
          <w:szCs w:val="24"/>
        </w:rPr>
        <w:t xml:space="preserve">BRASIL. Ministério do Meio Ambiente. </w:t>
      </w:r>
      <w:r>
        <w:rPr>
          <w:b/>
          <w:bCs/>
          <w:color w:val="000000"/>
          <w:sz w:val="24"/>
          <w:szCs w:val="24"/>
        </w:rPr>
        <w:t>Programa Cidades Verdes Resilientes</w:t>
      </w:r>
      <w:r>
        <w:rPr>
          <w:color w:val="000000"/>
          <w:sz w:val="24"/>
          <w:szCs w:val="24"/>
        </w:rPr>
        <w:t>. Brasília, 2025. Disponível em: https://www.gov.br/mma/pt-br/assuntos/meio-ambiente-urbano-recursos-hidricos-qualidade-ambiental/cidades-verdes-resilientes. Acesso em: 02 nov. 2025.</w:t>
      </w:r>
    </w:p>
    <w:p w14:paraId="0000007C" w14:textId="77777777" w:rsidR="009603A2" w:rsidRDefault="00FC7FCC">
      <w:pPr>
        <w:spacing w:before="240" w:after="240"/>
        <w:jc w:val="both"/>
        <w:rPr>
          <w:color w:val="000000"/>
          <w:sz w:val="24"/>
          <w:szCs w:val="24"/>
        </w:rPr>
      </w:pPr>
      <w:r>
        <w:rPr>
          <w:color w:val="000000"/>
          <w:sz w:val="24"/>
          <w:szCs w:val="24"/>
        </w:rPr>
        <w:t xml:space="preserve">BRASIL. Ministério do Meio Ambiente e Mudança do Clima (MMA ). </w:t>
      </w:r>
      <w:r>
        <w:rPr>
          <w:b/>
          <w:bCs/>
          <w:color w:val="000000"/>
          <w:sz w:val="24"/>
          <w:szCs w:val="24"/>
        </w:rPr>
        <w:t>Plano Nacional de Arborização Urbana – PlaNAU</w:t>
      </w:r>
      <w:r>
        <w:rPr>
          <w:color w:val="000000"/>
          <w:sz w:val="24"/>
          <w:szCs w:val="24"/>
        </w:rPr>
        <w:t>. Brasília: MMA, 2025. Disponível em: https://www.gov.br/mma/pt-br/assuntos/meio-ambiente-urbano-recursos-hidricos-qualidade-ambiental/cidades-verdes-resilientes/areas-verdes-e-arborizacao-urbana/planau/planau-plano-</w:t>
      </w:r>
      <w:r>
        <w:rPr>
          <w:color w:val="000000"/>
          <w:sz w:val="24"/>
          <w:szCs w:val="24"/>
        </w:rPr>
        <w:lastRenderedPageBreak/>
        <w:t>nacional-de-arborizacao-urbana-2025.pdf. Acesso em: 27 nov. 2025.</w:t>
      </w:r>
    </w:p>
    <w:p w14:paraId="0000007D" w14:textId="77777777" w:rsidR="009603A2" w:rsidRDefault="00FC7FCC">
      <w:pPr>
        <w:spacing w:before="240" w:after="240"/>
        <w:jc w:val="both"/>
        <w:rPr>
          <w:color w:val="000000"/>
          <w:sz w:val="24"/>
          <w:szCs w:val="24"/>
        </w:rPr>
      </w:pPr>
      <w:r>
        <w:rPr>
          <w:color w:val="000000"/>
          <w:sz w:val="24"/>
          <w:szCs w:val="24"/>
        </w:rPr>
        <w:t xml:space="preserve">NOBRE, C. A.; ARIEIRA, J.; BRANDÃO, D. O. Amazônia em risco e a COP30 como uma oportunidade crítica para evitar o ponto de não retorno. </w:t>
      </w:r>
      <w:r>
        <w:rPr>
          <w:b/>
          <w:bCs/>
          <w:color w:val="000000"/>
          <w:sz w:val="24"/>
          <w:szCs w:val="24"/>
        </w:rPr>
        <w:t>Estudos Avançados</w:t>
      </w:r>
      <w:r>
        <w:rPr>
          <w:color w:val="000000"/>
          <w:sz w:val="24"/>
          <w:szCs w:val="24"/>
        </w:rPr>
        <w:t>, São Paulo, v.39, n. 114, p. 5-25, maio/ago. 2025.</w:t>
      </w:r>
    </w:p>
    <w:p w14:paraId="0000007E" w14:textId="77777777" w:rsidR="009603A2" w:rsidRDefault="00FC7FCC">
      <w:pPr>
        <w:spacing w:before="240" w:after="240"/>
        <w:jc w:val="both"/>
        <w:rPr>
          <w:color w:val="000000"/>
          <w:sz w:val="24"/>
          <w:szCs w:val="24"/>
        </w:rPr>
      </w:pPr>
      <w:r>
        <w:rPr>
          <w:color w:val="000000"/>
          <w:sz w:val="24"/>
          <w:szCs w:val="24"/>
        </w:rPr>
        <w:t xml:space="preserve">COP30. </w:t>
      </w:r>
      <w:r>
        <w:rPr>
          <w:b/>
          <w:bCs/>
          <w:color w:val="000000"/>
          <w:sz w:val="24"/>
          <w:szCs w:val="24"/>
        </w:rPr>
        <w:t>Conferência das Nações Unidas sobre Mudanças Climáticas</w:t>
      </w:r>
      <w:r>
        <w:rPr>
          <w:color w:val="000000"/>
          <w:sz w:val="24"/>
          <w:szCs w:val="24"/>
        </w:rPr>
        <w:t xml:space="preserve">. </w:t>
      </w:r>
      <w:r>
        <w:rPr>
          <w:sz w:val="24"/>
          <w:szCs w:val="24"/>
        </w:rPr>
        <w:t>Belém</w:t>
      </w:r>
      <w:r>
        <w:rPr>
          <w:color w:val="000000"/>
          <w:sz w:val="24"/>
          <w:szCs w:val="24"/>
        </w:rPr>
        <w:t>: [s.n.], 2025.</w:t>
      </w:r>
    </w:p>
    <w:p w14:paraId="00000080" w14:textId="39645BB5" w:rsidR="009603A2" w:rsidRDefault="00FC7FCC">
      <w:pPr>
        <w:spacing w:before="240" w:after="240"/>
        <w:jc w:val="both"/>
        <w:rPr>
          <w:sz w:val="24"/>
          <w:szCs w:val="24"/>
        </w:rPr>
      </w:pPr>
      <w:r>
        <w:rPr>
          <w:sz w:val="24"/>
          <w:szCs w:val="24"/>
        </w:rPr>
        <w:t xml:space="preserve">COP30. </w:t>
      </w:r>
      <w:r>
        <w:rPr>
          <w:b/>
          <w:bCs/>
          <w:sz w:val="24"/>
          <w:szCs w:val="24"/>
        </w:rPr>
        <w:t xml:space="preserve">COP30: negociações apresentam resultados emblemáticos em meio a tensões geopolíticas sem precedentes. </w:t>
      </w:r>
      <w:r>
        <w:rPr>
          <w:sz w:val="24"/>
          <w:szCs w:val="24"/>
        </w:rPr>
        <w:t xml:space="preserve">Belém, 23 de nov. de 2025. Disponível em: </w:t>
      </w:r>
      <w:hyperlink r:id="rId12" w:anchor=":~:text=As%20decis%C3%B5es%20formais%20ampliaram%20os,na%20implementa%C3%A7%C3%A3o%20de%20solu%C3%A7%C3%B5es%20clim%C3%A1ticas">
        <w:r>
          <w:rPr>
            <w:sz w:val="24"/>
            <w:szCs w:val="24"/>
          </w:rPr>
          <w:t>https://cop30.br/pt-br/noticias-da-cop30/cop30-negociacoes-apresentam-resultados-emblematicos-em-meio-a-tensoes-geopoliticas-sem-precedentes#:~:text=As%20decisões%20formais%20ampliaram%20os,na%20implementação%20de%20soluções%20climáticas</w:t>
        </w:r>
      </w:hyperlink>
      <w:r>
        <w:rPr>
          <w:sz w:val="24"/>
          <w:szCs w:val="24"/>
        </w:rPr>
        <w:t>. Acesso em: 29/11/2025.</w:t>
      </w:r>
    </w:p>
    <w:p w14:paraId="00000081" w14:textId="77777777" w:rsidR="009603A2" w:rsidRDefault="00FC7FCC">
      <w:pPr>
        <w:spacing w:before="240" w:after="240"/>
        <w:jc w:val="both"/>
        <w:rPr>
          <w:color w:val="000000"/>
          <w:sz w:val="24"/>
          <w:szCs w:val="24"/>
        </w:rPr>
      </w:pPr>
      <w:r>
        <w:rPr>
          <w:color w:val="000000"/>
          <w:sz w:val="24"/>
          <w:szCs w:val="24"/>
        </w:rPr>
        <w:t xml:space="preserve">IBGE. </w:t>
      </w:r>
      <w:r>
        <w:rPr>
          <w:b/>
          <w:bCs/>
          <w:color w:val="000000"/>
          <w:sz w:val="24"/>
          <w:szCs w:val="24"/>
        </w:rPr>
        <w:t>Cidades e Estados: Imperatriz (MA )</w:t>
      </w:r>
      <w:r>
        <w:rPr>
          <w:color w:val="000000"/>
          <w:sz w:val="24"/>
          <w:szCs w:val="24"/>
        </w:rPr>
        <w:t>. Disponível em: https://www.ibge.gov.br/cidades-e-estados/ma/imperatriz.html. Acesso em: 17 nov. 2025.</w:t>
      </w:r>
    </w:p>
    <w:p w14:paraId="00000082" w14:textId="77777777" w:rsidR="009603A2" w:rsidRPr="002742B5" w:rsidRDefault="00FC7FCC">
      <w:pPr>
        <w:spacing w:before="240" w:after="240"/>
        <w:jc w:val="both"/>
        <w:rPr>
          <w:sz w:val="24"/>
          <w:szCs w:val="24"/>
          <w:lang w:val="en-US"/>
        </w:rPr>
      </w:pPr>
      <w:r>
        <w:rPr>
          <w:sz w:val="24"/>
          <w:szCs w:val="24"/>
        </w:rPr>
        <w:t xml:space="preserve">IBGE. Censo Demográfico 2022: </w:t>
      </w:r>
      <w:r>
        <w:rPr>
          <w:b/>
          <w:bCs/>
          <w:sz w:val="24"/>
          <w:szCs w:val="24"/>
        </w:rPr>
        <w:t>Agregados por Setores Censitários</w:t>
      </w:r>
      <w:r>
        <w:rPr>
          <w:sz w:val="24"/>
          <w:szCs w:val="24"/>
        </w:rPr>
        <w:t>. Rio de Janeiro: IBGE, 2023. Disponível em:</w:t>
      </w:r>
      <w:hyperlink r:id="rId13">
        <w:r>
          <w:rPr>
            <w:sz w:val="24"/>
            <w:szCs w:val="24"/>
          </w:rPr>
          <w:t xml:space="preserve"> </w:t>
        </w:r>
      </w:hyperlink>
      <w:hyperlink r:id="rId14">
        <w:r w:rsidRPr="006339CE">
          <w:rPr>
            <w:sz w:val="24"/>
            <w:szCs w:val="24"/>
          </w:rPr>
          <w:t>https://www.ibge.gov.br/estatisticas/sociais/populacao/26816-censo-demografico-2022-agregados-por-setores-censitarios.html</w:t>
        </w:r>
      </w:hyperlink>
      <w:r>
        <w:rPr>
          <w:sz w:val="24"/>
          <w:szCs w:val="24"/>
        </w:rPr>
        <w:t xml:space="preserve">. </w:t>
      </w:r>
      <w:proofErr w:type="spellStart"/>
      <w:r w:rsidRPr="002742B5">
        <w:rPr>
          <w:sz w:val="24"/>
          <w:szCs w:val="24"/>
          <w:lang w:val="en-US"/>
        </w:rPr>
        <w:t>Acesso</w:t>
      </w:r>
      <w:proofErr w:type="spellEnd"/>
      <w:r w:rsidRPr="002742B5">
        <w:rPr>
          <w:sz w:val="24"/>
          <w:szCs w:val="24"/>
          <w:lang w:val="en-US"/>
        </w:rPr>
        <w:t xml:space="preserve"> </w:t>
      </w:r>
      <w:proofErr w:type="spellStart"/>
      <w:r w:rsidRPr="002742B5">
        <w:rPr>
          <w:sz w:val="24"/>
          <w:szCs w:val="24"/>
          <w:lang w:val="en-US"/>
        </w:rPr>
        <w:t>em</w:t>
      </w:r>
      <w:proofErr w:type="spellEnd"/>
      <w:r w:rsidRPr="002742B5">
        <w:rPr>
          <w:sz w:val="24"/>
          <w:szCs w:val="24"/>
          <w:lang w:val="en-US"/>
        </w:rPr>
        <w:t xml:space="preserve">: 29 </w:t>
      </w:r>
      <w:proofErr w:type="spellStart"/>
      <w:r w:rsidRPr="002742B5">
        <w:rPr>
          <w:sz w:val="24"/>
          <w:szCs w:val="24"/>
          <w:lang w:val="en-US"/>
        </w:rPr>
        <w:t>nov.</w:t>
      </w:r>
      <w:proofErr w:type="spellEnd"/>
      <w:r w:rsidRPr="002742B5">
        <w:rPr>
          <w:sz w:val="24"/>
          <w:szCs w:val="24"/>
          <w:lang w:val="en-US"/>
        </w:rPr>
        <w:t xml:space="preserve"> 2025.</w:t>
      </w:r>
    </w:p>
    <w:p w14:paraId="00000083" w14:textId="77777777" w:rsidR="009603A2" w:rsidRPr="002742B5" w:rsidRDefault="00FC7FCC">
      <w:pPr>
        <w:spacing w:before="240" w:after="240"/>
        <w:jc w:val="both"/>
        <w:rPr>
          <w:color w:val="000000"/>
          <w:sz w:val="24"/>
          <w:szCs w:val="24"/>
          <w:lang w:val="en-US"/>
        </w:rPr>
      </w:pPr>
      <w:r w:rsidRPr="002742B5">
        <w:rPr>
          <w:color w:val="000000"/>
          <w:sz w:val="24"/>
          <w:szCs w:val="24"/>
          <w:lang w:val="en-US"/>
        </w:rPr>
        <w:t xml:space="preserve">IPCC. </w:t>
      </w:r>
      <w:r w:rsidRPr="002742B5">
        <w:rPr>
          <w:b/>
          <w:bCs/>
          <w:color w:val="000000"/>
          <w:sz w:val="24"/>
          <w:szCs w:val="24"/>
          <w:lang w:val="en-US"/>
        </w:rPr>
        <w:t>Climate Change 2022: Impacts, Adaptation and Vulnerability</w:t>
      </w:r>
      <w:r w:rsidRPr="002742B5">
        <w:rPr>
          <w:color w:val="000000"/>
          <w:sz w:val="24"/>
          <w:szCs w:val="24"/>
          <w:lang w:val="en-US"/>
        </w:rPr>
        <w:t>. 2022.</w:t>
      </w:r>
    </w:p>
    <w:p w14:paraId="00000084" w14:textId="77777777" w:rsidR="009603A2" w:rsidRDefault="00FC7FCC">
      <w:pPr>
        <w:spacing w:before="240" w:after="240"/>
        <w:jc w:val="both"/>
        <w:rPr>
          <w:color w:val="000000"/>
          <w:sz w:val="24"/>
          <w:szCs w:val="24"/>
        </w:rPr>
      </w:pPr>
      <w:r w:rsidRPr="002742B5">
        <w:rPr>
          <w:color w:val="000000"/>
          <w:sz w:val="24"/>
          <w:szCs w:val="24"/>
          <w:lang w:val="en-US"/>
        </w:rPr>
        <w:t xml:space="preserve">JUNIOR, C. H. L. S. et al. Amazon forest on the edge of collapse in the Maranhão state, Brazil. </w:t>
      </w:r>
      <w:r>
        <w:rPr>
          <w:b/>
          <w:bCs/>
          <w:color w:val="000000"/>
          <w:sz w:val="24"/>
          <w:szCs w:val="24"/>
        </w:rPr>
        <w:t>Land Use Policy</w:t>
      </w:r>
      <w:r>
        <w:rPr>
          <w:color w:val="000000"/>
          <w:sz w:val="24"/>
          <w:szCs w:val="24"/>
        </w:rPr>
        <w:t>, v. 99, 2020. Disponível em: https://www.sciencedirect.com/science/article/abs/pii/S0264837720301071. Acesso em: 17 nov. 2025.</w:t>
      </w:r>
    </w:p>
    <w:p w14:paraId="00000085" w14:textId="77777777" w:rsidR="009603A2" w:rsidRDefault="00FC7FCC">
      <w:pPr>
        <w:spacing w:before="240" w:after="240"/>
        <w:jc w:val="both"/>
        <w:rPr>
          <w:color w:val="000000"/>
          <w:sz w:val="24"/>
          <w:szCs w:val="24"/>
        </w:rPr>
      </w:pPr>
      <w:r>
        <w:rPr>
          <w:color w:val="000000"/>
          <w:sz w:val="24"/>
          <w:szCs w:val="24"/>
        </w:rPr>
        <w:t xml:space="preserve">KLIPPEL, G. et al. Avaliação do conforto térmico proporcionado pela arborização urbana em diferentes ruas de Marechal Cândido Rondon, PR. </w:t>
      </w:r>
      <w:r>
        <w:rPr>
          <w:b/>
          <w:bCs/>
          <w:color w:val="000000"/>
          <w:sz w:val="24"/>
          <w:szCs w:val="24"/>
        </w:rPr>
        <w:t>Revista Árvore</w:t>
      </w:r>
      <w:r>
        <w:rPr>
          <w:color w:val="000000"/>
          <w:sz w:val="24"/>
          <w:szCs w:val="24"/>
        </w:rPr>
        <w:t>, Viçosa, v. 39, n. 5, p. 803-811, 2015. Disponível em: https://www.scielo.br/j/rarv/a/9P54h9qV6d9d4t9y6z4g4w/. Acesso em: 28 nov. 2025.</w:t>
      </w:r>
    </w:p>
    <w:p w14:paraId="00000086" w14:textId="77777777" w:rsidR="009603A2" w:rsidRDefault="00FC7FCC">
      <w:pPr>
        <w:spacing w:before="240" w:after="240"/>
        <w:jc w:val="both"/>
        <w:rPr>
          <w:color w:val="000000"/>
          <w:sz w:val="24"/>
          <w:szCs w:val="24"/>
        </w:rPr>
      </w:pPr>
      <w:r>
        <w:rPr>
          <w:color w:val="000000"/>
          <w:sz w:val="24"/>
          <w:szCs w:val="24"/>
        </w:rPr>
        <w:t xml:space="preserve">LIMA, V.; AMORIM, M. C. de C. T. A Importância das Áreas Verdes para a qualidade Ambiental das cidades. </w:t>
      </w:r>
      <w:r>
        <w:rPr>
          <w:b/>
          <w:bCs/>
          <w:color w:val="000000"/>
          <w:sz w:val="24"/>
          <w:szCs w:val="24"/>
        </w:rPr>
        <w:t xml:space="preserve">Formação, </w:t>
      </w:r>
      <w:r>
        <w:rPr>
          <w:color w:val="000000"/>
          <w:sz w:val="24"/>
          <w:szCs w:val="24"/>
        </w:rPr>
        <w:t xml:space="preserve">Presidente Prudente, v. 1, n. 10, p. 1-14, 2003. Disponível em: </w:t>
      </w:r>
      <w:hyperlink r:id="rId15">
        <w:r>
          <w:rPr>
            <w:color w:val="000000"/>
            <w:sz w:val="24"/>
            <w:szCs w:val="24"/>
          </w:rPr>
          <w:t>https://revista.fct.unesp.br/index.php/formacao/article/download/835/849./0</w:t>
        </w:r>
      </w:hyperlink>
      <w:r>
        <w:rPr>
          <w:sz w:val="24"/>
          <w:szCs w:val="24"/>
        </w:rPr>
        <w:t xml:space="preserve">. </w:t>
      </w:r>
      <w:r>
        <w:rPr>
          <w:color w:val="000000"/>
          <w:sz w:val="24"/>
          <w:szCs w:val="24"/>
        </w:rPr>
        <w:t>Acesso em: 27 nov. 2025.</w:t>
      </w:r>
    </w:p>
    <w:p w14:paraId="00000087" w14:textId="77777777" w:rsidR="009603A2" w:rsidRPr="002742B5" w:rsidRDefault="00FC7FCC">
      <w:pPr>
        <w:spacing w:before="240" w:after="240"/>
        <w:jc w:val="both"/>
        <w:rPr>
          <w:color w:val="000000"/>
          <w:sz w:val="24"/>
          <w:szCs w:val="24"/>
          <w:lang w:val="en-US"/>
        </w:rPr>
      </w:pPr>
      <w:r>
        <w:rPr>
          <w:color w:val="000000"/>
          <w:sz w:val="24"/>
          <w:szCs w:val="24"/>
        </w:rPr>
        <w:t xml:space="preserve">MAPBIOMAS. </w:t>
      </w:r>
      <w:r>
        <w:rPr>
          <w:b/>
          <w:bCs/>
          <w:color w:val="000000"/>
          <w:sz w:val="24"/>
          <w:szCs w:val="24"/>
        </w:rPr>
        <w:t>Perda de vegetação nativa no Brasil acelerou na última década</w:t>
      </w:r>
      <w:r>
        <w:rPr>
          <w:color w:val="000000"/>
          <w:sz w:val="24"/>
          <w:szCs w:val="24"/>
        </w:rPr>
        <w:t xml:space="preserve">. MapBiomas Brasil, 31 ago. 2023. Disponível em: https://brasil.mapbiomas.org/2023/08/31/perda-de-vegetacao-nativa-no-brasil-acelerou-na-ultima-decada/. </w:t>
      </w:r>
      <w:proofErr w:type="spellStart"/>
      <w:r w:rsidRPr="002742B5">
        <w:rPr>
          <w:color w:val="000000"/>
          <w:sz w:val="24"/>
          <w:szCs w:val="24"/>
          <w:lang w:val="en-US"/>
        </w:rPr>
        <w:t>Acesso</w:t>
      </w:r>
      <w:proofErr w:type="spellEnd"/>
      <w:r w:rsidRPr="002742B5">
        <w:rPr>
          <w:color w:val="000000"/>
          <w:sz w:val="24"/>
          <w:szCs w:val="24"/>
          <w:lang w:val="en-US"/>
        </w:rPr>
        <w:t xml:space="preserve"> </w:t>
      </w:r>
      <w:proofErr w:type="spellStart"/>
      <w:r w:rsidRPr="002742B5">
        <w:rPr>
          <w:color w:val="000000"/>
          <w:sz w:val="24"/>
          <w:szCs w:val="24"/>
          <w:lang w:val="en-US"/>
        </w:rPr>
        <w:t>em</w:t>
      </w:r>
      <w:proofErr w:type="spellEnd"/>
      <w:r w:rsidRPr="002742B5">
        <w:rPr>
          <w:color w:val="000000"/>
          <w:sz w:val="24"/>
          <w:szCs w:val="24"/>
          <w:lang w:val="en-US"/>
        </w:rPr>
        <w:t xml:space="preserve">: 25 </w:t>
      </w:r>
      <w:proofErr w:type="spellStart"/>
      <w:r w:rsidRPr="002742B5">
        <w:rPr>
          <w:color w:val="000000"/>
          <w:sz w:val="24"/>
          <w:szCs w:val="24"/>
          <w:lang w:val="en-US"/>
        </w:rPr>
        <w:t>nov.</w:t>
      </w:r>
      <w:proofErr w:type="spellEnd"/>
      <w:r w:rsidRPr="002742B5">
        <w:rPr>
          <w:color w:val="000000"/>
          <w:sz w:val="24"/>
          <w:szCs w:val="24"/>
          <w:lang w:val="en-US"/>
        </w:rPr>
        <w:t xml:space="preserve"> 2025.</w:t>
      </w:r>
    </w:p>
    <w:p w14:paraId="00000088" w14:textId="77777777" w:rsidR="009603A2" w:rsidRDefault="00FC7FCC">
      <w:pPr>
        <w:spacing w:before="240" w:after="240"/>
        <w:jc w:val="both"/>
        <w:rPr>
          <w:color w:val="000000"/>
          <w:sz w:val="24"/>
          <w:szCs w:val="24"/>
        </w:rPr>
      </w:pPr>
      <w:r w:rsidRPr="002742B5">
        <w:rPr>
          <w:color w:val="000000"/>
          <w:sz w:val="24"/>
          <w:szCs w:val="24"/>
          <w:lang w:val="en-US"/>
        </w:rPr>
        <w:t xml:space="preserve">MATOS, K. C.; FALCÃO, A. L. S.; LOPES, W. G. R.; SANTIAGO, D. R; SAMPAIO, I. M. R. Importance of urban plans and open spaces for urban sustainability: study in the city of </w:t>
      </w:r>
      <w:r w:rsidRPr="002742B5">
        <w:rPr>
          <w:color w:val="000000"/>
          <w:sz w:val="24"/>
          <w:szCs w:val="24"/>
          <w:lang w:val="en-US"/>
        </w:rPr>
        <w:lastRenderedPageBreak/>
        <w:t xml:space="preserve">Teresina, Piauí. </w:t>
      </w:r>
      <w:r w:rsidRPr="002742B5">
        <w:rPr>
          <w:b/>
          <w:bCs/>
          <w:color w:val="000000"/>
          <w:sz w:val="24"/>
          <w:szCs w:val="24"/>
          <w:lang w:val="en-US"/>
        </w:rPr>
        <w:t>Research, Society and Development</w:t>
      </w:r>
      <w:r w:rsidRPr="002742B5">
        <w:rPr>
          <w:color w:val="000000"/>
          <w:sz w:val="24"/>
          <w:szCs w:val="24"/>
          <w:lang w:val="en-US"/>
        </w:rPr>
        <w:t xml:space="preserve">, v. 9, n. 10, 2020. </w:t>
      </w:r>
      <w:proofErr w:type="spellStart"/>
      <w:r w:rsidRPr="002742B5">
        <w:rPr>
          <w:color w:val="000000"/>
          <w:sz w:val="24"/>
          <w:szCs w:val="24"/>
          <w:lang w:val="en-US"/>
        </w:rPr>
        <w:t>Disponível</w:t>
      </w:r>
      <w:proofErr w:type="spellEnd"/>
      <w:r w:rsidRPr="002742B5">
        <w:rPr>
          <w:color w:val="000000"/>
          <w:sz w:val="24"/>
          <w:szCs w:val="24"/>
          <w:lang w:val="en-US"/>
        </w:rPr>
        <w:t xml:space="preserve"> </w:t>
      </w:r>
      <w:proofErr w:type="spellStart"/>
      <w:r w:rsidRPr="002742B5">
        <w:rPr>
          <w:color w:val="000000"/>
          <w:sz w:val="24"/>
          <w:szCs w:val="24"/>
          <w:lang w:val="en-US"/>
        </w:rPr>
        <w:t>em</w:t>
      </w:r>
      <w:proofErr w:type="spellEnd"/>
      <w:r w:rsidRPr="002742B5">
        <w:rPr>
          <w:color w:val="000000"/>
          <w:sz w:val="24"/>
          <w:szCs w:val="24"/>
          <w:lang w:val="en-US"/>
        </w:rPr>
        <w:t xml:space="preserve">: </w:t>
      </w:r>
      <w:hyperlink r:id="rId16">
        <w:r w:rsidRPr="002742B5">
          <w:rPr>
            <w:color w:val="000000"/>
            <w:sz w:val="24"/>
            <w:szCs w:val="24"/>
            <w:lang w:val="en-US"/>
          </w:rPr>
          <w:t>https://rsdjournal.org/index.php/rsd/article/view/8290</w:t>
        </w:r>
      </w:hyperlink>
      <w:r w:rsidRPr="002742B5">
        <w:rPr>
          <w:sz w:val="24"/>
          <w:szCs w:val="24"/>
          <w:lang w:val="en-US"/>
        </w:rPr>
        <w:t xml:space="preserve">. </w:t>
      </w:r>
      <w:r>
        <w:rPr>
          <w:color w:val="000000"/>
          <w:sz w:val="24"/>
          <w:szCs w:val="24"/>
        </w:rPr>
        <w:t>Acesso em: 27 nov. 2025.</w:t>
      </w:r>
    </w:p>
    <w:p w14:paraId="00000089" w14:textId="77777777" w:rsidR="009603A2" w:rsidRDefault="00FC7FCC">
      <w:pPr>
        <w:spacing w:before="240" w:after="240"/>
        <w:jc w:val="both"/>
        <w:rPr>
          <w:color w:val="000000"/>
          <w:sz w:val="24"/>
          <w:szCs w:val="24"/>
        </w:rPr>
      </w:pPr>
      <w:r>
        <w:rPr>
          <w:color w:val="000000"/>
          <w:sz w:val="24"/>
          <w:szCs w:val="24"/>
        </w:rPr>
        <w:t xml:space="preserve">MMA. </w:t>
      </w:r>
      <w:r>
        <w:rPr>
          <w:b/>
          <w:bCs/>
          <w:color w:val="000000"/>
          <w:sz w:val="24"/>
          <w:szCs w:val="24"/>
        </w:rPr>
        <w:t>Estratégias Nacionais para Infraestrutura Verde</w:t>
      </w:r>
      <w:r>
        <w:rPr>
          <w:color w:val="000000"/>
          <w:sz w:val="24"/>
          <w:szCs w:val="24"/>
        </w:rPr>
        <w:t>. Brasília, DF: MMA, 2023.</w:t>
      </w:r>
    </w:p>
    <w:p w14:paraId="0000008A" w14:textId="77777777" w:rsidR="009603A2" w:rsidRDefault="00FC7FCC">
      <w:pPr>
        <w:spacing w:before="240" w:after="240"/>
        <w:jc w:val="both"/>
        <w:rPr>
          <w:color w:val="000000"/>
          <w:sz w:val="24"/>
          <w:szCs w:val="24"/>
        </w:rPr>
      </w:pPr>
      <w:r>
        <w:rPr>
          <w:color w:val="000000"/>
          <w:sz w:val="24"/>
          <w:szCs w:val="24"/>
        </w:rPr>
        <w:t xml:space="preserve">ONU-HABITAT. </w:t>
      </w:r>
      <w:r>
        <w:rPr>
          <w:b/>
          <w:bCs/>
          <w:color w:val="000000"/>
          <w:sz w:val="24"/>
          <w:szCs w:val="24"/>
        </w:rPr>
        <w:t>Circuito Urbano 2025 e Summit SP+Verde</w:t>
      </w:r>
      <w:r>
        <w:rPr>
          <w:color w:val="000000"/>
          <w:sz w:val="24"/>
          <w:szCs w:val="24"/>
        </w:rPr>
        <w:t>. 2025. Disponível em: https://brasil.un.org/pt-br/302428-com-408-eventos-circuito-urbano-2025-debate-soluções-para-desafios-urbanos. Acesso em: 02 nov. 2025.</w:t>
      </w:r>
    </w:p>
    <w:p w14:paraId="0000008B" w14:textId="77777777" w:rsidR="009603A2" w:rsidRDefault="00FC7FCC">
      <w:pPr>
        <w:spacing w:before="240" w:after="240"/>
        <w:jc w:val="both"/>
        <w:rPr>
          <w:color w:val="000000"/>
          <w:sz w:val="24"/>
          <w:szCs w:val="24"/>
        </w:rPr>
      </w:pPr>
      <w:r>
        <w:rPr>
          <w:color w:val="000000"/>
          <w:sz w:val="24"/>
          <w:szCs w:val="24"/>
        </w:rPr>
        <w:t xml:space="preserve">ORGANIZAÇÃO DAS NAÇÕES UNIDAS. </w:t>
      </w:r>
      <w:r>
        <w:rPr>
          <w:b/>
          <w:bCs/>
          <w:color w:val="000000"/>
          <w:sz w:val="24"/>
          <w:szCs w:val="24"/>
        </w:rPr>
        <w:t>Objetivos de Desenvolvimento Sustentável – ODS 11</w:t>
      </w:r>
      <w:r>
        <w:rPr>
          <w:color w:val="000000"/>
          <w:sz w:val="24"/>
          <w:szCs w:val="24"/>
        </w:rPr>
        <w:t>. 2015. Disponível em: https://brasil.un.org/pt-br/sdgs/11. Acesso em: 02 nov. 2025.</w:t>
      </w:r>
    </w:p>
    <w:p w14:paraId="0000008C" w14:textId="77777777" w:rsidR="009603A2" w:rsidRDefault="00FC7FCC">
      <w:pPr>
        <w:spacing w:before="240" w:after="240"/>
        <w:jc w:val="both"/>
        <w:rPr>
          <w:color w:val="000000"/>
          <w:sz w:val="24"/>
          <w:szCs w:val="24"/>
        </w:rPr>
      </w:pPr>
      <w:r>
        <w:rPr>
          <w:color w:val="000000"/>
          <w:sz w:val="24"/>
          <w:szCs w:val="24"/>
        </w:rPr>
        <w:t xml:space="preserve">PINTO, T. P. COP 30: último ato ou nova cena no meio climático global? </w:t>
      </w:r>
      <w:r>
        <w:rPr>
          <w:b/>
          <w:bCs/>
          <w:color w:val="000000"/>
          <w:sz w:val="24"/>
          <w:szCs w:val="24"/>
        </w:rPr>
        <w:t>Agroanalysis</w:t>
      </w:r>
      <w:r>
        <w:rPr>
          <w:color w:val="000000"/>
          <w:sz w:val="24"/>
          <w:szCs w:val="24"/>
        </w:rPr>
        <w:t>, Rio de Janeiro, v. 45, n. 1, p. 2-3, jan./fev. 2025. Disponível em: https://periodicos.fgv.br/agroanalysis/article/download/93128/87204. Acesso em: 26 nov. 2025.</w:t>
      </w:r>
    </w:p>
    <w:p w14:paraId="0000008D" w14:textId="77777777" w:rsidR="009603A2" w:rsidRDefault="00FC7FCC">
      <w:pPr>
        <w:spacing w:before="240" w:after="240"/>
        <w:jc w:val="both"/>
        <w:rPr>
          <w:color w:val="000000"/>
          <w:sz w:val="24"/>
          <w:szCs w:val="24"/>
        </w:rPr>
      </w:pPr>
      <w:r>
        <w:rPr>
          <w:color w:val="000000"/>
          <w:sz w:val="24"/>
          <w:szCs w:val="24"/>
        </w:rPr>
        <w:t xml:space="preserve">PRIMACK, R. B. </w:t>
      </w:r>
      <w:r>
        <w:rPr>
          <w:b/>
          <w:bCs/>
          <w:color w:val="000000"/>
          <w:sz w:val="24"/>
          <w:szCs w:val="24"/>
        </w:rPr>
        <w:t>Biologia da conservação</w:t>
      </w:r>
      <w:r>
        <w:rPr>
          <w:color w:val="000000"/>
          <w:sz w:val="24"/>
          <w:szCs w:val="24"/>
        </w:rPr>
        <w:t>. 2. ed. São Paulo: Pearson Education do Brasil, 2014.</w:t>
      </w:r>
    </w:p>
    <w:p w14:paraId="0000008E" w14:textId="77777777" w:rsidR="009603A2" w:rsidRDefault="00FC7FCC">
      <w:pPr>
        <w:spacing w:before="240" w:after="240"/>
        <w:jc w:val="both"/>
        <w:rPr>
          <w:color w:val="000000"/>
          <w:sz w:val="24"/>
          <w:szCs w:val="24"/>
        </w:rPr>
      </w:pPr>
      <w:r>
        <w:rPr>
          <w:color w:val="000000"/>
          <w:sz w:val="24"/>
          <w:szCs w:val="24"/>
        </w:rPr>
        <w:t xml:space="preserve">RODRIGUES, M. L. G. B. et al. Diagnóstico Ambiental da Bacia Hidrográfica do Riacho Capivara na Cidade de Imperatriz-Maranhão. </w:t>
      </w:r>
      <w:r>
        <w:rPr>
          <w:b/>
          <w:bCs/>
          <w:color w:val="000000"/>
          <w:sz w:val="24"/>
          <w:szCs w:val="24"/>
        </w:rPr>
        <w:t>Revista Brasileira de Geografia Física</w:t>
      </w:r>
      <w:r>
        <w:rPr>
          <w:color w:val="000000"/>
          <w:sz w:val="24"/>
          <w:szCs w:val="24"/>
        </w:rPr>
        <w:t>, 2019. Disponível em: https://search.ebscohost.com/login.aspx?direct=true&amp;profile=ehost&amp;scope=site&amp;authtype=crawler&amp;jrnl=18066356&amp;AN=140348168&amp;h=rxauV6pkmnW75sYtTDrl2ZUxuKv4M9El5dETQFK8luxMpXDydYiIui3fXFynRRw7Rwlg%2B0EgZWLPouI4xuW5%2FA%3D%3D&amp;crl=c. Acesso em: 25 nov. 2025.</w:t>
      </w:r>
    </w:p>
    <w:p w14:paraId="0000008F" w14:textId="77777777" w:rsidR="009603A2" w:rsidRDefault="00FC7FCC">
      <w:pPr>
        <w:spacing w:before="240" w:after="240"/>
        <w:jc w:val="both"/>
        <w:rPr>
          <w:color w:val="000000"/>
          <w:sz w:val="24"/>
          <w:szCs w:val="24"/>
        </w:rPr>
      </w:pPr>
      <w:r>
        <w:rPr>
          <w:color w:val="000000"/>
          <w:sz w:val="24"/>
          <w:szCs w:val="24"/>
        </w:rPr>
        <w:t xml:space="preserve">ROSSO, P.; BENINCÁ, E. M.; FRAGA, F. B. F.F de; TONETTO, G. </w:t>
      </w:r>
      <w:r>
        <w:t xml:space="preserve">Áreas Verdes Urbanas e Trilhas Ecológicas como Locais e Instrumentos de Educação Ambiental. In: </w:t>
      </w:r>
      <w:r>
        <w:rPr>
          <w:b/>
          <w:bCs/>
        </w:rPr>
        <w:t>Revista Brazileira de Educação Ambiental</w:t>
      </w:r>
      <w:r>
        <w:t>. São Paulo: RevBEA, v. 16, n. 4, p.536-553, 2021.</w:t>
      </w:r>
    </w:p>
    <w:p w14:paraId="00000090" w14:textId="77777777" w:rsidR="009603A2" w:rsidRDefault="00FC7FCC">
      <w:pPr>
        <w:spacing w:before="240" w:after="240"/>
        <w:jc w:val="both"/>
        <w:rPr>
          <w:color w:val="000000"/>
          <w:sz w:val="24"/>
          <w:szCs w:val="24"/>
        </w:rPr>
      </w:pPr>
      <w:r>
        <w:rPr>
          <w:color w:val="000000"/>
          <w:sz w:val="24"/>
          <w:szCs w:val="24"/>
        </w:rPr>
        <w:t xml:space="preserve">SANTOS, R. S. </w:t>
      </w:r>
      <w:r>
        <w:rPr>
          <w:i/>
          <w:iCs/>
          <w:color w:val="000000"/>
          <w:sz w:val="24"/>
          <w:szCs w:val="24"/>
        </w:rPr>
        <w:t>et al</w:t>
      </w:r>
      <w:r>
        <w:rPr>
          <w:color w:val="000000"/>
          <w:sz w:val="24"/>
          <w:szCs w:val="24"/>
        </w:rPr>
        <w:t xml:space="preserve">. Evolução da cobertura vegetal e gestão ambiental no Parque Arara Azul, Imperatriz-MA. In: </w:t>
      </w:r>
      <w:r>
        <w:rPr>
          <w:b/>
          <w:bCs/>
          <w:color w:val="000000"/>
          <w:sz w:val="24"/>
          <w:szCs w:val="24"/>
        </w:rPr>
        <w:t>ANAIS DO IV CONECTA UFRA: Amazônia, Ciência &amp; Sociedade</w:t>
      </w:r>
      <w:r>
        <w:rPr>
          <w:color w:val="000000"/>
          <w:sz w:val="24"/>
          <w:szCs w:val="24"/>
        </w:rPr>
        <w:t>. Belém: UFRA, 2024. Disponível em: https://www.even3.com.br/anais/iv-conecta-ufra/1025360-evolucao-da-cobertura-vegetal-e-gestao-ambiental-no-parque-arara-azul-imperatriz-ma. Acesso em: 02 nov. 2025.</w:t>
      </w:r>
    </w:p>
    <w:p w14:paraId="00000091" w14:textId="77777777" w:rsidR="009603A2" w:rsidRPr="002742B5" w:rsidRDefault="00FC7FCC">
      <w:pPr>
        <w:spacing w:before="240" w:after="240"/>
        <w:jc w:val="both"/>
        <w:rPr>
          <w:color w:val="000000"/>
          <w:sz w:val="24"/>
          <w:szCs w:val="24"/>
          <w:lang w:val="en-US"/>
        </w:rPr>
      </w:pPr>
      <w:r>
        <w:rPr>
          <w:color w:val="000000"/>
          <w:sz w:val="24"/>
          <w:szCs w:val="24"/>
        </w:rPr>
        <w:t xml:space="preserve">SOLERA, M. L. </w:t>
      </w:r>
      <w:r>
        <w:rPr>
          <w:i/>
          <w:iCs/>
          <w:color w:val="000000"/>
          <w:sz w:val="24"/>
          <w:szCs w:val="24"/>
        </w:rPr>
        <w:t>et al</w:t>
      </w:r>
      <w:r>
        <w:rPr>
          <w:color w:val="000000"/>
          <w:sz w:val="24"/>
          <w:szCs w:val="24"/>
        </w:rPr>
        <w:t xml:space="preserve">. Infraestrutura verde: alternativa para a criação de cidades resilientes e sustentáveis. </w:t>
      </w:r>
      <w:r>
        <w:rPr>
          <w:b/>
          <w:bCs/>
          <w:color w:val="000000"/>
          <w:sz w:val="24"/>
          <w:szCs w:val="24"/>
        </w:rPr>
        <w:t xml:space="preserve">Redução do risco de desastres e a resiliência no meio rural e urbano. </w:t>
      </w:r>
      <w:r>
        <w:rPr>
          <w:color w:val="000000"/>
          <w:sz w:val="24"/>
          <w:szCs w:val="24"/>
        </w:rPr>
        <w:t xml:space="preserve">2020, p. 841 – 854. Disponível em: </w:t>
      </w:r>
      <w:hyperlink r:id="rId17">
        <w:r>
          <w:rPr>
            <w:color w:val="000000"/>
            <w:sz w:val="24"/>
            <w:szCs w:val="24"/>
          </w:rPr>
          <w:t>https://www.agbbauru.org.br/publicacoes/Reducao2020/Reducao_2ed-2020-49.pdf</w:t>
        </w:r>
      </w:hyperlink>
      <w:r>
        <w:rPr>
          <w:color w:val="000000"/>
          <w:sz w:val="24"/>
          <w:szCs w:val="24"/>
        </w:rPr>
        <w:t xml:space="preserve">. </w:t>
      </w:r>
      <w:proofErr w:type="spellStart"/>
      <w:r w:rsidRPr="002742B5">
        <w:rPr>
          <w:color w:val="000000"/>
          <w:sz w:val="24"/>
          <w:szCs w:val="24"/>
          <w:lang w:val="en-US"/>
        </w:rPr>
        <w:t>Acesso</w:t>
      </w:r>
      <w:proofErr w:type="spellEnd"/>
      <w:r w:rsidRPr="002742B5">
        <w:rPr>
          <w:color w:val="000000"/>
          <w:sz w:val="24"/>
          <w:szCs w:val="24"/>
          <w:lang w:val="en-US"/>
        </w:rPr>
        <w:t xml:space="preserve"> </w:t>
      </w:r>
      <w:proofErr w:type="spellStart"/>
      <w:r w:rsidRPr="002742B5">
        <w:rPr>
          <w:color w:val="000000"/>
          <w:sz w:val="24"/>
          <w:szCs w:val="24"/>
          <w:lang w:val="en-US"/>
        </w:rPr>
        <w:t>em</w:t>
      </w:r>
      <w:proofErr w:type="spellEnd"/>
      <w:r w:rsidRPr="002742B5">
        <w:rPr>
          <w:color w:val="000000"/>
          <w:sz w:val="24"/>
          <w:szCs w:val="24"/>
          <w:lang w:val="en-US"/>
        </w:rPr>
        <w:t xml:space="preserve"> 27 </w:t>
      </w:r>
      <w:proofErr w:type="spellStart"/>
      <w:r w:rsidRPr="002742B5">
        <w:rPr>
          <w:color w:val="000000"/>
          <w:sz w:val="24"/>
          <w:szCs w:val="24"/>
          <w:lang w:val="en-US"/>
        </w:rPr>
        <w:t>nov.</w:t>
      </w:r>
      <w:proofErr w:type="spellEnd"/>
      <w:r w:rsidRPr="002742B5">
        <w:rPr>
          <w:color w:val="000000"/>
          <w:sz w:val="24"/>
          <w:szCs w:val="24"/>
          <w:lang w:val="en-US"/>
        </w:rPr>
        <w:t xml:space="preserve"> 2025.</w:t>
      </w:r>
    </w:p>
    <w:p w14:paraId="00000092" w14:textId="77777777" w:rsidR="009603A2" w:rsidRDefault="00FC7FCC">
      <w:pPr>
        <w:rPr>
          <w:sz w:val="24"/>
          <w:szCs w:val="24"/>
        </w:rPr>
      </w:pPr>
      <w:r w:rsidRPr="002742B5">
        <w:rPr>
          <w:sz w:val="24"/>
          <w:szCs w:val="24"/>
          <w:lang w:val="en-US"/>
        </w:rPr>
        <w:t xml:space="preserve">WORLD BANK. Urban population (% of total population) - Brazil. </w:t>
      </w:r>
      <w:r>
        <w:rPr>
          <w:b/>
          <w:bCs/>
          <w:sz w:val="24"/>
          <w:szCs w:val="24"/>
        </w:rPr>
        <w:t>The World Bank Data</w:t>
      </w:r>
      <w:r>
        <w:rPr>
          <w:sz w:val="24"/>
          <w:szCs w:val="24"/>
        </w:rPr>
        <w:t xml:space="preserve">, 2024. Disponível em: </w:t>
      </w:r>
      <w:r>
        <w:rPr>
          <w:sz w:val="24"/>
          <w:szCs w:val="24"/>
        </w:rPr>
        <w:lastRenderedPageBreak/>
        <w:t>https://data.worldbank.org/indicator/SP.URB.TOTL.IN.ZS?locations=BR. Acesso em: 29 nov. 2025.</w:t>
      </w:r>
    </w:p>
    <w:sectPr w:rsidR="009603A2">
      <w:headerReference w:type="default" r:id="rId18"/>
      <w:footerReference w:type="default" r:id="rId19"/>
      <w:pgSz w:w="11910" w:h="16840"/>
      <w:pgMar w:top="1701" w:right="1134" w:bottom="1134" w:left="1701"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 w:author="Author" w:initials="A">
    <w:p w14:paraId="00000098" w14:textId="062F0D0C" w:rsidR="009603A2" w:rsidRDefault="00FC7FCC">
      <w:pPr>
        <w:pBdr>
          <w:top w:val="nil"/>
          <w:left w:val="nil"/>
          <w:bottom w:val="nil"/>
          <w:right w:val="nil"/>
          <w:between w:val="nil"/>
        </w:pBdr>
        <w:rPr>
          <w:rFonts w:ascii="Arial" w:eastAsia="Arial" w:hAnsi="Arial" w:cs="Arial"/>
          <w:color w:val="000000"/>
        </w:rPr>
      </w:pPr>
      <w:r>
        <w:rPr>
          <w:rFonts w:ascii="Arial" w:eastAsia="Arial" w:hAnsi="Arial" w:cs="Arial"/>
          <w:color w:val="000000"/>
        </w:rPr>
        <w:t>Quais foram os marcos? Coloca um de cada cor e legenda, para explicar os marcos ocorridos durante os anos, e o qeu foi feito, se teve exito.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098"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098" w16cid:durableId="2CD5D67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A00265" w14:textId="77777777" w:rsidR="002C4516" w:rsidRDefault="002C4516">
      <w:r>
        <w:separator/>
      </w:r>
    </w:p>
  </w:endnote>
  <w:endnote w:type="continuationSeparator" w:id="0">
    <w:p w14:paraId="45E39BAF" w14:textId="77777777" w:rsidR="002C4516" w:rsidRDefault="002C45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68BC2338-0DE5-41DC-96CC-C3DCACFA93AA}"/>
  </w:font>
  <w:font w:name="Georgia">
    <w:panose1 w:val="02040502050405020303"/>
    <w:charset w:val="00"/>
    <w:family w:val="roman"/>
    <w:pitch w:val="variable"/>
    <w:sig w:usb0="00000287" w:usb1="00000000" w:usb2="00000000" w:usb3="00000000" w:csb0="0000009F" w:csb1="00000000"/>
    <w:embedItalic r:id="rId2" w:fontKey="{BCE8C1D5-EB7E-47FE-8DB4-BDC9049A7D3B}"/>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7AAD812B-ED5B-4A5F-9347-58021B1BFD35}"/>
  </w:font>
  <w:font w:name="Calibri">
    <w:panose1 w:val="020F0502020204030204"/>
    <w:charset w:val="00"/>
    <w:family w:val="swiss"/>
    <w:pitch w:val="variable"/>
    <w:sig w:usb0="E4002EFF" w:usb1="C200247B" w:usb2="00000009" w:usb3="00000000" w:csb0="000001FF" w:csb1="00000000"/>
    <w:embedRegular r:id="rId4" w:fontKey="{CF8D1CA6-5025-4AF7-805B-5D9458D745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4" w14:textId="77777777" w:rsidR="009603A2" w:rsidRDefault="00FC7FCC">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8240" behindDoc="0" locked="0" layoutInCell="1" hidden="0" allowOverlap="1" wp14:anchorId="434FE5BA" wp14:editId="6B2CE6A9">
          <wp:simplePos x="0" y="0"/>
          <wp:positionH relativeFrom="column">
            <wp:posOffset>3</wp:posOffset>
          </wp:positionH>
          <wp:positionV relativeFrom="paragraph">
            <wp:posOffset>6350</wp:posOffset>
          </wp:positionV>
          <wp:extent cx="600075" cy="191770"/>
          <wp:effectExtent l="0" t="0" r="0" b="0"/>
          <wp:wrapSquare wrapText="bothSides" distT="0" distB="0" distL="114300" distR="114300"/>
          <wp:docPr id="213077890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600075" cy="19177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3499D649" wp14:editId="0CBE6FC9">
          <wp:simplePos x="0" y="0"/>
          <wp:positionH relativeFrom="column">
            <wp:posOffset>850900</wp:posOffset>
          </wp:positionH>
          <wp:positionV relativeFrom="paragraph">
            <wp:posOffset>164465</wp:posOffset>
          </wp:positionV>
          <wp:extent cx="1231265" cy="384175"/>
          <wp:effectExtent l="0" t="0" r="0" b="0"/>
          <wp:wrapSquare wrapText="bothSides" distT="0" distB="0" distL="114300" distR="114300"/>
          <wp:docPr id="21307789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231265" cy="38417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00D32D84" wp14:editId="4085DCF9">
          <wp:simplePos x="0" y="0"/>
          <wp:positionH relativeFrom="column">
            <wp:posOffset>2644140</wp:posOffset>
          </wp:positionH>
          <wp:positionV relativeFrom="paragraph">
            <wp:posOffset>0</wp:posOffset>
          </wp:positionV>
          <wp:extent cx="419100" cy="241935"/>
          <wp:effectExtent l="0" t="0" r="0" b="0"/>
          <wp:wrapSquare wrapText="bothSides" distT="0" distB="0" distL="114300" distR="114300"/>
          <wp:docPr id="21307789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
                  <a:srcRect/>
                  <a:stretch>
                    <a:fillRect/>
                  </a:stretch>
                </pic:blipFill>
                <pic:spPr>
                  <a:xfrm>
                    <a:off x="0" y="0"/>
                    <a:ext cx="419100" cy="241935"/>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6A7B02E3" wp14:editId="0C2AC03E">
          <wp:simplePos x="0" y="0"/>
          <wp:positionH relativeFrom="column">
            <wp:posOffset>3139440</wp:posOffset>
          </wp:positionH>
          <wp:positionV relativeFrom="paragraph">
            <wp:posOffset>184785</wp:posOffset>
          </wp:positionV>
          <wp:extent cx="542290" cy="384175"/>
          <wp:effectExtent l="0" t="0" r="0" b="0"/>
          <wp:wrapSquare wrapText="bothSides" distT="0" distB="0" distL="114300" distR="114300"/>
          <wp:docPr id="213077890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
                  <a:srcRect/>
                  <a:stretch>
                    <a:fillRect/>
                  </a:stretch>
                </pic:blipFill>
                <pic:spPr>
                  <a:xfrm>
                    <a:off x="0" y="0"/>
                    <a:ext cx="542290" cy="384175"/>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5F1DD513" wp14:editId="16842FD8">
          <wp:simplePos x="0" y="0"/>
          <wp:positionH relativeFrom="column">
            <wp:posOffset>3910965</wp:posOffset>
          </wp:positionH>
          <wp:positionV relativeFrom="paragraph">
            <wp:posOffset>188595</wp:posOffset>
          </wp:positionV>
          <wp:extent cx="914400" cy="353695"/>
          <wp:effectExtent l="0" t="0" r="0" b="0"/>
          <wp:wrapSquare wrapText="bothSides" distT="0" distB="0" distL="114300" distR="114300"/>
          <wp:docPr id="21307789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914400" cy="353695"/>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682C2132" wp14:editId="0002700E">
          <wp:simplePos x="0" y="0"/>
          <wp:positionH relativeFrom="column">
            <wp:posOffset>5006340</wp:posOffset>
          </wp:positionH>
          <wp:positionV relativeFrom="paragraph">
            <wp:posOffset>194310</wp:posOffset>
          </wp:positionV>
          <wp:extent cx="756285" cy="335280"/>
          <wp:effectExtent l="0" t="0" r="0" b="0"/>
          <wp:wrapSquare wrapText="bothSides" distT="0" distB="0" distL="114300" distR="114300"/>
          <wp:docPr id="21307789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756285" cy="33528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22E1E8" w14:textId="77777777" w:rsidR="002C4516" w:rsidRDefault="002C4516">
      <w:r>
        <w:separator/>
      </w:r>
    </w:p>
  </w:footnote>
  <w:footnote w:type="continuationSeparator" w:id="0">
    <w:p w14:paraId="3F667E94" w14:textId="77777777" w:rsidR="002C4516" w:rsidRDefault="002C45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3" w14:textId="77777777" w:rsidR="009603A2" w:rsidRDefault="00FC7FCC">
    <w:pPr>
      <w:pBdr>
        <w:top w:val="nil"/>
        <w:left w:val="nil"/>
        <w:bottom w:val="nil"/>
        <w:right w:val="nil"/>
        <w:between w:val="nil"/>
      </w:pBdr>
      <w:tabs>
        <w:tab w:val="center" w:pos="4252"/>
        <w:tab w:val="right" w:pos="8504"/>
      </w:tabs>
      <w:jc w:val="center"/>
      <w:rPr>
        <w:color w:val="000000"/>
      </w:rPr>
    </w:pPr>
    <w:r>
      <w:rPr>
        <w:noProof/>
        <w:color w:val="000000"/>
      </w:rPr>
      <w:drawing>
        <wp:inline distT="0" distB="0" distL="0" distR="0" wp14:anchorId="59CB6F12" wp14:editId="6C70ED63">
          <wp:extent cx="3253105" cy="1610360"/>
          <wp:effectExtent l="0" t="0" r="0" b="0"/>
          <wp:docPr id="2130778910" name="image1.png" descr="Logotipo, nome da empresa&#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1.png" descr="Logotipo, nome da empresa&#10;&#10;O conteúdo gerado por IA pode estar incorreto."/>
                  <pic:cNvPicPr preferRelativeResize="0"/>
                </pic:nvPicPr>
                <pic:blipFill>
                  <a:blip r:embed="rId1"/>
                  <a:srcRect l="2865" t="33993" r="-2171" b="26667"/>
                  <a:stretch>
                    <a:fillRect/>
                  </a:stretch>
                </pic:blipFill>
                <pic:spPr>
                  <a:xfrm>
                    <a:off x="0" y="0"/>
                    <a:ext cx="3253105" cy="161036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03A2"/>
    <w:rsid w:val="001B13CA"/>
    <w:rsid w:val="002742B5"/>
    <w:rsid w:val="002C4516"/>
    <w:rsid w:val="00363501"/>
    <w:rsid w:val="0036477C"/>
    <w:rsid w:val="004278F4"/>
    <w:rsid w:val="004E02BF"/>
    <w:rsid w:val="005F1EEF"/>
    <w:rsid w:val="0063295C"/>
    <w:rsid w:val="006339CE"/>
    <w:rsid w:val="006355B8"/>
    <w:rsid w:val="006A670A"/>
    <w:rsid w:val="007D639F"/>
    <w:rsid w:val="00863170"/>
    <w:rsid w:val="00885303"/>
    <w:rsid w:val="009603A2"/>
    <w:rsid w:val="009D0705"/>
    <w:rsid w:val="00A64DF1"/>
    <w:rsid w:val="00AD13AE"/>
    <w:rsid w:val="00BD7F77"/>
    <w:rsid w:val="00CD39D1"/>
    <w:rsid w:val="00D22021"/>
    <w:rsid w:val="00D57701"/>
    <w:rsid w:val="00DA28B2"/>
    <w:rsid w:val="00DF0276"/>
    <w:rsid w:val="00E77E16"/>
    <w:rsid w:val="00F6749E"/>
    <w:rsid w:val="00FA161F"/>
    <w:rsid w:val="00FB2A0E"/>
    <w:rsid w:val="00FC7FCC"/>
    <w:rsid w:val="00FF5B9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475111"/>
  <w15:docId w15:val="{B700D54B-8C8A-4EAC-829E-F06DE7F02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pt-PT"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10">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20"/>
      <w:ind w:left="821" w:right="115" w:hanging="360"/>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A1575"/>
    <w:pPr>
      <w:tabs>
        <w:tab w:val="center" w:pos="4252"/>
        <w:tab w:val="right" w:pos="8504"/>
      </w:tabs>
    </w:pPr>
  </w:style>
  <w:style w:type="character" w:customStyle="1" w:styleId="HeaderChar">
    <w:name w:val="Header Char"/>
    <w:basedOn w:val="DefaultParagraphFont"/>
    <w:link w:val="Header"/>
    <w:uiPriority w:val="99"/>
    <w:rsid w:val="005A1575"/>
    <w:rPr>
      <w:rFonts w:ascii="Times New Roman" w:eastAsia="Times New Roman" w:hAnsi="Times New Roman" w:cs="Times New Roman"/>
      <w:lang w:val="pt-PT"/>
    </w:rPr>
  </w:style>
  <w:style w:type="paragraph" w:styleId="Footer">
    <w:name w:val="footer"/>
    <w:basedOn w:val="Normal"/>
    <w:link w:val="FooterChar"/>
    <w:uiPriority w:val="99"/>
    <w:unhideWhenUsed/>
    <w:rsid w:val="005A1575"/>
    <w:pPr>
      <w:tabs>
        <w:tab w:val="center" w:pos="4252"/>
        <w:tab w:val="right" w:pos="8504"/>
      </w:tabs>
    </w:pPr>
  </w:style>
  <w:style w:type="character" w:customStyle="1" w:styleId="FooterChar">
    <w:name w:val="Footer Char"/>
    <w:basedOn w:val="DefaultParagraphFont"/>
    <w:link w:val="Footer"/>
    <w:uiPriority w:val="99"/>
    <w:rsid w:val="005A1575"/>
    <w:rPr>
      <w:rFonts w:ascii="Times New Roman" w:eastAsia="Times New Roman" w:hAnsi="Times New Roman" w:cs="Times New Roman"/>
      <w:lang w:val="pt-PT"/>
    </w:rPr>
  </w:style>
  <w:style w:type="character" w:customStyle="1" w:styleId="MdStrong">
    <w:name w:val="MdStrong"/>
    <w:uiPriority w:val="99"/>
    <w:unhideWhenUsed/>
    <w:qFormat/>
    <w:rsid w:val="00FD300E"/>
    <w:rPr>
      <w:b/>
      <w:bCs/>
    </w:rPr>
  </w:style>
  <w:style w:type="paragraph" w:customStyle="1" w:styleId="MdTableHeader">
    <w:name w:val="MdTableHeader"/>
    <w:qFormat/>
    <w:rsid w:val="00FD300E"/>
    <w:pPr>
      <w:widowControl/>
      <w:spacing w:before="60" w:after="60"/>
    </w:pPr>
    <w:rPr>
      <w:b/>
      <w:bCs/>
      <w:lang w:val="pt-BR"/>
    </w:rPr>
  </w:style>
  <w:style w:type="paragraph" w:customStyle="1" w:styleId="MdTableCell">
    <w:name w:val="MdTableCell"/>
    <w:qFormat/>
    <w:rsid w:val="00FD300E"/>
    <w:pPr>
      <w:widowControl/>
      <w:spacing w:before="40" w:after="40"/>
    </w:pPr>
    <w:rPr>
      <w:sz w:val="20"/>
      <w:szCs w:val="20"/>
      <w:lang w:val="pt-BR"/>
    </w:rPr>
  </w:style>
  <w:style w:type="paragraph" w:customStyle="1" w:styleId="MdParagraph">
    <w:name w:val="MdParagraph"/>
    <w:qFormat/>
    <w:rsid w:val="00FD300E"/>
    <w:pPr>
      <w:widowControl/>
      <w:spacing w:before="120" w:after="120"/>
    </w:pPr>
    <w:rPr>
      <w:sz w:val="24"/>
      <w:szCs w:val="24"/>
      <w:lang w:val="pt-BR"/>
    </w:rPr>
  </w:style>
  <w:style w:type="character" w:customStyle="1" w:styleId="MdEm">
    <w:name w:val="MdEm"/>
    <w:uiPriority w:val="99"/>
    <w:unhideWhenUsed/>
    <w:qFormat/>
    <w:rsid w:val="00FD300E"/>
    <w:rPr>
      <w:i/>
      <w:iCs/>
    </w:rPr>
  </w:style>
  <w:style w:type="table" w:customStyle="1" w:styleId="a">
    <w:basedOn w:val="TableNormal2"/>
    <w:tblPr>
      <w:tblStyleRowBandSize w:val="1"/>
      <w:tblStyleColBandSize w:val="1"/>
      <w:tblCellMar>
        <w:top w:w="0" w:type="dxa"/>
        <w:left w:w="10" w:type="dxa"/>
        <w:bottom w:w="0" w:type="dxa"/>
        <w:right w:w="10" w:type="dxa"/>
      </w:tblCellMar>
    </w:tblPr>
  </w:style>
  <w:style w:type="table" w:customStyle="1" w:styleId="a0">
    <w:basedOn w:val="TableNormal2"/>
    <w:tblPr>
      <w:tblStyleRowBandSize w:val="1"/>
      <w:tblStyleColBandSize w:val="1"/>
      <w:tblCellMar>
        <w:top w:w="0" w:type="dxa"/>
        <w:left w:w="10" w:type="dxa"/>
        <w:bottom w:w="0" w:type="dxa"/>
        <w:right w:w="10" w:type="dxa"/>
      </w:tblCellMar>
    </w:tblPr>
  </w:style>
  <w:style w:type="table" w:customStyle="1" w:styleId="a1">
    <w:basedOn w:val="TableNormal2"/>
    <w:tblPr>
      <w:tblStyleRowBandSize w:val="1"/>
      <w:tblStyleColBandSize w:val="1"/>
      <w:tblCellMar>
        <w:top w:w="0" w:type="dxa"/>
        <w:left w:w="10" w:type="dxa"/>
        <w:bottom w:w="0" w:type="dxa"/>
        <w:right w:w="10" w:type="dxa"/>
      </w:tblCellMar>
    </w:tblPr>
  </w:style>
  <w:style w:type="character" w:styleId="CommentReference">
    <w:name w:val="annotation reference"/>
    <w:basedOn w:val="DefaultParagraphFont"/>
    <w:uiPriority w:val="99"/>
    <w:semiHidden/>
    <w:unhideWhenUsed/>
    <w:rsid w:val="006A77C3"/>
    <w:rPr>
      <w:sz w:val="16"/>
      <w:szCs w:val="16"/>
    </w:rPr>
  </w:style>
  <w:style w:type="paragraph" w:styleId="CommentText">
    <w:name w:val="annotation text"/>
    <w:basedOn w:val="Normal"/>
    <w:link w:val="CommentTextChar"/>
    <w:uiPriority w:val="99"/>
    <w:unhideWhenUsed/>
    <w:rsid w:val="006A77C3"/>
    <w:rPr>
      <w:sz w:val="20"/>
      <w:szCs w:val="20"/>
    </w:rPr>
  </w:style>
  <w:style w:type="character" w:customStyle="1" w:styleId="CommentTextChar">
    <w:name w:val="Comment Text Char"/>
    <w:basedOn w:val="DefaultParagraphFont"/>
    <w:link w:val="CommentText"/>
    <w:uiPriority w:val="99"/>
    <w:rsid w:val="006A77C3"/>
    <w:rPr>
      <w:sz w:val="20"/>
      <w:szCs w:val="20"/>
    </w:rPr>
  </w:style>
  <w:style w:type="paragraph" w:styleId="CommentSubject">
    <w:name w:val="annotation subject"/>
    <w:basedOn w:val="CommentText"/>
    <w:next w:val="CommentText"/>
    <w:link w:val="CommentSubjectChar"/>
    <w:uiPriority w:val="99"/>
    <w:semiHidden/>
    <w:unhideWhenUsed/>
    <w:rsid w:val="006A77C3"/>
    <w:rPr>
      <w:b/>
      <w:bCs/>
    </w:rPr>
  </w:style>
  <w:style w:type="character" w:customStyle="1" w:styleId="CommentSubjectChar">
    <w:name w:val="Comment Subject Char"/>
    <w:basedOn w:val="CommentTextChar"/>
    <w:link w:val="CommentSubject"/>
    <w:uiPriority w:val="99"/>
    <w:semiHidden/>
    <w:rsid w:val="006A77C3"/>
    <w:rPr>
      <w:b/>
      <w:bCs/>
      <w:sz w:val="20"/>
      <w:szCs w:val="20"/>
    </w:rPr>
  </w:style>
  <w:style w:type="table" w:customStyle="1" w:styleId="a2">
    <w:basedOn w:val="TableNormal2"/>
    <w:tblPr>
      <w:tblStyleRowBandSize w:val="1"/>
      <w:tblStyleColBandSize w:val="1"/>
      <w:tblCellMar>
        <w:top w:w="0" w:type="dxa"/>
        <w:left w:w="10" w:type="dxa"/>
        <w:bottom w:w="0" w:type="dxa"/>
        <w:right w:w="10" w:type="dxa"/>
      </w:tblCellMar>
    </w:tblPr>
  </w:style>
  <w:style w:type="table" w:customStyle="1" w:styleId="a3">
    <w:basedOn w:val="TableNormal2"/>
    <w:tblPr>
      <w:tblStyleRowBandSize w:val="1"/>
      <w:tblStyleColBandSize w:val="1"/>
      <w:tblCellMar>
        <w:top w:w="0" w:type="dxa"/>
        <w:left w:w="10" w:type="dxa"/>
        <w:bottom w:w="0" w:type="dxa"/>
        <w:right w:w="10" w:type="dxa"/>
      </w:tblCellMar>
    </w:tblPr>
  </w:style>
  <w:style w:type="table" w:customStyle="1" w:styleId="a4">
    <w:basedOn w:val="TableNormal2"/>
    <w:tblPr>
      <w:tblStyleRowBandSize w:val="1"/>
      <w:tblStyleColBandSize w:val="1"/>
      <w:tblCellMar>
        <w:top w:w="0" w:type="dxa"/>
        <w:left w:w="10" w:type="dxa"/>
        <w:bottom w:w="0" w:type="dxa"/>
        <w:right w:w="10" w:type="dxa"/>
      </w:tblCellMar>
    </w:tblPr>
  </w:style>
  <w:style w:type="character" w:styleId="Hyperlink">
    <w:name w:val="Hyperlink"/>
    <w:basedOn w:val="DefaultParagraphFont"/>
    <w:uiPriority w:val="99"/>
    <w:unhideWhenUsed/>
    <w:rsid w:val="00936A29"/>
    <w:rPr>
      <w:color w:val="0000FF" w:themeColor="hyperlink"/>
      <w:u w:val="single"/>
    </w:rPr>
  </w:style>
  <w:style w:type="character" w:styleId="UnresolvedMention">
    <w:name w:val="Unresolved Mention"/>
    <w:basedOn w:val="DefaultParagraphFont"/>
    <w:uiPriority w:val="99"/>
    <w:semiHidden/>
    <w:unhideWhenUsed/>
    <w:rsid w:val="00936A29"/>
    <w:rPr>
      <w:color w:val="605E5C"/>
      <w:shd w:val="clear" w:color="auto" w:fill="E1DFDD"/>
    </w:rPr>
  </w:style>
  <w:style w:type="paragraph" w:styleId="BalloonText">
    <w:name w:val="Balloon Text"/>
    <w:basedOn w:val="Normal"/>
    <w:link w:val="BalloonTextChar"/>
    <w:uiPriority w:val="99"/>
    <w:semiHidden/>
    <w:unhideWhenUsed/>
    <w:rsid w:val="003E6D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6DA8"/>
    <w:rPr>
      <w:rFonts w:ascii="Segoe UI" w:hAnsi="Segoe UI" w:cs="Segoe UI"/>
      <w:sz w:val="18"/>
      <w:szCs w:val="18"/>
    </w:rPr>
  </w:style>
  <w:style w:type="paragraph" w:styleId="Revision">
    <w:name w:val="Revision"/>
    <w:hidden/>
    <w:uiPriority w:val="99"/>
    <w:semiHidden/>
    <w:rsid w:val="00DA40BB"/>
    <w:pPr>
      <w:widowControl/>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left w:w="10" w:type="dxa"/>
        <w:right w:w="10" w:type="dxa"/>
      </w:tblCellMar>
    </w:tblPr>
  </w:style>
  <w:style w:type="table" w:customStyle="1" w:styleId="a6">
    <w:basedOn w:val="TableNormal"/>
    <w:tblPr>
      <w:tblStyleRowBandSize w:val="1"/>
      <w:tblStyleColBandSize w:val="1"/>
      <w:tblCellMar>
        <w:left w:w="10" w:type="dxa"/>
        <w:right w:w="10" w:type="dxa"/>
      </w:tblCellMar>
    </w:tblPr>
  </w:style>
  <w:style w:type="table" w:customStyle="1" w:styleId="a7">
    <w:basedOn w:val="TableNormal"/>
    <w:tblPr>
      <w:tblStyleRowBandSize w:val="1"/>
      <w:tblStyleColBandSize w:val="1"/>
      <w:tblCellMar>
        <w:left w:w="1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www.ibge.gov.br/estatisticas/sociais/populacao/26816-censo-demografico-2022-agregados-por-setores-censitarios.html"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cop30.br/pt-br/noticias-da-cop30/cop30-negociacoes-apresentam-resultados-emblematicos-em-meio-a-tensoes-geopoliticas-sem-precedentes" TargetMode="External"/><Relationship Id="rId17" Type="http://schemas.openxmlformats.org/officeDocument/2006/relationships/hyperlink" Target="https://www.agbbauru.org.br/publicacoes/Reducao2020/Reducao_2ed-2020-49.pdf" TargetMode="External"/><Relationship Id="rId2" Type="http://schemas.openxmlformats.org/officeDocument/2006/relationships/styles" Target="styles.xml"/><Relationship Id="rId16" Type="http://schemas.openxmlformats.org/officeDocument/2006/relationships/hyperlink" Target="https://rsdjournal.org/index.php/rsd/article/view/829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16/09/relationships/commentsIds" Target="commentsIds.xml"/><Relationship Id="rId5" Type="http://schemas.openxmlformats.org/officeDocument/2006/relationships/footnotes" Target="footnotes.xml"/><Relationship Id="rId15" Type="http://schemas.openxmlformats.org/officeDocument/2006/relationships/hyperlink" Target="https://revista.fct.unesp.br/index.php/formacao/article/download/835/849./0" TargetMode="External"/><Relationship Id="rId10" Type="http://schemas.microsoft.com/office/2011/relationships/commentsExtended" Target="commentsExtended.xm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hyperlink" Target="https://www.ibge.gov.br/estatisticas/sociais/populacao/26816-censo-demografico-2022-agregados-por-setores-censitarios.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vsb7KDPpX7nxe4c3G+OoafvXRQ==">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12</Pages>
  <Words>3678</Words>
  <Characters>19865</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Gustavo Santana Silva</cp:lastModifiedBy>
  <cp:revision>3</cp:revision>
  <dcterms:created xsi:type="dcterms:W3CDTF">2025-12-03T01:59:00Z</dcterms:created>
  <dcterms:modified xsi:type="dcterms:W3CDTF">2025-12-03T19:54:00Z</dcterms:modified>
</cp:coreProperties>
</file>