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847F" w14:textId="7FBD9480" w:rsidR="003949CE" w:rsidRPr="003861E7" w:rsidRDefault="003861E7" w:rsidP="0082439E">
      <w:pPr>
        <w:pBdr>
          <w:bottom w:val="none" w:sz="0" w:space="8" w:color="000000"/>
        </w:pBdr>
        <w:shd w:val="clear" w:color="auto" w:fill="FFFFFF"/>
        <w:tabs>
          <w:tab w:val="left" w:pos="2500"/>
        </w:tabs>
        <w:jc w:val="center"/>
        <w:rPr>
          <w:b/>
          <w:sz w:val="24"/>
          <w:szCs w:val="24"/>
        </w:rPr>
      </w:pPr>
      <w:r w:rsidRPr="003861E7">
        <w:rPr>
          <w:b/>
          <w:sz w:val="24"/>
          <w:szCs w:val="24"/>
        </w:rPr>
        <w:t>INFLUÊNCIA DA MARÉ NOS PARÂMETROS ABIÓTICOS DA ÁGUA DO RIO MAGUARI-AÇÚ - ANANINDEUA (PA)</w:t>
      </w:r>
    </w:p>
    <w:p w14:paraId="2F212F3E" w14:textId="6E191E78" w:rsidR="003949CE" w:rsidRPr="00BB0F14" w:rsidRDefault="00FD4AC1" w:rsidP="0082439E">
      <w:pPr>
        <w:shd w:val="clear" w:color="auto" w:fill="FFFFFF"/>
        <w:tabs>
          <w:tab w:val="left" w:pos="2500"/>
        </w:tabs>
        <w:jc w:val="center"/>
        <w:rPr>
          <w:sz w:val="24"/>
          <w:szCs w:val="24"/>
          <w:u w:val="single"/>
        </w:rPr>
      </w:pPr>
      <w:r w:rsidRPr="00BB0F14">
        <w:rPr>
          <w:sz w:val="24"/>
          <w:szCs w:val="24"/>
        </w:rPr>
        <w:t xml:space="preserve">Leandro </w:t>
      </w:r>
      <w:r w:rsidR="00501E82" w:rsidRPr="00BB0F14">
        <w:rPr>
          <w:sz w:val="24"/>
          <w:szCs w:val="24"/>
        </w:rPr>
        <w:t>Mayron Da Siva Carneiro</w:t>
      </w:r>
      <w:r w:rsidR="00501E82" w:rsidRPr="00BB0F14">
        <w:rPr>
          <w:sz w:val="24"/>
          <w:szCs w:val="24"/>
          <w:vertAlign w:val="superscript"/>
        </w:rPr>
        <w:t>1</w:t>
      </w:r>
      <w:r w:rsidR="00501E82" w:rsidRPr="00BB0F14">
        <w:rPr>
          <w:sz w:val="24"/>
          <w:szCs w:val="24"/>
        </w:rPr>
        <w:t>; Emilly Santos Dos Santos</w:t>
      </w:r>
      <w:r w:rsidR="00501E82" w:rsidRPr="00BB0F14">
        <w:rPr>
          <w:sz w:val="24"/>
          <w:szCs w:val="24"/>
          <w:vertAlign w:val="superscript"/>
        </w:rPr>
        <w:t>2</w:t>
      </w:r>
      <w:r w:rsidR="00501E82" w:rsidRPr="00BB0F14">
        <w:rPr>
          <w:sz w:val="24"/>
          <w:szCs w:val="24"/>
        </w:rPr>
        <w:t>; Édson Davy Ferreira Tavares</w:t>
      </w:r>
      <w:r w:rsidR="00501E82" w:rsidRPr="00BB0F14">
        <w:rPr>
          <w:sz w:val="24"/>
          <w:szCs w:val="24"/>
          <w:vertAlign w:val="superscript"/>
        </w:rPr>
        <w:t>3</w:t>
      </w:r>
      <w:r w:rsidR="00501E82" w:rsidRPr="00BB0F14">
        <w:rPr>
          <w:sz w:val="24"/>
          <w:szCs w:val="24"/>
        </w:rPr>
        <w:t>; Bianca Da Silva Santos</w:t>
      </w:r>
      <w:r w:rsidR="00501E82" w:rsidRPr="00BB0F14">
        <w:rPr>
          <w:sz w:val="24"/>
          <w:szCs w:val="24"/>
          <w:vertAlign w:val="superscript"/>
        </w:rPr>
        <w:t>4</w:t>
      </w:r>
      <w:r w:rsidR="00501E82" w:rsidRPr="00BB0F14">
        <w:rPr>
          <w:sz w:val="24"/>
          <w:szCs w:val="24"/>
        </w:rPr>
        <w:t>; Larissa Amaral Melo</w:t>
      </w:r>
      <w:r w:rsidR="00501E82" w:rsidRPr="00BB0F14">
        <w:rPr>
          <w:sz w:val="24"/>
          <w:szCs w:val="24"/>
          <w:vertAlign w:val="superscript"/>
        </w:rPr>
        <w:t>5</w:t>
      </w:r>
      <w:r w:rsidR="00501E82" w:rsidRPr="00BB0F14">
        <w:rPr>
          <w:sz w:val="24"/>
          <w:szCs w:val="24"/>
        </w:rPr>
        <w:t>; Adriana Da Cruz Melo</w:t>
      </w:r>
      <w:r w:rsidR="00501E82" w:rsidRPr="00BB0F14">
        <w:rPr>
          <w:sz w:val="24"/>
          <w:szCs w:val="24"/>
          <w:vertAlign w:val="superscript"/>
        </w:rPr>
        <w:t>6</w:t>
      </w:r>
      <w:r w:rsidR="00501E82" w:rsidRPr="00BB0F14">
        <w:rPr>
          <w:sz w:val="24"/>
          <w:szCs w:val="24"/>
        </w:rPr>
        <w:t xml:space="preserve">; </w:t>
      </w:r>
      <w:r w:rsidR="00501E82" w:rsidRPr="00BB0F14">
        <w:rPr>
          <w:sz w:val="24"/>
          <w:szCs w:val="24"/>
          <w:u w:val="single"/>
        </w:rPr>
        <w:t>Maria De Lourdes Souza Santos</w:t>
      </w:r>
      <w:r w:rsidR="00501E82" w:rsidRPr="00BB0F14">
        <w:rPr>
          <w:sz w:val="24"/>
          <w:szCs w:val="24"/>
          <w:u w:val="single"/>
          <w:vertAlign w:val="superscript"/>
        </w:rPr>
        <w:t>7</w:t>
      </w:r>
      <w:r w:rsidR="00501E82" w:rsidRPr="00BB0F14">
        <w:rPr>
          <w:sz w:val="24"/>
          <w:szCs w:val="24"/>
          <w:u w:val="single"/>
        </w:rPr>
        <w:t>.</w:t>
      </w:r>
    </w:p>
    <w:p w14:paraId="3395C872" w14:textId="77777777" w:rsidR="007619F8" w:rsidRPr="00BB0F14" w:rsidRDefault="007619F8" w:rsidP="0082439E">
      <w:pPr>
        <w:shd w:val="clear" w:color="auto" w:fill="FFFFFF"/>
        <w:tabs>
          <w:tab w:val="left" w:pos="2500"/>
        </w:tabs>
        <w:jc w:val="center"/>
        <w:rPr>
          <w:color w:val="FF0000"/>
          <w:sz w:val="24"/>
          <w:szCs w:val="24"/>
          <w:u w:val="single"/>
        </w:rPr>
      </w:pPr>
    </w:p>
    <w:p w14:paraId="46266F4F" w14:textId="21365CD0" w:rsidR="00462F45" w:rsidRPr="00BB0F14" w:rsidRDefault="00845DA7" w:rsidP="00462F45">
      <w:pPr>
        <w:keepLines/>
        <w:shd w:val="clear" w:color="auto" w:fill="FFFFFF"/>
        <w:tabs>
          <w:tab w:val="left" w:pos="2500"/>
        </w:tabs>
        <w:jc w:val="center"/>
        <w:rPr>
          <w:sz w:val="24"/>
          <w:szCs w:val="24"/>
        </w:rPr>
      </w:pPr>
      <w:r w:rsidRPr="00BB0F14">
        <w:rPr>
          <w:sz w:val="24"/>
          <w:szCs w:val="24"/>
          <w:vertAlign w:val="superscript"/>
        </w:rPr>
        <w:t xml:space="preserve">1 </w:t>
      </w:r>
      <w:r w:rsidRPr="00BB0F14">
        <w:rPr>
          <w:sz w:val="24"/>
          <w:szCs w:val="24"/>
        </w:rPr>
        <w:t xml:space="preserve">Graduando </w:t>
      </w:r>
      <w:r w:rsidR="004B2457">
        <w:rPr>
          <w:sz w:val="24"/>
          <w:szCs w:val="24"/>
        </w:rPr>
        <w:t>e</w:t>
      </w:r>
      <w:r w:rsidRPr="00BB0F14">
        <w:rPr>
          <w:sz w:val="24"/>
          <w:szCs w:val="24"/>
        </w:rPr>
        <w:t xml:space="preserve">m Engenharia Ambiental </w:t>
      </w:r>
      <w:r w:rsidR="004B2457">
        <w:rPr>
          <w:sz w:val="24"/>
          <w:szCs w:val="24"/>
        </w:rPr>
        <w:t>e</w:t>
      </w:r>
      <w:r w:rsidRPr="00BB0F14">
        <w:rPr>
          <w:sz w:val="24"/>
          <w:szCs w:val="24"/>
        </w:rPr>
        <w:t xml:space="preserve"> Energias Renováveis. UFRA. </w:t>
      </w:r>
      <w:r w:rsidR="00711F7A">
        <w:rPr>
          <w:sz w:val="24"/>
          <w:szCs w:val="24"/>
        </w:rPr>
        <w:t>l</w:t>
      </w:r>
      <w:r w:rsidRPr="00BB0F14">
        <w:rPr>
          <w:sz w:val="24"/>
          <w:szCs w:val="24"/>
        </w:rPr>
        <w:t>eandro.Mayronambiental@Gmail.Com</w:t>
      </w:r>
    </w:p>
    <w:p w14:paraId="7FCEF627" w14:textId="58C82388" w:rsidR="003533DD" w:rsidRPr="00BB0F14" w:rsidRDefault="00F215C4" w:rsidP="00462F45">
      <w:pPr>
        <w:keepLines/>
        <w:shd w:val="clear" w:color="auto" w:fill="FFFFFF"/>
        <w:tabs>
          <w:tab w:val="left" w:pos="2500"/>
        </w:tabs>
        <w:jc w:val="center"/>
        <w:rPr>
          <w:sz w:val="24"/>
          <w:szCs w:val="24"/>
        </w:rPr>
      </w:pPr>
      <w:r w:rsidRPr="00BB0F14">
        <w:rPr>
          <w:sz w:val="24"/>
          <w:szCs w:val="24"/>
          <w:vertAlign w:val="superscript"/>
        </w:rPr>
        <w:t xml:space="preserve">2 </w:t>
      </w:r>
      <w:r w:rsidRPr="00BB0F14">
        <w:rPr>
          <w:sz w:val="24"/>
          <w:szCs w:val="24"/>
        </w:rPr>
        <w:t xml:space="preserve">Graduando </w:t>
      </w:r>
      <w:r w:rsidR="004B2457">
        <w:rPr>
          <w:sz w:val="24"/>
          <w:szCs w:val="24"/>
        </w:rPr>
        <w:t>e</w:t>
      </w:r>
      <w:r w:rsidRPr="00BB0F14">
        <w:rPr>
          <w:sz w:val="24"/>
          <w:szCs w:val="24"/>
        </w:rPr>
        <w:t xml:space="preserve">m Engenharia Ambiental </w:t>
      </w:r>
      <w:r w:rsidR="004B2457">
        <w:rPr>
          <w:sz w:val="24"/>
          <w:szCs w:val="24"/>
        </w:rPr>
        <w:t>e</w:t>
      </w:r>
      <w:r w:rsidRPr="00BB0F14">
        <w:rPr>
          <w:sz w:val="24"/>
          <w:szCs w:val="24"/>
        </w:rPr>
        <w:t xml:space="preserve"> Energias Renováveis. </w:t>
      </w:r>
      <w:r w:rsidR="00462F45" w:rsidRPr="00BB0F14">
        <w:rPr>
          <w:sz w:val="24"/>
          <w:szCs w:val="24"/>
        </w:rPr>
        <w:t>UFRA.</w:t>
      </w:r>
      <w:r w:rsidR="00462F45" w:rsidRPr="00BB0F14">
        <w:t xml:space="preserve"> </w:t>
      </w:r>
      <w:r w:rsidRPr="00BB0F14">
        <w:rPr>
          <w:sz w:val="24"/>
          <w:szCs w:val="24"/>
        </w:rPr>
        <w:t>Emilly.Dossantos@Discente.Ufra.Edu.Br</w:t>
      </w:r>
    </w:p>
    <w:p w14:paraId="65CED367" w14:textId="7CED1E21" w:rsidR="00A60344" w:rsidRPr="00BB0F14" w:rsidRDefault="007559BB" w:rsidP="00462F45">
      <w:pPr>
        <w:keepLines/>
        <w:shd w:val="clear" w:color="auto" w:fill="FFFFFF"/>
        <w:tabs>
          <w:tab w:val="left" w:pos="2500"/>
        </w:tabs>
        <w:jc w:val="center"/>
        <w:rPr>
          <w:sz w:val="24"/>
          <w:szCs w:val="24"/>
        </w:rPr>
      </w:pPr>
      <w:r w:rsidRPr="00BB0F14">
        <w:rPr>
          <w:sz w:val="24"/>
          <w:szCs w:val="24"/>
          <w:vertAlign w:val="superscript"/>
        </w:rPr>
        <w:t xml:space="preserve">3 </w:t>
      </w:r>
      <w:r w:rsidRPr="00BB0F14">
        <w:rPr>
          <w:sz w:val="24"/>
          <w:szCs w:val="24"/>
        </w:rPr>
        <w:t xml:space="preserve">Graduando </w:t>
      </w:r>
      <w:r w:rsidR="004B2457">
        <w:rPr>
          <w:sz w:val="24"/>
          <w:szCs w:val="24"/>
        </w:rPr>
        <w:t>e</w:t>
      </w:r>
      <w:r w:rsidRPr="00BB0F14">
        <w:rPr>
          <w:sz w:val="24"/>
          <w:szCs w:val="24"/>
        </w:rPr>
        <w:t>m Engenharia</w:t>
      </w:r>
      <w:r w:rsidR="00A60344" w:rsidRPr="00BB0F14">
        <w:rPr>
          <w:sz w:val="24"/>
          <w:szCs w:val="24"/>
        </w:rPr>
        <w:t xml:space="preserve"> </w:t>
      </w:r>
      <w:r w:rsidR="004B2457">
        <w:rPr>
          <w:sz w:val="24"/>
          <w:szCs w:val="24"/>
        </w:rPr>
        <w:t>d</w:t>
      </w:r>
      <w:r w:rsidR="00A60344" w:rsidRPr="00BB0F14">
        <w:rPr>
          <w:sz w:val="24"/>
          <w:szCs w:val="24"/>
        </w:rPr>
        <w:t>e Pesca</w:t>
      </w:r>
      <w:r w:rsidRPr="00BB0F14">
        <w:rPr>
          <w:sz w:val="24"/>
          <w:szCs w:val="24"/>
        </w:rPr>
        <w:t xml:space="preserve">. UFRA. </w:t>
      </w:r>
    </w:p>
    <w:p w14:paraId="44E7C0E4" w14:textId="77777777" w:rsidR="006B4BCF" w:rsidRPr="00BB0F14" w:rsidRDefault="006B4BCF" w:rsidP="00462F45">
      <w:pPr>
        <w:keepLines/>
        <w:shd w:val="clear" w:color="auto" w:fill="FFFFFF"/>
        <w:tabs>
          <w:tab w:val="left" w:pos="2500"/>
        </w:tabs>
        <w:jc w:val="center"/>
        <w:rPr>
          <w:sz w:val="24"/>
          <w:szCs w:val="24"/>
        </w:rPr>
      </w:pPr>
      <w:r w:rsidRPr="00BB0F14">
        <w:rPr>
          <w:sz w:val="24"/>
          <w:szCs w:val="24"/>
        </w:rPr>
        <w:t>davytavares18.dt@gmail.com</w:t>
      </w:r>
    </w:p>
    <w:p w14:paraId="45672130" w14:textId="3526354A" w:rsidR="00683311" w:rsidRPr="004B2457" w:rsidRDefault="007559BB" w:rsidP="00462F45">
      <w:pPr>
        <w:keepLines/>
        <w:shd w:val="clear" w:color="auto" w:fill="FFFFFF"/>
        <w:tabs>
          <w:tab w:val="left" w:pos="2500"/>
        </w:tabs>
        <w:jc w:val="center"/>
        <w:rPr>
          <w:sz w:val="24"/>
          <w:szCs w:val="24"/>
        </w:rPr>
      </w:pPr>
      <w:r w:rsidRPr="00BB0F14">
        <w:rPr>
          <w:sz w:val="24"/>
          <w:szCs w:val="24"/>
          <w:vertAlign w:val="superscript"/>
        </w:rPr>
        <w:t xml:space="preserve">4 </w:t>
      </w:r>
      <w:r w:rsidRPr="00BB0F14">
        <w:rPr>
          <w:sz w:val="24"/>
          <w:szCs w:val="24"/>
        </w:rPr>
        <w:t xml:space="preserve">Graduando </w:t>
      </w:r>
      <w:r w:rsidR="004B2457">
        <w:rPr>
          <w:sz w:val="24"/>
          <w:szCs w:val="24"/>
        </w:rPr>
        <w:t>e</w:t>
      </w:r>
      <w:r w:rsidRPr="00BB0F14">
        <w:rPr>
          <w:sz w:val="24"/>
          <w:szCs w:val="24"/>
        </w:rPr>
        <w:t>m Enge</w:t>
      </w:r>
      <w:r w:rsidR="00683311" w:rsidRPr="00BB0F14">
        <w:rPr>
          <w:sz w:val="24"/>
          <w:szCs w:val="24"/>
        </w:rPr>
        <w:t xml:space="preserve">nharia </w:t>
      </w:r>
      <w:r w:rsidR="004B2457">
        <w:rPr>
          <w:sz w:val="24"/>
          <w:szCs w:val="24"/>
        </w:rPr>
        <w:t>d</w:t>
      </w:r>
      <w:r w:rsidR="00683311" w:rsidRPr="00BB0F14">
        <w:rPr>
          <w:sz w:val="24"/>
          <w:szCs w:val="24"/>
        </w:rPr>
        <w:t>e Pesca</w:t>
      </w:r>
      <w:r w:rsidRPr="00BB0F14">
        <w:rPr>
          <w:sz w:val="24"/>
          <w:szCs w:val="24"/>
        </w:rPr>
        <w:t xml:space="preserve">. </w:t>
      </w:r>
      <w:r w:rsidR="00462F45" w:rsidRPr="00BB0F14">
        <w:rPr>
          <w:sz w:val="24"/>
          <w:szCs w:val="24"/>
        </w:rPr>
        <w:t>UFRA.</w:t>
      </w:r>
    </w:p>
    <w:p w14:paraId="7458D2AD" w14:textId="4FFD59B4" w:rsidR="007559BB" w:rsidRPr="00BB0F14" w:rsidRDefault="0069727A" w:rsidP="00462F45">
      <w:pPr>
        <w:keepLines/>
        <w:shd w:val="clear" w:color="auto" w:fill="FFFFFF"/>
        <w:tabs>
          <w:tab w:val="left" w:pos="2500"/>
        </w:tabs>
        <w:jc w:val="center"/>
        <w:rPr>
          <w:sz w:val="24"/>
          <w:szCs w:val="24"/>
        </w:rPr>
      </w:pPr>
      <w:r w:rsidRPr="00BB0F14">
        <w:rPr>
          <w:sz w:val="24"/>
          <w:szCs w:val="24"/>
        </w:rPr>
        <w:t>Bianca.ufra123@gmail.com</w:t>
      </w:r>
    </w:p>
    <w:p w14:paraId="321275C3" w14:textId="38379074" w:rsidR="0010469C" w:rsidRPr="00BB0F14" w:rsidRDefault="007559BB" w:rsidP="00462F45">
      <w:pPr>
        <w:keepLines/>
        <w:shd w:val="clear" w:color="auto" w:fill="FFFFFF"/>
        <w:tabs>
          <w:tab w:val="left" w:pos="2500"/>
        </w:tabs>
        <w:jc w:val="center"/>
        <w:rPr>
          <w:sz w:val="24"/>
          <w:szCs w:val="24"/>
        </w:rPr>
      </w:pPr>
      <w:r w:rsidRPr="00BB0F14">
        <w:rPr>
          <w:sz w:val="24"/>
          <w:szCs w:val="24"/>
          <w:vertAlign w:val="superscript"/>
        </w:rPr>
        <w:t xml:space="preserve">5 </w:t>
      </w:r>
      <w:r w:rsidRPr="00BB0F14">
        <w:rPr>
          <w:sz w:val="24"/>
          <w:szCs w:val="24"/>
        </w:rPr>
        <w:t xml:space="preserve">Graduando </w:t>
      </w:r>
      <w:r w:rsidR="004B2457">
        <w:rPr>
          <w:sz w:val="24"/>
          <w:szCs w:val="24"/>
        </w:rPr>
        <w:t>e</w:t>
      </w:r>
      <w:r w:rsidRPr="00BB0F14">
        <w:rPr>
          <w:sz w:val="24"/>
          <w:szCs w:val="24"/>
        </w:rPr>
        <w:t xml:space="preserve">m Engenharia Ambiental </w:t>
      </w:r>
      <w:r w:rsidR="004B2457">
        <w:rPr>
          <w:sz w:val="24"/>
          <w:szCs w:val="24"/>
        </w:rPr>
        <w:t>e</w:t>
      </w:r>
      <w:r w:rsidRPr="00BB0F14">
        <w:rPr>
          <w:sz w:val="24"/>
          <w:szCs w:val="24"/>
        </w:rPr>
        <w:t xml:space="preserve"> Energias Renováveis. UFRA. </w:t>
      </w:r>
      <w:r w:rsidR="0010469C" w:rsidRPr="00BB0F14">
        <w:rPr>
          <w:sz w:val="24"/>
          <w:szCs w:val="24"/>
        </w:rPr>
        <w:t xml:space="preserve">larissaamaral712@gmail.com </w:t>
      </w:r>
    </w:p>
    <w:p w14:paraId="792BDFF4" w14:textId="13D51143" w:rsidR="00275987" w:rsidRPr="00BB0F14" w:rsidRDefault="007559BB" w:rsidP="00275987">
      <w:pPr>
        <w:keepLines/>
        <w:shd w:val="clear" w:color="auto" w:fill="FFFFFF"/>
        <w:tabs>
          <w:tab w:val="left" w:pos="2500"/>
        </w:tabs>
        <w:jc w:val="center"/>
        <w:rPr>
          <w:sz w:val="24"/>
          <w:szCs w:val="24"/>
        </w:rPr>
      </w:pPr>
      <w:r w:rsidRPr="00BB0F14">
        <w:rPr>
          <w:sz w:val="24"/>
          <w:szCs w:val="24"/>
          <w:vertAlign w:val="superscript"/>
        </w:rPr>
        <w:t xml:space="preserve">6 </w:t>
      </w:r>
      <w:r w:rsidR="00164587" w:rsidRPr="00BB0F14">
        <w:rPr>
          <w:sz w:val="24"/>
          <w:szCs w:val="24"/>
        </w:rPr>
        <w:t>Programa de Pós-graduação em Aquicultura e Recursos Aquáticos Tropicais – PPGAqRAT/UFRA</w:t>
      </w:r>
      <w:r w:rsidR="00BB0F14" w:rsidRPr="00BB0F14">
        <w:rPr>
          <w:sz w:val="24"/>
          <w:szCs w:val="24"/>
        </w:rPr>
        <w:t>.</w:t>
      </w:r>
    </w:p>
    <w:p w14:paraId="6DF77603" w14:textId="233B8AC7" w:rsidR="007559BB" w:rsidRPr="00BB0F14" w:rsidRDefault="00275987" w:rsidP="00275987">
      <w:pPr>
        <w:keepLines/>
        <w:shd w:val="clear" w:color="auto" w:fill="FFFFFF"/>
        <w:tabs>
          <w:tab w:val="left" w:pos="2500"/>
        </w:tabs>
        <w:jc w:val="center"/>
        <w:rPr>
          <w:sz w:val="24"/>
          <w:szCs w:val="24"/>
        </w:rPr>
      </w:pPr>
      <w:r w:rsidRPr="00BB0F14">
        <w:rPr>
          <w:sz w:val="24"/>
          <w:szCs w:val="24"/>
        </w:rPr>
        <w:t>adrianapesca2023@gmail.com</w:t>
      </w:r>
    </w:p>
    <w:p w14:paraId="5516575D" w14:textId="42CCD33E" w:rsidR="007559BB" w:rsidRPr="00BB0F14" w:rsidRDefault="007559BB" w:rsidP="00462F45">
      <w:pPr>
        <w:keepLines/>
        <w:shd w:val="clear" w:color="auto" w:fill="FFFFFF"/>
        <w:tabs>
          <w:tab w:val="left" w:pos="2500"/>
        </w:tabs>
        <w:jc w:val="center"/>
        <w:rPr>
          <w:sz w:val="24"/>
          <w:szCs w:val="24"/>
        </w:rPr>
      </w:pPr>
      <w:r w:rsidRPr="008D2852">
        <w:rPr>
          <w:sz w:val="24"/>
          <w:szCs w:val="24"/>
          <w:vertAlign w:val="superscript"/>
        </w:rPr>
        <w:t xml:space="preserve">7 </w:t>
      </w:r>
      <w:r w:rsidR="008D2852" w:rsidRPr="008D2852">
        <w:rPr>
          <w:sz w:val="24"/>
          <w:szCs w:val="24"/>
        </w:rPr>
        <w:t>Doutorado</w:t>
      </w:r>
      <w:r w:rsidRPr="008D2852">
        <w:rPr>
          <w:sz w:val="24"/>
          <w:szCs w:val="24"/>
        </w:rPr>
        <w:t xml:space="preserve">. UFRA. </w:t>
      </w:r>
      <w:r w:rsidR="008D2852" w:rsidRPr="008D2852">
        <w:rPr>
          <w:sz w:val="24"/>
          <w:szCs w:val="24"/>
        </w:rPr>
        <w:t>Lourdes</w:t>
      </w:r>
      <w:r w:rsidR="008D2852">
        <w:rPr>
          <w:sz w:val="24"/>
          <w:szCs w:val="24"/>
        </w:rPr>
        <w:t>.santos@ufra.edu.br</w:t>
      </w:r>
    </w:p>
    <w:p w14:paraId="57E38DD4" w14:textId="77777777" w:rsidR="007619F8" w:rsidRPr="00BB0F14" w:rsidRDefault="007619F8" w:rsidP="003533DD">
      <w:pPr>
        <w:keepLines/>
        <w:shd w:val="clear" w:color="auto" w:fill="FFFFFF"/>
        <w:tabs>
          <w:tab w:val="left" w:pos="2500"/>
        </w:tabs>
        <w:jc w:val="center"/>
        <w:rPr>
          <w:sz w:val="24"/>
          <w:szCs w:val="24"/>
        </w:rPr>
      </w:pPr>
    </w:p>
    <w:p w14:paraId="2FABC7FE" w14:textId="51101170" w:rsidR="003949CE" w:rsidRPr="00BB0F14" w:rsidRDefault="003949CE" w:rsidP="003949CE">
      <w:pPr>
        <w:pBdr>
          <w:bottom w:val="none" w:sz="0" w:space="8" w:color="000000"/>
        </w:pBdr>
        <w:shd w:val="clear" w:color="auto" w:fill="FFFFFF"/>
        <w:tabs>
          <w:tab w:val="left" w:pos="2500"/>
        </w:tabs>
        <w:jc w:val="center"/>
        <w:rPr>
          <w:b/>
          <w:sz w:val="24"/>
          <w:szCs w:val="24"/>
          <w:u w:val="single"/>
        </w:rPr>
      </w:pPr>
      <w:r w:rsidRPr="00BB0F14">
        <w:rPr>
          <w:b/>
          <w:sz w:val="24"/>
          <w:szCs w:val="24"/>
          <w:u w:val="single"/>
        </w:rPr>
        <w:t>RESUMO</w:t>
      </w:r>
    </w:p>
    <w:p w14:paraId="0914CDB1" w14:textId="0C737CCA" w:rsidR="007C1649" w:rsidRPr="00BB0F14" w:rsidRDefault="007C1649" w:rsidP="002D1110">
      <w:pPr>
        <w:shd w:val="clear" w:color="auto" w:fill="FFFFFF"/>
        <w:tabs>
          <w:tab w:val="left" w:pos="2500"/>
        </w:tabs>
        <w:jc w:val="both"/>
        <w:rPr>
          <w:sz w:val="24"/>
          <w:szCs w:val="24"/>
        </w:rPr>
      </w:pPr>
      <w:r w:rsidRPr="00BB0F14">
        <w:rPr>
          <w:sz w:val="24"/>
          <w:szCs w:val="24"/>
        </w:rPr>
        <w:t>Este estudo avaliou a influência do ciclo de maré sobre parâmetros abióticos da água pH, turbidez, condutividade elétrica</w:t>
      </w:r>
      <w:r w:rsidR="00B911ED" w:rsidRPr="00BB0F14">
        <w:rPr>
          <w:sz w:val="24"/>
          <w:szCs w:val="24"/>
        </w:rPr>
        <w:t xml:space="preserve"> (</w:t>
      </w:r>
      <w:r w:rsidRPr="00BB0F14">
        <w:rPr>
          <w:sz w:val="24"/>
          <w:szCs w:val="24"/>
        </w:rPr>
        <w:t>CE</w:t>
      </w:r>
      <w:r w:rsidR="00B911ED" w:rsidRPr="00BB0F14">
        <w:rPr>
          <w:sz w:val="24"/>
          <w:szCs w:val="24"/>
        </w:rPr>
        <w:t>)</w:t>
      </w:r>
      <w:r w:rsidRPr="00BB0F14">
        <w:rPr>
          <w:sz w:val="24"/>
          <w:szCs w:val="24"/>
        </w:rPr>
        <w:t xml:space="preserve">, sólidos em suspensão </w:t>
      </w:r>
      <w:r w:rsidR="00B911ED" w:rsidRPr="00BB0F14">
        <w:rPr>
          <w:sz w:val="24"/>
          <w:szCs w:val="24"/>
        </w:rPr>
        <w:t>(</w:t>
      </w:r>
      <w:r w:rsidRPr="00BB0F14">
        <w:rPr>
          <w:sz w:val="24"/>
          <w:szCs w:val="24"/>
        </w:rPr>
        <w:t>SS</w:t>
      </w:r>
      <w:r w:rsidR="00B911ED" w:rsidRPr="00BB0F14">
        <w:rPr>
          <w:sz w:val="24"/>
          <w:szCs w:val="24"/>
        </w:rPr>
        <w:t>)</w:t>
      </w:r>
      <w:r w:rsidRPr="00BB0F14">
        <w:rPr>
          <w:sz w:val="24"/>
          <w:szCs w:val="24"/>
        </w:rPr>
        <w:t xml:space="preserve">, sólidos totais dissolvidos – </w:t>
      </w:r>
      <w:r w:rsidR="00B911ED" w:rsidRPr="00BB0F14">
        <w:rPr>
          <w:sz w:val="24"/>
          <w:szCs w:val="24"/>
        </w:rPr>
        <w:t>(</w:t>
      </w:r>
      <w:r w:rsidRPr="00BB0F14">
        <w:rPr>
          <w:sz w:val="24"/>
          <w:szCs w:val="24"/>
        </w:rPr>
        <w:t>STD</w:t>
      </w:r>
      <w:r w:rsidR="00B911ED" w:rsidRPr="00BB0F14">
        <w:rPr>
          <w:sz w:val="24"/>
          <w:szCs w:val="24"/>
        </w:rPr>
        <w:t>)</w:t>
      </w:r>
      <w:r w:rsidRPr="00BB0F14">
        <w:rPr>
          <w:sz w:val="24"/>
          <w:szCs w:val="24"/>
        </w:rPr>
        <w:t xml:space="preserve">, temperatura e salinidade nas águas do rio Maguari-Açú, em Ananindeua (PA). Foram analisadas 24 amostras emparelhadas em 12 pontos distribuídos de montante a jusante, no dia </w:t>
      </w:r>
      <w:r w:rsidR="008F66A9" w:rsidRPr="00BB0F14">
        <w:rPr>
          <w:sz w:val="24"/>
          <w:szCs w:val="24"/>
        </w:rPr>
        <w:t>12 de</w:t>
      </w:r>
      <w:r w:rsidRPr="00BB0F14">
        <w:rPr>
          <w:sz w:val="24"/>
          <w:szCs w:val="24"/>
        </w:rPr>
        <w:t xml:space="preserve"> agosto de 2025. Observou-se um gradiente longitudinal de CE crescente e valores mais elevados na preamar, especialmente no setor jusante (máximo em P11), indicando intrusão iônica durante a enchente. A turbidez apresentou máximos na baixa-mar (P9 e P12), sugerindo ressuspensão de sedimentos induzida por cisalhamento hidráulico, enquanto o pH manteve-se entre 6,00 e 6,48, dentro dos limites estabelecidos pela Resolução CONAMA nº 357/2005 para águas doces. A salinidade permaneceu ≤0,05‰, confirmando a tipologia fluvial ao longo do transecto.</w:t>
      </w:r>
      <w:r w:rsidR="00893517" w:rsidRPr="00BB0F14">
        <w:rPr>
          <w:sz w:val="24"/>
          <w:szCs w:val="24"/>
        </w:rPr>
        <w:t xml:space="preserve"> </w:t>
      </w:r>
      <w:r w:rsidRPr="00BB0F14">
        <w:rPr>
          <w:sz w:val="24"/>
          <w:szCs w:val="24"/>
        </w:rPr>
        <w:t>Os resultados reforçam a importância de monitorar o rio em diferentes fases da maré, pois essas variações influenciam diretamente a qualidade da água. A comparação entre baixa-mar e preamar permite compreender como a maré altera a concentração de sólidos e a condutividade, auxiliando na interpretação dos processos físicos e químicos que ocorrem em rios urbanos sob influência estuarina.</w:t>
      </w:r>
    </w:p>
    <w:p w14:paraId="71340687" w14:textId="706619D7" w:rsidR="003949CE" w:rsidRPr="00BB0F14" w:rsidRDefault="003949CE" w:rsidP="002D1110">
      <w:pPr>
        <w:shd w:val="clear" w:color="auto" w:fill="FFFFFF"/>
        <w:tabs>
          <w:tab w:val="left" w:pos="2500"/>
        </w:tabs>
        <w:rPr>
          <w:color w:val="FF0000"/>
          <w:sz w:val="24"/>
          <w:szCs w:val="24"/>
        </w:rPr>
      </w:pPr>
      <w:r w:rsidRPr="00BB0F14">
        <w:rPr>
          <w:b/>
          <w:sz w:val="24"/>
          <w:szCs w:val="24"/>
        </w:rPr>
        <w:t xml:space="preserve">Palavras-chave: </w:t>
      </w:r>
      <w:r w:rsidR="002D1110" w:rsidRPr="00BB0F14">
        <w:rPr>
          <w:sz w:val="24"/>
          <w:szCs w:val="24"/>
        </w:rPr>
        <w:t xml:space="preserve"> Rios urbanos</w:t>
      </w:r>
      <w:r w:rsidR="00B24408">
        <w:rPr>
          <w:sz w:val="24"/>
          <w:szCs w:val="24"/>
        </w:rPr>
        <w:t>.</w:t>
      </w:r>
      <w:r w:rsidR="00897657" w:rsidRPr="00BB0F14">
        <w:rPr>
          <w:sz w:val="24"/>
          <w:szCs w:val="24"/>
        </w:rPr>
        <w:t xml:space="preserve"> Salinidade</w:t>
      </w:r>
      <w:r w:rsidR="00B24408">
        <w:rPr>
          <w:sz w:val="24"/>
          <w:szCs w:val="24"/>
        </w:rPr>
        <w:t>.</w:t>
      </w:r>
      <w:r w:rsidR="00897657" w:rsidRPr="00BB0F14">
        <w:rPr>
          <w:sz w:val="24"/>
          <w:szCs w:val="24"/>
        </w:rPr>
        <w:t xml:space="preserve"> Turbidez</w:t>
      </w:r>
      <w:r w:rsidR="002D1110" w:rsidRPr="00BB0F14">
        <w:rPr>
          <w:sz w:val="24"/>
          <w:szCs w:val="24"/>
        </w:rPr>
        <w:t xml:space="preserve">. </w:t>
      </w:r>
    </w:p>
    <w:p w14:paraId="38771284" w14:textId="77777777" w:rsidR="002D1110" w:rsidRPr="00BB0F14" w:rsidRDefault="002D1110" w:rsidP="002D1110">
      <w:pPr>
        <w:shd w:val="clear" w:color="auto" w:fill="FFFFFF"/>
        <w:tabs>
          <w:tab w:val="left" w:pos="2500"/>
        </w:tabs>
        <w:rPr>
          <w:sz w:val="24"/>
          <w:szCs w:val="24"/>
        </w:rPr>
      </w:pPr>
    </w:p>
    <w:p w14:paraId="73EB5E4E" w14:textId="166BE348" w:rsidR="003949CE" w:rsidRPr="00BB0F14" w:rsidRDefault="003949CE" w:rsidP="003949CE">
      <w:pPr>
        <w:shd w:val="clear" w:color="auto" w:fill="FFFFFF"/>
        <w:tabs>
          <w:tab w:val="left" w:pos="2500"/>
        </w:tabs>
        <w:rPr>
          <w:b/>
          <w:color w:val="0000FF"/>
          <w:sz w:val="24"/>
          <w:szCs w:val="24"/>
          <w:u w:val="single"/>
        </w:rPr>
      </w:pPr>
      <w:r w:rsidRPr="00BB0F14">
        <w:rPr>
          <w:b/>
          <w:sz w:val="24"/>
          <w:szCs w:val="24"/>
        </w:rPr>
        <w:t>Área de Interesse do Simpósio</w:t>
      </w:r>
      <w:r w:rsidRPr="00BB0F14">
        <w:rPr>
          <w:sz w:val="24"/>
          <w:szCs w:val="24"/>
        </w:rPr>
        <w:t xml:space="preserve">: </w:t>
      </w:r>
      <w:r w:rsidR="000436E8" w:rsidRPr="00BB0F14">
        <w:rPr>
          <w:sz w:val="24"/>
          <w:szCs w:val="24"/>
        </w:rPr>
        <w:t>Ciências Exatas e da Terra</w:t>
      </w:r>
      <w:r w:rsidR="00B85327" w:rsidRPr="00BB0F14">
        <w:rPr>
          <w:sz w:val="24"/>
          <w:szCs w:val="24"/>
        </w:rPr>
        <w:t>.</w:t>
      </w:r>
    </w:p>
    <w:p w14:paraId="67EAB2F8" w14:textId="77777777" w:rsidR="00E96500" w:rsidRDefault="00E96500" w:rsidP="00BB0F14">
      <w:pPr>
        <w:pStyle w:val="PargrafodaLista"/>
        <w:pBdr>
          <w:bottom w:val="none" w:sz="0" w:space="18" w:color="000000"/>
        </w:pBdr>
        <w:shd w:val="clear" w:color="auto" w:fill="FFFFFF"/>
        <w:tabs>
          <w:tab w:val="left" w:pos="2500"/>
        </w:tabs>
        <w:spacing w:line="360" w:lineRule="auto"/>
        <w:ind w:left="720" w:firstLine="0"/>
        <w:rPr>
          <w:b/>
          <w:sz w:val="24"/>
          <w:szCs w:val="24"/>
        </w:rPr>
      </w:pPr>
    </w:p>
    <w:p w14:paraId="54CBF2FA" w14:textId="19E5D9F6" w:rsidR="00BB0F14" w:rsidRPr="00180044" w:rsidRDefault="003949CE" w:rsidP="00180044">
      <w:pPr>
        <w:pStyle w:val="PargrafodaLista"/>
        <w:numPr>
          <w:ilvl w:val="0"/>
          <w:numId w:val="8"/>
        </w:numPr>
        <w:pBdr>
          <w:bottom w:val="none" w:sz="0" w:space="18" w:color="000000"/>
        </w:pBdr>
        <w:shd w:val="clear" w:color="auto" w:fill="FFFFFF"/>
        <w:tabs>
          <w:tab w:val="left" w:pos="2500"/>
        </w:tabs>
        <w:spacing w:line="360" w:lineRule="auto"/>
        <w:rPr>
          <w:b/>
          <w:sz w:val="24"/>
          <w:szCs w:val="24"/>
        </w:rPr>
      </w:pPr>
      <w:r w:rsidRPr="00180044">
        <w:rPr>
          <w:b/>
          <w:sz w:val="24"/>
          <w:szCs w:val="24"/>
        </w:rPr>
        <w:lastRenderedPageBreak/>
        <w:t xml:space="preserve">INTRODUÇÃO </w:t>
      </w:r>
    </w:p>
    <w:p w14:paraId="4922C570" w14:textId="77777777" w:rsidR="00320794" w:rsidRPr="00BB0F14" w:rsidRDefault="003949CE" w:rsidP="00320794">
      <w:pPr>
        <w:spacing w:line="360" w:lineRule="auto"/>
        <w:jc w:val="both"/>
        <w:rPr>
          <w:sz w:val="24"/>
          <w:szCs w:val="24"/>
          <w:lang w:val="pt-BR"/>
        </w:rPr>
      </w:pPr>
      <w:r w:rsidRPr="00BB0F14">
        <w:rPr>
          <w:sz w:val="24"/>
          <w:szCs w:val="24"/>
        </w:rPr>
        <w:tab/>
      </w:r>
      <w:r w:rsidR="00320794" w:rsidRPr="00BB0F14">
        <w:rPr>
          <w:sz w:val="24"/>
          <w:szCs w:val="24"/>
          <w:lang w:val="pt-BR"/>
        </w:rPr>
        <w:t xml:space="preserve">A avaliação da qualidade da água no Brasil fundamenta-se na Política Nacional de Recursos Hídricos (Lei nº 9.433/1997) e na Resolução CONAMA nº 357/2005, que definem classes e faixas de variáveis físico-químicas aplicáveis ao enquadramento e ao monitoramento de corpos hídricos (BRASIL, 1997; BRASIL, 2005). </w:t>
      </w:r>
    </w:p>
    <w:p w14:paraId="268ACFB5" w14:textId="749560E0" w:rsidR="00320794" w:rsidRPr="00BB0F14" w:rsidRDefault="00320794" w:rsidP="00320794">
      <w:pPr>
        <w:spacing w:line="360" w:lineRule="auto"/>
        <w:ind w:firstLine="720"/>
        <w:jc w:val="both"/>
        <w:rPr>
          <w:sz w:val="24"/>
          <w:szCs w:val="24"/>
          <w:lang w:val="pt-BR"/>
        </w:rPr>
      </w:pPr>
      <w:r w:rsidRPr="00BB0F14">
        <w:rPr>
          <w:sz w:val="24"/>
          <w:szCs w:val="24"/>
          <w:lang w:val="pt-BR"/>
        </w:rPr>
        <w:t>Em sistemas urbanos sob influência estuarina, a alternância intradiária entre preamar e baixa-mar reorganiza a mistura e a estratificação da coluna d’água, modulando parâmetros como condutividade elétrica (CE), salinidade, turbidez</w:t>
      </w:r>
      <w:r w:rsidR="00397534" w:rsidRPr="00BB0F14">
        <w:rPr>
          <w:sz w:val="24"/>
          <w:szCs w:val="24"/>
          <w:lang w:val="pt-BR"/>
        </w:rPr>
        <w:t>, sólidos totais dissolvidos (STD)</w:t>
      </w:r>
      <w:r w:rsidRPr="00BB0F14">
        <w:rPr>
          <w:sz w:val="24"/>
          <w:szCs w:val="24"/>
          <w:lang w:val="pt-BR"/>
        </w:rPr>
        <w:t xml:space="preserve"> e sólidos em suspensão</w:t>
      </w:r>
      <w:r w:rsidR="00081D21" w:rsidRPr="00BB0F14">
        <w:rPr>
          <w:sz w:val="24"/>
          <w:szCs w:val="24"/>
          <w:lang w:val="pt-BR"/>
        </w:rPr>
        <w:t xml:space="preserve"> (SS)</w:t>
      </w:r>
      <w:r w:rsidRPr="00BB0F14">
        <w:rPr>
          <w:sz w:val="24"/>
          <w:szCs w:val="24"/>
          <w:lang w:val="pt-BR"/>
        </w:rPr>
        <w:t>. Dessa forma, campanhas pareadas realizadas no mesmo dia reduzem vieses meteorológicos e hidrológicos e permitem compreender melhor os efeitos do pulso de maré sobre a qualidade da água (Tucci, 2008).</w:t>
      </w:r>
    </w:p>
    <w:p w14:paraId="364F210E" w14:textId="2DFB9A3E" w:rsidR="00320794" w:rsidRPr="00BB0F14" w:rsidRDefault="00320794" w:rsidP="00320794">
      <w:pPr>
        <w:spacing w:line="360" w:lineRule="auto"/>
        <w:ind w:firstLine="720"/>
        <w:jc w:val="both"/>
        <w:rPr>
          <w:sz w:val="24"/>
          <w:szCs w:val="24"/>
          <w:lang w:val="pt-BR"/>
        </w:rPr>
      </w:pPr>
      <w:r w:rsidRPr="00BB0F14">
        <w:rPr>
          <w:sz w:val="24"/>
          <w:szCs w:val="24"/>
          <w:lang w:val="pt-BR"/>
        </w:rPr>
        <w:t xml:space="preserve">Na </w:t>
      </w:r>
      <w:r w:rsidR="00DC66C6" w:rsidRPr="00BB0F14">
        <w:rPr>
          <w:sz w:val="24"/>
          <w:szCs w:val="24"/>
          <w:lang w:val="pt-BR"/>
        </w:rPr>
        <w:t>R</w:t>
      </w:r>
      <w:r w:rsidRPr="00BB0F14">
        <w:rPr>
          <w:sz w:val="24"/>
          <w:szCs w:val="24"/>
          <w:lang w:val="pt-BR"/>
        </w:rPr>
        <w:t xml:space="preserve">egião </w:t>
      </w:r>
      <w:r w:rsidR="00DC66C6" w:rsidRPr="00BB0F14">
        <w:rPr>
          <w:sz w:val="24"/>
          <w:szCs w:val="24"/>
          <w:lang w:val="pt-BR"/>
        </w:rPr>
        <w:t>M</w:t>
      </w:r>
      <w:r w:rsidRPr="00BB0F14">
        <w:rPr>
          <w:sz w:val="24"/>
          <w:szCs w:val="24"/>
          <w:lang w:val="pt-BR"/>
        </w:rPr>
        <w:t>etropolitana de Belém</w:t>
      </w:r>
      <w:r w:rsidR="00DC66C6" w:rsidRPr="00BB0F14">
        <w:rPr>
          <w:sz w:val="24"/>
          <w:szCs w:val="24"/>
          <w:lang w:val="pt-BR"/>
        </w:rPr>
        <w:t xml:space="preserve"> (RMB)</w:t>
      </w:r>
      <w:r w:rsidRPr="00BB0F14">
        <w:rPr>
          <w:sz w:val="24"/>
          <w:szCs w:val="24"/>
          <w:lang w:val="pt-BR"/>
        </w:rPr>
        <w:t>, evidências empíricas indicam que a maré exerce forte influência sobre os parâmetros físico-químicos, especialmente no rio Guamá, onde se observam variações expressivas de CE, sólidos suspensos e turbidez entre as fases de enchente e vazante (Lima et al., 2023; Araújo, 2018). Trabalhos recentes também mostram que a dinâmica de mistura estuarina na baía do Guajará e nos canais adjacentes afeta a distribuição de sedimentos, nutrientes e material particulado, refletindo diretamente na qualidade da água em áreas urbanas densamente ocupadas (Pires et al., 2024; Aviz et al., 2024).</w:t>
      </w:r>
    </w:p>
    <w:p w14:paraId="14B3E8CF" w14:textId="1A175934" w:rsidR="00320794" w:rsidRPr="00BB0F14" w:rsidRDefault="00320794" w:rsidP="00320794">
      <w:pPr>
        <w:spacing w:line="360" w:lineRule="auto"/>
        <w:ind w:firstLine="720"/>
        <w:jc w:val="both"/>
        <w:rPr>
          <w:sz w:val="24"/>
          <w:szCs w:val="24"/>
          <w:lang w:val="pt-BR"/>
        </w:rPr>
      </w:pPr>
      <w:r w:rsidRPr="00BB0F14">
        <w:rPr>
          <w:sz w:val="24"/>
          <w:szCs w:val="24"/>
          <w:lang w:val="pt-BR"/>
        </w:rPr>
        <w:t xml:space="preserve">Especificamente no rio Maguari-Açú, localizado em Ananindeua (PA), estudos de microbacia e análises morfométricas descrevem um sistema urbano de baixa altitude, com pressões difusas e pontuais associadas à drenagem pluvial e à ocupação irregular das margens. Essa configuração o torna suscetível à influência estuarina e à variabilidade sazonal, além de representar um importante corpo hídrico para o diagnóstico ambiental da zona leste da </w:t>
      </w:r>
      <w:r w:rsidR="00DC66C6" w:rsidRPr="00BB0F14">
        <w:rPr>
          <w:sz w:val="24"/>
          <w:szCs w:val="24"/>
          <w:lang w:val="pt-BR"/>
        </w:rPr>
        <w:t>RMB</w:t>
      </w:r>
      <w:r w:rsidRPr="00BB0F14">
        <w:rPr>
          <w:sz w:val="24"/>
          <w:szCs w:val="24"/>
          <w:lang w:val="pt-BR"/>
        </w:rPr>
        <w:t xml:space="preserve"> (Pereira et al., 2024; </w:t>
      </w:r>
      <w:r w:rsidR="000C0BFB" w:rsidRPr="00BB0F14">
        <w:rPr>
          <w:sz w:val="24"/>
          <w:szCs w:val="24"/>
          <w:lang w:val="pt-BR"/>
        </w:rPr>
        <w:t>Mesquita</w:t>
      </w:r>
      <w:r w:rsidRPr="00BB0F14">
        <w:rPr>
          <w:sz w:val="24"/>
          <w:szCs w:val="24"/>
          <w:lang w:val="pt-BR"/>
        </w:rPr>
        <w:t xml:space="preserve"> </w:t>
      </w:r>
      <w:r w:rsidRPr="00DE3A1D">
        <w:rPr>
          <w:i/>
          <w:iCs/>
          <w:sz w:val="24"/>
          <w:szCs w:val="24"/>
          <w:lang w:val="pt-BR"/>
        </w:rPr>
        <w:t>et al.,</w:t>
      </w:r>
      <w:r w:rsidRPr="00BB0F14">
        <w:rPr>
          <w:sz w:val="24"/>
          <w:szCs w:val="24"/>
          <w:lang w:val="pt-BR"/>
        </w:rPr>
        <w:t xml:space="preserve"> 2024).</w:t>
      </w:r>
    </w:p>
    <w:p w14:paraId="54F7150E" w14:textId="650F3FE6" w:rsidR="00320794" w:rsidRPr="00BB0F14" w:rsidRDefault="00320794" w:rsidP="00320794">
      <w:pPr>
        <w:spacing w:line="360" w:lineRule="auto"/>
        <w:ind w:firstLine="720"/>
        <w:jc w:val="both"/>
        <w:rPr>
          <w:sz w:val="24"/>
          <w:szCs w:val="24"/>
          <w:lang w:val="pt-BR"/>
        </w:rPr>
      </w:pPr>
      <w:r w:rsidRPr="00BB0F14">
        <w:rPr>
          <w:sz w:val="24"/>
          <w:szCs w:val="24"/>
          <w:lang w:val="pt-BR"/>
        </w:rPr>
        <w:t xml:space="preserve">Nesse contexto, este estudo teve como objetivo avaliar as variações espaciais de parâmetros abióticos (temperatura, pH, salinidade, </w:t>
      </w:r>
      <w:r w:rsidR="00DC66C6" w:rsidRPr="00BB0F14">
        <w:rPr>
          <w:sz w:val="24"/>
          <w:szCs w:val="24"/>
          <w:lang w:val="pt-BR"/>
        </w:rPr>
        <w:t>CE</w:t>
      </w:r>
      <w:r w:rsidRPr="00BB0F14">
        <w:rPr>
          <w:sz w:val="24"/>
          <w:szCs w:val="24"/>
          <w:lang w:val="pt-BR"/>
        </w:rPr>
        <w:t>, sólidos totais dissolvidos, turbidez e sólidos em suspensão) no rio Maguari-Açú, comparando as condições de baixa-mar e preamar, a fim de contribuir para o entendimento da dinâmica estuarina e subsidiar o planejamento de monitoramento ambiental e a gestão dos recursos hídricos da região.</w:t>
      </w:r>
    </w:p>
    <w:p w14:paraId="309E8D17" w14:textId="0FD54D7D" w:rsidR="003949CE" w:rsidRPr="00BB0F14" w:rsidRDefault="003949CE" w:rsidP="003949CE">
      <w:pPr>
        <w:pBdr>
          <w:bottom w:val="none" w:sz="0" w:space="18" w:color="000000"/>
        </w:pBdr>
        <w:shd w:val="clear" w:color="auto" w:fill="FFFFFF"/>
        <w:tabs>
          <w:tab w:val="left" w:pos="2500"/>
        </w:tabs>
        <w:spacing w:line="310" w:lineRule="auto"/>
        <w:jc w:val="both"/>
        <w:rPr>
          <w:b/>
          <w:sz w:val="24"/>
          <w:szCs w:val="24"/>
        </w:rPr>
      </w:pPr>
      <w:r w:rsidRPr="00BB0F14">
        <w:rPr>
          <w:b/>
          <w:sz w:val="24"/>
          <w:szCs w:val="24"/>
        </w:rPr>
        <w:lastRenderedPageBreak/>
        <w:t xml:space="preserve">2. MATERIAL E MÉTODOS </w:t>
      </w:r>
    </w:p>
    <w:p w14:paraId="71FE876F" w14:textId="41483BF9" w:rsidR="00FD74B4" w:rsidRPr="00BB0F14" w:rsidRDefault="00FD74B4" w:rsidP="003949CE">
      <w:pPr>
        <w:pBdr>
          <w:bottom w:val="none" w:sz="0" w:space="18" w:color="000000"/>
        </w:pBdr>
        <w:shd w:val="clear" w:color="auto" w:fill="FFFFFF"/>
        <w:tabs>
          <w:tab w:val="left" w:pos="2500"/>
        </w:tabs>
        <w:spacing w:line="310" w:lineRule="auto"/>
        <w:jc w:val="both"/>
        <w:rPr>
          <w:sz w:val="24"/>
          <w:szCs w:val="24"/>
        </w:rPr>
      </w:pPr>
    </w:p>
    <w:p w14:paraId="03899FE7" w14:textId="28855478" w:rsidR="00562046" w:rsidRPr="00BB0F14" w:rsidRDefault="00562046" w:rsidP="003949CE">
      <w:pPr>
        <w:pBdr>
          <w:bottom w:val="none" w:sz="0" w:space="18" w:color="000000"/>
        </w:pBdr>
        <w:shd w:val="clear" w:color="auto" w:fill="FFFFFF"/>
        <w:tabs>
          <w:tab w:val="left" w:pos="2500"/>
        </w:tabs>
        <w:spacing w:line="310" w:lineRule="auto"/>
        <w:jc w:val="both"/>
        <w:rPr>
          <w:sz w:val="24"/>
          <w:szCs w:val="24"/>
        </w:rPr>
      </w:pPr>
      <w:r w:rsidRPr="00BB0F14">
        <w:rPr>
          <w:sz w:val="24"/>
          <w:szCs w:val="24"/>
        </w:rPr>
        <w:t xml:space="preserve">2.1 ÁREA DE ESTUDO </w:t>
      </w:r>
    </w:p>
    <w:p w14:paraId="4B4DAEF9" w14:textId="34F65EEB" w:rsidR="00FD74B4" w:rsidRPr="00BB0F14" w:rsidRDefault="00FD74B4" w:rsidP="00FD74B4">
      <w:pPr>
        <w:spacing w:line="360" w:lineRule="auto"/>
        <w:ind w:firstLine="708"/>
        <w:jc w:val="both"/>
        <w:rPr>
          <w:sz w:val="24"/>
          <w:szCs w:val="24"/>
        </w:rPr>
      </w:pPr>
      <w:r w:rsidRPr="00BB0F14">
        <w:rPr>
          <w:sz w:val="24"/>
          <w:szCs w:val="24"/>
        </w:rPr>
        <w:tab/>
        <w:t xml:space="preserve">O município de Ananindeua, inserido no Nordeste Paraense e integrante da Região Metropolitana de Belém (RMB), enquadra-se, na Mesorregião Metropolitana de Belém e na Microrregião de </w:t>
      </w:r>
      <w:r w:rsidR="00DE6CFC" w:rsidRPr="00BB0F14">
        <w:rPr>
          <w:sz w:val="24"/>
          <w:szCs w:val="24"/>
        </w:rPr>
        <w:t>Belém</w:t>
      </w:r>
      <w:r w:rsidRPr="00BB0F14">
        <w:rPr>
          <w:sz w:val="24"/>
          <w:szCs w:val="24"/>
        </w:rPr>
        <w:t xml:space="preserve"> (IBGE, 2025). </w:t>
      </w:r>
    </w:p>
    <w:p w14:paraId="7E3E72BA" w14:textId="292211A6" w:rsidR="00FD74B4" w:rsidRPr="00BB0F14" w:rsidRDefault="006A6FE3" w:rsidP="00FD74B4">
      <w:pPr>
        <w:spacing w:line="360" w:lineRule="auto"/>
        <w:jc w:val="both"/>
        <w:rPr>
          <w:sz w:val="24"/>
          <w:szCs w:val="24"/>
        </w:rPr>
      </w:pPr>
      <w:r w:rsidRPr="00BB0F14">
        <w:rPr>
          <w:sz w:val="24"/>
          <w:szCs w:val="24"/>
        </w:rPr>
        <w:tab/>
      </w:r>
      <w:r w:rsidR="00FD74B4" w:rsidRPr="00BB0F14">
        <w:rPr>
          <w:sz w:val="24"/>
          <w:szCs w:val="24"/>
        </w:rPr>
        <w:t>A área de interesse corresponde à microbacia hidrográfica do rio Maguari-Açu, afluente do Furo do Maguari, inserida na Região Hidrográfica Costa Atlântica – Nordeste. Essa microbacia apresenta aproximadamente 21–22 km² de área de drenagem e cerca de 11 km de extensão do curso principal (Santos, 2017</w:t>
      </w:r>
      <w:r w:rsidR="00A078E9" w:rsidRPr="00BB0F14">
        <w:rPr>
          <w:sz w:val="24"/>
          <w:szCs w:val="24"/>
        </w:rPr>
        <w:t xml:space="preserve">; Souza </w:t>
      </w:r>
      <w:r w:rsidR="00A078E9" w:rsidRPr="00DE3A1D">
        <w:rPr>
          <w:i/>
          <w:iCs/>
          <w:sz w:val="24"/>
          <w:szCs w:val="24"/>
        </w:rPr>
        <w:t xml:space="preserve">et al., </w:t>
      </w:r>
      <w:r w:rsidR="00A078E9" w:rsidRPr="00BB0F14">
        <w:rPr>
          <w:sz w:val="24"/>
          <w:szCs w:val="24"/>
        </w:rPr>
        <w:t>2021</w:t>
      </w:r>
      <w:r w:rsidR="00FD74B4" w:rsidRPr="00BB0F14">
        <w:rPr>
          <w:sz w:val="24"/>
          <w:szCs w:val="24"/>
        </w:rPr>
        <w:t xml:space="preserve">). </w:t>
      </w:r>
    </w:p>
    <w:p w14:paraId="3E44E46F" w14:textId="6298BF0A" w:rsidR="00F55756" w:rsidRPr="00BB0F14" w:rsidRDefault="00B40750" w:rsidP="00B40750">
      <w:pPr>
        <w:pBdr>
          <w:bottom w:val="none" w:sz="0" w:space="8" w:color="000000"/>
        </w:pBdr>
        <w:shd w:val="clear" w:color="auto" w:fill="FFFFFF"/>
        <w:tabs>
          <w:tab w:val="left" w:pos="2500"/>
        </w:tabs>
        <w:spacing w:line="360" w:lineRule="auto"/>
        <w:ind w:firstLine="709"/>
        <w:jc w:val="both"/>
        <w:rPr>
          <w:sz w:val="24"/>
          <w:szCs w:val="24"/>
        </w:rPr>
      </w:pPr>
      <w:r w:rsidRPr="00BB0F14">
        <w:rPr>
          <w:sz w:val="24"/>
          <w:szCs w:val="24"/>
        </w:rPr>
        <w:t>O clima da região metropolitana de Belém é classificado como tropical chuvoso tipo Af segundo Köppen, caracterizado por chuvas abundantes durante o ano, temperatura média anual de 26,7 °C e precipitação média mensal sempre superior a 60 mm, sem estação seca definida. (IDEFLOR-Bio, 2024).</w:t>
      </w:r>
    </w:p>
    <w:p w14:paraId="235A6507" w14:textId="36D55191" w:rsidR="00B40750" w:rsidRPr="00BB0F14" w:rsidRDefault="00B85327" w:rsidP="00B40750">
      <w:pPr>
        <w:pBdr>
          <w:bottom w:val="none" w:sz="0" w:space="8" w:color="000000"/>
        </w:pBdr>
        <w:shd w:val="clear" w:color="auto" w:fill="FFFFFF"/>
        <w:tabs>
          <w:tab w:val="left" w:pos="2500"/>
        </w:tabs>
        <w:spacing w:line="360" w:lineRule="auto"/>
        <w:ind w:firstLine="709"/>
        <w:jc w:val="both"/>
        <w:rPr>
          <w:sz w:val="24"/>
          <w:szCs w:val="24"/>
        </w:rPr>
      </w:pPr>
      <w:r w:rsidRPr="00BB0F14">
        <w:rPr>
          <w:sz w:val="24"/>
          <w:szCs w:val="24"/>
        </w:rPr>
        <w:t xml:space="preserve"> </w:t>
      </w:r>
      <w:r w:rsidR="00B40750" w:rsidRPr="00BB0F14">
        <w:rPr>
          <w:sz w:val="24"/>
          <w:szCs w:val="24"/>
        </w:rPr>
        <w:t xml:space="preserve">Agosto representa o final do período de menor pluviosidade </w:t>
      </w:r>
      <w:r w:rsidR="00977596" w:rsidRPr="00BB0F14">
        <w:rPr>
          <w:sz w:val="24"/>
          <w:szCs w:val="24"/>
        </w:rPr>
        <w:t xml:space="preserve">de </w:t>
      </w:r>
      <w:r w:rsidR="00B40750" w:rsidRPr="00BB0F14">
        <w:rPr>
          <w:sz w:val="24"/>
          <w:szCs w:val="24"/>
        </w:rPr>
        <w:t>julho</w:t>
      </w:r>
      <w:r w:rsidR="00F55756" w:rsidRPr="00BB0F14">
        <w:rPr>
          <w:sz w:val="24"/>
          <w:szCs w:val="24"/>
        </w:rPr>
        <w:t xml:space="preserve"> a </w:t>
      </w:r>
      <w:r w:rsidR="00B40750" w:rsidRPr="00BB0F14">
        <w:rPr>
          <w:sz w:val="24"/>
          <w:szCs w:val="24"/>
        </w:rPr>
        <w:t>setembro, com temperatura média de 24 a 31 °C, precipitação mensal histórica de 80 a 100 mm e chance de chuva de 40% em dia típico, caracterizando transição sazonal antes do início do período chuvoso principal de dezembro a maio (INMET, 2025)</w:t>
      </w:r>
      <w:r w:rsidRPr="00BB0F14">
        <w:rPr>
          <w:sz w:val="24"/>
          <w:szCs w:val="24"/>
        </w:rPr>
        <w:t>.</w:t>
      </w:r>
    </w:p>
    <w:p w14:paraId="1D5A1167" w14:textId="77777777" w:rsidR="00B40750" w:rsidRPr="00BB0F14" w:rsidRDefault="00B40750" w:rsidP="00B40750">
      <w:pPr>
        <w:pBdr>
          <w:bottom w:val="none" w:sz="0" w:space="8" w:color="000000"/>
        </w:pBdr>
        <w:shd w:val="clear" w:color="auto" w:fill="FFFFFF"/>
        <w:tabs>
          <w:tab w:val="left" w:pos="2500"/>
        </w:tabs>
        <w:spacing w:line="360" w:lineRule="auto"/>
        <w:ind w:firstLine="709"/>
        <w:jc w:val="both"/>
        <w:rPr>
          <w:sz w:val="24"/>
          <w:szCs w:val="24"/>
        </w:rPr>
      </w:pPr>
    </w:p>
    <w:p w14:paraId="3BFA18C2" w14:textId="1793E0F4" w:rsidR="009E15EF" w:rsidRPr="00BB0F14" w:rsidRDefault="009E15EF" w:rsidP="0045147A">
      <w:pPr>
        <w:pBdr>
          <w:bottom w:val="none" w:sz="0" w:space="18" w:color="000000"/>
        </w:pBdr>
        <w:shd w:val="clear" w:color="auto" w:fill="FFFFFF"/>
        <w:tabs>
          <w:tab w:val="left" w:pos="2500"/>
        </w:tabs>
        <w:spacing w:line="360" w:lineRule="auto"/>
        <w:jc w:val="both"/>
        <w:rPr>
          <w:sz w:val="24"/>
          <w:szCs w:val="24"/>
        </w:rPr>
      </w:pPr>
      <w:r w:rsidRPr="00BB0F14">
        <w:rPr>
          <w:sz w:val="24"/>
          <w:szCs w:val="24"/>
        </w:rPr>
        <w:t xml:space="preserve">2.2 </w:t>
      </w:r>
      <w:r w:rsidR="00F35985" w:rsidRPr="00BB0F14">
        <w:rPr>
          <w:sz w:val="24"/>
          <w:szCs w:val="24"/>
        </w:rPr>
        <w:t>PROCEDIMENTO</w:t>
      </w:r>
      <w:r w:rsidR="00F93948" w:rsidRPr="00BB0F14">
        <w:rPr>
          <w:sz w:val="24"/>
          <w:szCs w:val="24"/>
        </w:rPr>
        <w:t>S</w:t>
      </w:r>
      <w:r w:rsidR="00F35985" w:rsidRPr="00BB0F14">
        <w:rPr>
          <w:sz w:val="24"/>
          <w:szCs w:val="24"/>
        </w:rPr>
        <w:t xml:space="preserve"> EM </w:t>
      </w:r>
      <w:r w:rsidRPr="00BB0F14">
        <w:rPr>
          <w:sz w:val="24"/>
          <w:szCs w:val="24"/>
        </w:rPr>
        <w:t>CAMPO</w:t>
      </w:r>
      <w:r w:rsidR="00F93948" w:rsidRPr="00BB0F14">
        <w:rPr>
          <w:sz w:val="24"/>
          <w:szCs w:val="24"/>
        </w:rPr>
        <w:t xml:space="preserve"> E EM LABORATÓRIO</w:t>
      </w:r>
    </w:p>
    <w:p w14:paraId="19319164" w14:textId="65A2552E" w:rsidR="0045147A" w:rsidRPr="00BB0F14" w:rsidRDefault="009E15EF" w:rsidP="0045147A">
      <w:pPr>
        <w:spacing w:line="360" w:lineRule="auto"/>
        <w:jc w:val="both"/>
        <w:rPr>
          <w:sz w:val="24"/>
          <w:szCs w:val="24"/>
        </w:rPr>
      </w:pPr>
      <w:r w:rsidRPr="00BB0F14">
        <w:rPr>
          <w:sz w:val="24"/>
          <w:szCs w:val="24"/>
        </w:rPr>
        <w:tab/>
      </w:r>
      <w:r w:rsidR="0045147A" w:rsidRPr="00BB0F14">
        <w:rPr>
          <w:sz w:val="24"/>
          <w:szCs w:val="24"/>
        </w:rPr>
        <w:t xml:space="preserve">As coletas de água foram realizadas no dia 12 de agosto de 2025, em uma profundidade de 30 cm da camada superficial, em doze pontos distribuídos ao longo do rio Maguari-Açú </w:t>
      </w:r>
      <w:r w:rsidR="00B35982" w:rsidRPr="00BB0F14">
        <w:rPr>
          <w:sz w:val="24"/>
          <w:szCs w:val="24"/>
        </w:rPr>
        <w:t>(f</w:t>
      </w:r>
      <w:r w:rsidR="0045147A" w:rsidRPr="00BB0F14">
        <w:rPr>
          <w:sz w:val="24"/>
          <w:szCs w:val="24"/>
        </w:rPr>
        <w:t xml:space="preserve">igura </w:t>
      </w:r>
      <w:r w:rsidR="00F55756" w:rsidRPr="00BB0F14">
        <w:rPr>
          <w:sz w:val="24"/>
          <w:szCs w:val="24"/>
        </w:rPr>
        <w:t>1</w:t>
      </w:r>
      <w:r w:rsidR="00B35982" w:rsidRPr="00BB0F14">
        <w:rPr>
          <w:sz w:val="24"/>
          <w:szCs w:val="24"/>
        </w:rPr>
        <w:t>)</w:t>
      </w:r>
      <w:r w:rsidR="0045147A" w:rsidRPr="00BB0F14">
        <w:rPr>
          <w:sz w:val="24"/>
          <w:szCs w:val="24"/>
        </w:rPr>
        <w:t>. Para cada ponto, foram registradas coordenadas geográficas, hora da coleta e condição de maré, visto que esses parâmetros apresentam elevada sensibilidade às variações hidrológicas e às pressões antrópicas, como demonstrado em estudos de rios amazônicos (A</w:t>
      </w:r>
      <w:r w:rsidR="0001456B" w:rsidRPr="00BB0F14">
        <w:rPr>
          <w:sz w:val="24"/>
          <w:szCs w:val="24"/>
        </w:rPr>
        <w:t>breu</w:t>
      </w:r>
      <w:r w:rsidR="00286505" w:rsidRPr="00BB0F14">
        <w:rPr>
          <w:sz w:val="24"/>
          <w:szCs w:val="24"/>
        </w:rPr>
        <w:t>;</w:t>
      </w:r>
      <w:r w:rsidR="00E72665" w:rsidRPr="00BB0F14">
        <w:rPr>
          <w:sz w:val="24"/>
          <w:szCs w:val="24"/>
        </w:rPr>
        <w:t xml:space="preserve"> Cunha</w:t>
      </w:r>
      <w:r w:rsidR="0045147A" w:rsidRPr="00BB0F14">
        <w:rPr>
          <w:sz w:val="24"/>
          <w:szCs w:val="24"/>
        </w:rPr>
        <w:t>, 201</w:t>
      </w:r>
      <w:r w:rsidR="001E54D2" w:rsidRPr="00BB0F14">
        <w:rPr>
          <w:sz w:val="24"/>
          <w:szCs w:val="24"/>
        </w:rPr>
        <w:t>7</w:t>
      </w:r>
      <w:r w:rsidR="0045147A" w:rsidRPr="00BB0F14">
        <w:rPr>
          <w:sz w:val="24"/>
          <w:szCs w:val="24"/>
        </w:rPr>
        <w:t>; P</w:t>
      </w:r>
      <w:r w:rsidR="0001456B" w:rsidRPr="00BB0F14">
        <w:rPr>
          <w:sz w:val="24"/>
          <w:szCs w:val="24"/>
        </w:rPr>
        <w:t>iratoba</w:t>
      </w:r>
      <w:r w:rsidR="004323E0" w:rsidRPr="00BB0F14">
        <w:rPr>
          <w:sz w:val="24"/>
          <w:szCs w:val="24"/>
        </w:rPr>
        <w:t xml:space="preserve"> </w:t>
      </w:r>
      <w:r w:rsidR="004323E0" w:rsidRPr="00DE3A1D">
        <w:rPr>
          <w:i/>
          <w:iCs/>
          <w:sz w:val="24"/>
          <w:szCs w:val="24"/>
        </w:rPr>
        <w:t>et al.,</w:t>
      </w:r>
      <w:r w:rsidR="00B14309" w:rsidRPr="00BB0F14">
        <w:rPr>
          <w:sz w:val="24"/>
          <w:szCs w:val="24"/>
        </w:rPr>
        <w:t xml:space="preserve"> </w:t>
      </w:r>
      <w:r w:rsidR="0045147A" w:rsidRPr="00BB0F14">
        <w:rPr>
          <w:sz w:val="24"/>
          <w:szCs w:val="24"/>
        </w:rPr>
        <w:t>2017).</w:t>
      </w:r>
    </w:p>
    <w:p w14:paraId="0E19F978" w14:textId="4CCCEAD0" w:rsidR="0045147A" w:rsidRPr="00BB0F14" w:rsidRDefault="0045147A" w:rsidP="0045147A">
      <w:pPr>
        <w:spacing w:line="360" w:lineRule="auto"/>
        <w:ind w:firstLine="720"/>
        <w:jc w:val="both"/>
        <w:rPr>
          <w:sz w:val="24"/>
          <w:szCs w:val="24"/>
        </w:rPr>
      </w:pPr>
      <w:r w:rsidRPr="00BB0F14">
        <w:rPr>
          <w:sz w:val="24"/>
          <w:szCs w:val="24"/>
        </w:rPr>
        <w:t xml:space="preserve">No momento da coleta foram obtidos os dados de temperatura e pH (pHmetro digital Akso, modelo AK90), salinidade (marca Generic, modelo Salinity 615), condutividade elétrica </w:t>
      </w:r>
      <w:r w:rsidRPr="00BB0F14">
        <w:rPr>
          <w:sz w:val="24"/>
          <w:szCs w:val="24"/>
        </w:rPr>
        <w:lastRenderedPageBreak/>
        <w:t xml:space="preserve">e sólidos totais dissolvidos (marca Big Fortune, modelo TDS e EC). Para </w:t>
      </w:r>
      <w:r w:rsidR="00BC6C1E" w:rsidRPr="00BB0F14">
        <w:rPr>
          <w:sz w:val="24"/>
          <w:szCs w:val="24"/>
        </w:rPr>
        <w:t>turbidez e sólidos em suspensão, as amostras foram</w:t>
      </w:r>
      <w:r w:rsidRPr="00BB0F14">
        <w:rPr>
          <w:sz w:val="24"/>
          <w:szCs w:val="24"/>
        </w:rPr>
        <w:t xml:space="preserve"> preservadas conforme as orientações descritas em APHA (2017)</w:t>
      </w:r>
      <w:r w:rsidR="00F93948" w:rsidRPr="00BB0F14">
        <w:rPr>
          <w:sz w:val="24"/>
          <w:szCs w:val="24"/>
        </w:rPr>
        <w:t>, e transportadas para o Laboratório de Química Ambiental da UFRA.</w:t>
      </w:r>
    </w:p>
    <w:p w14:paraId="2A50B761" w14:textId="0802C4B8" w:rsidR="00F93948" w:rsidRPr="00BB0F14" w:rsidRDefault="00482C7E" w:rsidP="00F93948">
      <w:pPr>
        <w:spacing w:line="360" w:lineRule="auto"/>
        <w:ind w:firstLine="720"/>
        <w:jc w:val="both"/>
        <w:rPr>
          <w:sz w:val="24"/>
          <w:szCs w:val="24"/>
        </w:rPr>
      </w:pPr>
      <w:r w:rsidRPr="00BB0F14">
        <w:rPr>
          <w:sz w:val="24"/>
          <w:szCs w:val="24"/>
        </w:rPr>
        <w:t>Posteriormente</w:t>
      </w:r>
      <w:r w:rsidR="00F93948" w:rsidRPr="00BB0F14">
        <w:rPr>
          <w:sz w:val="24"/>
          <w:szCs w:val="24"/>
        </w:rPr>
        <w:t xml:space="preserve">, os dados de turbidez e sólidos em suspensão foram obtidos com colorímetro Hach, </w:t>
      </w:r>
      <w:r w:rsidRPr="00BB0F14">
        <w:rPr>
          <w:sz w:val="24"/>
          <w:szCs w:val="24"/>
        </w:rPr>
        <w:t>(</w:t>
      </w:r>
      <w:r w:rsidR="00F93948" w:rsidRPr="00BB0F14">
        <w:rPr>
          <w:sz w:val="24"/>
          <w:szCs w:val="24"/>
        </w:rPr>
        <w:t>modelo DR/890</w:t>
      </w:r>
      <w:r w:rsidRPr="00BB0F14">
        <w:rPr>
          <w:sz w:val="24"/>
          <w:szCs w:val="24"/>
        </w:rPr>
        <w:t>)</w:t>
      </w:r>
      <w:r w:rsidR="00F93948" w:rsidRPr="00BB0F14">
        <w:rPr>
          <w:sz w:val="24"/>
          <w:szCs w:val="24"/>
        </w:rPr>
        <w:t xml:space="preserve">, a partir das amostras não filtradas. </w:t>
      </w:r>
    </w:p>
    <w:p w14:paraId="47EDD572" w14:textId="32455045" w:rsidR="00B31CD7" w:rsidRPr="00BB0F14" w:rsidRDefault="00B31CD7" w:rsidP="00F93948">
      <w:pPr>
        <w:spacing w:line="360" w:lineRule="auto"/>
        <w:ind w:firstLine="720"/>
        <w:jc w:val="both"/>
        <w:rPr>
          <w:sz w:val="24"/>
          <w:szCs w:val="24"/>
        </w:rPr>
      </w:pPr>
    </w:p>
    <w:p w14:paraId="72E3F5BC" w14:textId="7DAFE88B" w:rsidR="00905D87" w:rsidRPr="00BB0F14" w:rsidRDefault="006C6E6C" w:rsidP="000263DE">
      <w:pPr>
        <w:pBdr>
          <w:bottom w:val="none" w:sz="0" w:space="18" w:color="000000"/>
        </w:pBdr>
        <w:shd w:val="clear" w:color="auto" w:fill="FFFFFF"/>
        <w:tabs>
          <w:tab w:val="left" w:pos="2500"/>
        </w:tabs>
        <w:spacing w:line="360" w:lineRule="auto"/>
        <w:jc w:val="center"/>
        <w:rPr>
          <w:bCs/>
          <w:noProof/>
        </w:rPr>
      </w:pPr>
      <w:r>
        <w:rPr>
          <w:noProof/>
          <w:sz w:val="24"/>
          <w:szCs w:val="24"/>
          <w:lang w:val="pt-BR"/>
        </w:rPr>
        <w:drawing>
          <wp:anchor distT="0" distB="0" distL="114300" distR="114300" simplePos="0" relativeHeight="251680768" behindDoc="1" locked="0" layoutInCell="1" allowOverlap="1" wp14:anchorId="42835E5F" wp14:editId="2DC48E01">
            <wp:simplePos x="0" y="0"/>
            <wp:positionH relativeFrom="margin">
              <wp:align>left</wp:align>
            </wp:positionH>
            <wp:positionV relativeFrom="paragraph">
              <wp:posOffset>439420</wp:posOffset>
            </wp:positionV>
            <wp:extent cx="5747385" cy="4358640"/>
            <wp:effectExtent l="0" t="0" r="5715" b="3810"/>
            <wp:wrapTight wrapText="bothSides">
              <wp:wrapPolygon edited="0">
                <wp:start x="0" y="0"/>
                <wp:lineTo x="0" y="21524"/>
                <wp:lineTo x="21550" y="21524"/>
                <wp:lineTo x="21550" y="0"/>
                <wp:lineTo x="0" y="0"/>
              </wp:wrapPolygon>
            </wp:wrapTight>
            <wp:docPr id="8795890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385" cy="435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750" w:rsidRPr="00BB0F14">
        <w:rPr>
          <w:bCs/>
          <w:noProof/>
        </w:rPr>
        <w:t xml:space="preserve">Figura </w:t>
      </w:r>
      <w:r w:rsidR="007219F3" w:rsidRPr="00BB0F14">
        <w:rPr>
          <w:bCs/>
          <w:noProof/>
        </w:rPr>
        <w:t>1 -</w:t>
      </w:r>
      <w:r w:rsidR="00B40750" w:rsidRPr="00BB0F14">
        <w:rPr>
          <w:bCs/>
          <w:noProof/>
        </w:rPr>
        <w:t xml:space="preserve"> Mapa de localização dos pontos de </w:t>
      </w:r>
      <w:r w:rsidR="007219F3" w:rsidRPr="00BB0F14">
        <w:rPr>
          <w:bCs/>
          <w:noProof/>
        </w:rPr>
        <w:t>coleta</w:t>
      </w:r>
      <w:r w:rsidR="00B40750" w:rsidRPr="00BB0F14">
        <w:rPr>
          <w:bCs/>
          <w:noProof/>
        </w:rPr>
        <w:t xml:space="preserve"> na água superficial do rio Maguari-Açú, Ananindeua, PA. </w:t>
      </w:r>
    </w:p>
    <w:p w14:paraId="1E6416FB" w14:textId="639246B8" w:rsidR="00905D87" w:rsidRPr="00BB0F14" w:rsidRDefault="00B40750" w:rsidP="000263DE">
      <w:pPr>
        <w:pBdr>
          <w:bottom w:val="none" w:sz="0" w:space="18" w:color="000000"/>
        </w:pBdr>
        <w:shd w:val="clear" w:color="auto" w:fill="FFFFFF"/>
        <w:tabs>
          <w:tab w:val="left" w:pos="2500"/>
        </w:tabs>
        <w:spacing w:line="360" w:lineRule="auto"/>
        <w:rPr>
          <w:bCs/>
          <w:noProof/>
        </w:rPr>
      </w:pPr>
      <w:r w:rsidRPr="00BB0F14">
        <w:rPr>
          <w:bCs/>
          <w:noProof/>
        </w:rPr>
        <w:t xml:space="preserve">Fonte: Os autores, </w:t>
      </w:r>
      <w:r w:rsidR="00350C5E">
        <w:rPr>
          <w:bCs/>
          <w:noProof/>
        </w:rPr>
        <w:t>(</w:t>
      </w:r>
      <w:r w:rsidRPr="00BB0F14">
        <w:rPr>
          <w:bCs/>
          <w:noProof/>
        </w:rPr>
        <w:t>2025</w:t>
      </w:r>
      <w:r w:rsidR="00350C5E">
        <w:rPr>
          <w:bCs/>
          <w:noProof/>
        </w:rPr>
        <w:t>)</w:t>
      </w:r>
      <w:r w:rsidRPr="00BB0F14">
        <w:rPr>
          <w:bCs/>
          <w:noProof/>
        </w:rPr>
        <w:t>.</w:t>
      </w:r>
    </w:p>
    <w:p w14:paraId="17AD602F" w14:textId="4DADEBED" w:rsidR="0001456B" w:rsidRPr="00BB0F14" w:rsidRDefault="0001456B" w:rsidP="00905D87">
      <w:pPr>
        <w:pBdr>
          <w:bottom w:val="none" w:sz="0" w:space="18" w:color="000000"/>
        </w:pBdr>
        <w:shd w:val="clear" w:color="auto" w:fill="FFFFFF"/>
        <w:tabs>
          <w:tab w:val="left" w:pos="2500"/>
        </w:tabs>
        <w:spacing w:line="360" w:lineRule="auto"/>
        <w:ind w:firstLine="709"/>
        <w:jc w:val="both"/>
        <w:rPr>
          <w:bCs/>
          <w:noProof/>
        </w:rPr>
      </w:pPr>
    </w:p>
    <w:p w14:paraId="487264FE" w14:textId="1BA4794B" w:rsidR="00064DCE" w:rsidRPr="00BB0F14" w:rsidRDefault="003949CE" w:rsidP="00064DCE">
      <w:pPr>
        <w:pBdr>
          <w:bottom w:val="none" w:sz="0" w:space="8" w:color="000000"/>
        </w:pBdr>
        <w:shd w:val="clear" w:color="auto" w:fill="FFFFFF"/>
        <w:tabs>
          <w:tab w:val="left" w:pos="2500"/>
        </w:tabs>
        <w:spacing w:line="310" w:lineRule="auto"/>
        <w:jc w:val="both"/>
        <w:rPr>
          <w:b/>
          <w:sz w:val="28"/>
          <w:szCs w:val="28"/>
        </w:rPr>
      </w:pPr>
      <w:r w:rsidRPr="00BB0F14">
        <w:rPr>
          <w:b/>
          <w:sz w:val="24"/>
          <w:szCs w:val="24"/>
        </w:rPr>
        <w:t>3. RESULTADOS E DISCUSSÃO</w:t>
      </w:r>
      <w:r w:rsidRPr="00BB0F14">
        <w:rPr>
          <w:b/>
          <w:sz w:val="28"/>
          <w:szCs w:val="28"/>
        </w:rPr>
        <w:t xml:space="preserve"> </w:t>
      </w:r>
    </w:p>
    <w:p w14:paraId="076084CC" w14:textId="450BAC4C" w:rsidR="009C4169" w:rsidRPr="00BB0F14" w:rsidRDefault="00064DCE" w:rsidP="009C4169">
      <w:pPr>
        <w:spacing w:line="360" w:lineRule="auto"/>
        <w:jc w:val="both"/>
        <w:rPr>
          <w:sz w:val="24"/>
          <w:szCs w:val="24"/>
          <w:lang w:val="pt-BR"/>
        </w:rPr>
      </w:pPr>
      <w:r w:rsidRPr="00BB0F14">
        <w:rPr>
          <w:sz w:val="24"/>
          <w:szCs w:val="24"/>
        </w:rPr>
        <w:tab/>
      </w:r>
      <w:r w:rsidR="009C4169" w:rsidRPr="00BB0F14">
        <w:rPr>
          <w:sz w:val="24"/>
          <w:szCs w:val="24"/>
          <w:lang w:val="pt-BR"/>
        </w:rPr>
        <w:t xml:space="preserve">A </w:t>
      </w:r>
      <w:r w:rsidR="00B35982" w:rsidRPr="00BB0F14">
        <w:rPr>
          <w:sz w:val="24"/>
          <w:szCs w:val="24"/>
          <w:lang w:val="pt-BR"/>
        </w:rPr>
        <w:t>t</w:t>
      </w:r>
      <w:r w:rsidR="009C4169" w:rsidRPr="00BB0F14">
        <w:rPr>
          <w:sz w:val="24"/>
          <w:szCs w:val="24"/>
          <w:lang w:val="pt-BR"/>
        </w:rPr>
        <w:t xml:space="preserve">abela 1 apresenta os valores da estatística descritiva dos parâmetros abióticos analisados na água do rio Maguari-Açú. Foram avaliados os valores mínimos, máximos, médios </w:t>
      </w:r>
      <w:r w:rsidR="009C4169" w:rsidRPr="00BB0F14">
        <w:rPr>
          <w:sz w:val="24"/>
          <w:szCs w:val="24"/>
          <w:lang w:val="pt-BR"/>
        </w:rPr>
        <w:lastRenderedPageBreak/>
        <w:t>e o desvio-padrão obtidos nas condições de baixa-mar e preamar, permitindo comparar as variações intradiárias associadas ao ciclo de maré.</w:t>
      </w:r>
    </w:p>
    <w:p w14:paraId="40EEED78" w14:textId="77777777" w:rsidR="009C4169" w:rsidRPr="00BB0F14" w:rsidRDefault="009C4169" w:rsidP="009C4169">
      <w:pPr>
        <w:spacing w:line="360" w:lineRule="auto"/>
        <w:jc w:val="both"/>
        <w:rPr>
          <w:sz w:val="24"/>
          <w:szCs w:val="24"/>
          <w:lang w:val="pt-BR"/>
        </w:rPr>
      </w:pPr>
    </w:p>
    <w:p w14:paraId="1CD33A90" w14:textId="6497AEEB" w:rsidR="009C4169" w:rsidRPr="00BB0F14" w:rsidRDefault="009C4169" w:rsidP="009C4169">
      <w:pPr>
        <w:spacing w:line="360" w:lineRule="auto"/>
        <w:jc w:val="both"/>
        <w:rPr>
          <w:lang w:val="pt-BR"/>
        </w:rPr>
      </w:pPr>
      <w:r w:rsidRPr="00BB0F14">
        <w:rPr>
          <w:lang w:val="pt-BR"/>
        </w:rPr>
        <w:t>Tabela 1</w:t>
      </w:r>
      <w:r w:rsidR="00E03FE4" w:rsidRPr="00BB0F14">
        <w:rPr>
          <w:lang w:val="pt-BR"/>
        </w:rPr>
        <w:t>-</w:t>
      </w:r>
      <w:r w:rsidRPr="00BB0F14">
        <w:rPr>
          <w:lang w:val="pt-BR"/>
        </w:rPr>
        <w:t xml:space="preserve"> Estatística descritiva dos parâmetros abióticos (Mín. = mínimo; Máx. = máximo; Média; DP = desvio-padrão) da água do rio Maguari-Açú, durante a baixa-mar e a preamar, no dia 12 de agosto de 2025.</w:t>
      </w:r>
    </w:p>
    <w:tbl>
      <w:tblPr>
        <w:tblStyle w:val="TabeladeGrade1Clara"/>
        <w:tblpPr w:leftFromText="141" w:rightFromText="141" w:vertAnchor="page" w:horzAnchor="margin" w:tblpY="5593"/>
        <w:tblW w:w="9067" w:type="dxa"/>
        <w:tblLook w:val="04A0" w:firstRow="1" w:lastRow="0" w:firstColumn="1" w:lastColumn="0" w:noHBand="0" w:noVBand="1"/>
      </w:tblPr>
      <w:tblGrid>
        <w:gridCol w:w="2033"/>
        <w:gridCol w:w="939"/>
        <w:gridCol w:w="851"/>
        <w:gridCol w:w="1701"/>
        <w:gridCol w:w="850"/>
        <w:gridCol w:w="992"/>
        <w:gridCol w:w="1701"/>
      </w:tblGrid>
      <w:tr w:rsidR="00350C5E" w:rsidRPr="00BB0F14" w14:paraId="1705AA9C" w14:textId="77777777" w:rsidTr="00350C5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033" w:type="dxa"/>
            <w:vMerge w:val="restart"/>
            <w:tcBorders>
              <w:top w:val="single" w:sz="4" w:space="0" w:color="auto"/>
              <w:right w:val="single" w:sz="4" w:space="0" w:color="auto"/>
            </w:tcBorders>
            <w:shd w:val="clear" w:color="auto" w:fill="BFBFBF" w:themeFill="background1" w:themeFillShade="BF"/>
            <w:noWrap/>
            <w:hideMark/>
          </w:tcPr>
          <w:p w14:paraId="19BC89D8" w14:textId="77777777" w:rsidR="00350C5E" w:rsidRPr="00BB0F14" w:rsidRDefault="00350C5E" w:rsidP="00350C5E">
            <w:pPr>
              <w:rPr>
                <w:lang w:eastAsia="pt-BR"/>
              </w:rPr>
            </w:pPr>
            <w:r w:rsidRPr="00BB0F14">
              <w:rPr>
                <w:lang w:eastAsia="pt-BR"/>
              </w:rPr>
              <w:t>Parâmetros</w:t>
            </w:r>
          </w:p>
        </w:tc>
        <w:tc>
          <w:tcPr>
            <w:tcW w:w="3491" w:type="dxa"/>
            <w:gridSpan w:val="3"/>
            <w:tcBorders>
              <w:top w:val="single" w:sz="4" w:space="0" w:color="auto"/>
              <w:left w:val="single" w:sz="4" w:space="0" w:color="auto"/>
              <w:right w:val="single" w:sz="4" w:space="0" w:color="auto"/>
            </w:tcBorders>
            <w:shd w:val="clear" w:color="auto" w:fill="BFBFBF" w:themeFill="background1" w:themeFillShade="BF"/>
            <w:noWrap/>
            <w:hideMark/>
          </w:tcPr>
          <w:p w14:paraId="7100E900" w14:textId="77777777" w:rsidR="00350C5E" w:rsidRPr="00BB0F14" w:rsidRDefault="00350C5E" w:rsidP="00350C5E">
            <w:pPr>
              <w:jc w:val="center"/>
              <w:cnfStyle w:val="100000000000" w:firstRow="1" w:lastRow="0" w:firstColumn="0" w:lastColumn="0" w:oddVBand="0" w:evenVBand="0" w:oddHBand="0" w:evenHBand="0" w:firstRowFirstColumn="0" w:firstRowLastColumn="0" w:lastRowFirstColumn="0" w:lastRowLastColumn="0"/>
              <w:rPr>
                <w:lang w:eastAsia="pt-BR"/>
              </w:rPr>
            </w:pPr>
            <w:r w:rsidRPr="00BB0F14">
              <w:rPr>
                <w:lang w:eastAsia="pt-BR"/>
              </w:rPr>
              <w:t>Baixa-Mar</w:t>
            </w:r>
          </w:p>
        </w:tc>
        <w:tc>
          <w:tcPr>
            <w:tcW w:w="3543" w:type="dxa"/>
            <w:gridSpan w:val="3"/>
            <w:tcBorders>
              <w:top w:val="single" w:sz="4" w:space="0" w:color="auto"/>
              <w:left w:val="single" w:sz="4" w:space="0" w:color="auto"/>
            </w:tcBorders>
            <w:shd w:val="clear" w:color="auto" w:fill="BFBFBF" w:themeFill="background1" w:themeFillShade="BF"/>
            <w:noWrap/>
            <w:hideMark/>
          </w:tcPr>
          <w:p w14:paraId="4AF7946B" w14:textId="77777777" w:rsidR="00350C5E" w:rsidRPr="00BB0F14" w:rsidRDefault="00350C5E" w:rsidP="00350C5E">
            <w:pPr>
              <w:jc w:val="center"/>
              <w:cnfStyle w:val="100000000000" w:firstRow="1" w:lastRow="0" w:firstColumn="0" w:lastColumn="0" w:oddVBand="0" w:evenVBand="0" w:oddHBand="0" w:evenHBand="0" w:firstRowFirstColumn="0" w:firstRowLastColumn="0" w:lastRowFirstColumn="0" w:lastRowLastColumn="0"/>
              <w:rPr>
                <w:lang w:eastAsia="pt-BR"/>
              </w:rPr>
            </w:pPr>
            <w:r w:rsidRPr="00BB0F14">
              <w:rPr>
                <w:lang w:eastAsia="pt-BR"/>
              </w:rPr>
              <w:t>Preamar</w:t>
            </w:r>
          </w:p>
        </w:tc>
      </w:tr>
      <w:tr w:rsidR="00350C5E" w:rsidRPr="00BB0F14" w14:paraId="1F66DA60" w14:textId="77777777" w:rsidTr="00350C5E">
        <w:trPr>
          <w:trHeight w:val="295"/>
        </w:trPr>
        <w:tc>
          <w:tcPr>
            <w:cnfStyle w:val="001000000000" w:firstRow="0" w:lastRow="0" w:firstColumn="1" w:lastColumn="0" w:oddVBand="0" w:evenVBand="0" w:oddHBand="0" w:evenHBand="0" w:firstRowFirstColumn="0" w:firstRowLastColumn="0" w:lastRowFirstColumn="0" w:lastRowLastColumn="0"/>
            <w:tcW w:w="2033" w:type="dxa"/>
            <w:vMerge/>
            <w:tcBorders>
              <w:bottom w:val="single" w:sz="4" w:space="0" w:color="auto"/>
              <w:right w:val="single" w:sz="4" w:space="0" w:color="auto"/>
            </w:tcBorders>
            <w:shd w:val="clear" w:color="auto" w:fill="BFBFBF" w:themeFill="background1" w:themeFillShade="BF"/>
            <w:noWrap/>
            <w:hideMark/>
          </w:tcPr>
          <w:p w14:paraId="4F6EDF10" w14:textId="77777777" w:rsidR="00350C5E" w:rsidRPr="00BB0F14" w:rsidRDefault="00350C5E" w:rsidP="00350C5E">
            <w:pPr>
              <w:rPr>
                <w:lang w:eastAsia="pt-BR"/>
              </w:rPr>
            </w:pPr>
          </w:p>
        </w:tc>
        <w:tc>
          <w:tcPr>
            <w:tcW w:w="939" w:type="dxa"/>
            <w:tcBorders>
              <w:left w:val="single" w:sz="4" w:space="0" w:color="auto"/>
              <w:bottom w:val="single" w:sz="4" w:space="0" w:color="auto"/>
            </w:tcBorders>
            <w:shd w:val="clear" w:color="auto" w:fill="BFBFBF" w:themeFill="background1" w:themeFillShade="BF"/>
            <w:noWrap/>
            <w:hideMark/>
          </w:tcPr>
          <w:p w14:paraId="6B705216"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b/>
                <w:bCs/>
                <w:lang w:eastAsia="pt-BR"/>
              </w:rPr>
            </w:pPr>
            <w:r w:rsidRPr="00BB0F14">
              <w:rPr>
                <w:b/>
                <w:bCs/>
                <w:lang w:eastAsia="pt-BR"/>
              </w:rPr>
              <w:t>Mín.</w:t>
            </w:r>
          </w:p>
        </w:tc>
        <w:tc>
          <w:tcPr>
            <w:tcW w:w="851" w:type="dxa"/>
            <w:tcBorders>
              <w:bottom w:val="single" w:sz="4" w:space="0" w:color="auto"/>
            </w:tcBorders>
            <w:shd w:val="clear" w:color="auto" w:fill="BFBFBF" w:themeFill="background1" w:themeFillShade="BF"/>
            <w:noWrap/>
            <w:hideMark/>
          </w:tcPr>
          <w:p w14:paraId="4F09F7B3"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b/>
                <w:bCs/>
                <w:lang w:eastAsia="pt-BR"/>
              </w:rPr>
            </w:pPr>
            <w:r w:rsidRPr="00BB0F14">
              <w:rPr>
                <w:b/>
                <w:bCs/>
                <w:lang w:eastAsia="pt-BR"/>
              </w:rPr>
              <w:t>Máx.</w:t>
            </w:r>
          </w:p>
        </w:tc>
        <w:tc>
          <w:tcPr>
            <w:tcW w:w="1701" w:type="dxa"/>
            <w:tcBorders>
              <w:bottom w:val="single" w:sz="4" w:space="0" w:color="auto"/>
              <w:right w:val="single" w:sz="4" w:space="0" w:color="auto"/>
            </w:tcBorders>
            <w:shd w:val="clear" w:color="auto" w:fill="BFBFBF" w:themeFill="background1" w:themeFillShade="BF"/>
            <w:noWrap/>
            <w:hideMark/>
          </w:tcPr>
          <w:p w14:paraId="4C706279"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b/>
                <w:bCs/>
                <w:lang w:eastAsia="pt-BR"/>
              </w:rPr>
            </w:pPr>
            <w:r w:rsidRPr="00BB0F14">
              <w:rPr>
                <w:b/>
                <w:bCs/>
                <w:lang w:eastAsia="pt-BR"/>
              </w:rPr>
              <w:t>Média ± DP</w:t>
            </w:r>
          </w:p>
        </w:tc>
        <w:tc>
          <w:tcPr>
            <w:tcW w:w="850" w:type="dxa"/>
            <w:tcBorders>
              <w:left w:val="single" w:sz="4" w:space="0" w:color="auto"/>
              <w:bottom w:val="single" w:sz="4" w:space="0" w:color="auto"/>
            </w:tcBorders>
            <w:shd w:val="clear" w:color="auto" w:fill="BFBFBF" w:themeFill="background1" w:themeFillShade="BF"/>
            <w:noWrap/>
            <w:hideMark/>
          </w:tcPr>
          <w:p w14:paraId="0E7E8AA3"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b/>
                <w:bCs/>
                <w:lang w:eastAsia="pt-BR"/>
              </w:rPr>
            </w:pPr>
            <w:r w:rsidRPr="00BB0F14">
              <w:rPr>
                <w:b/>
                <w:bCs/>
                <w:lang w:eastAsia="pt-BR"/>
              </w:rPr>
              <w:t>Mín.</w:t>
            </w:r>
          </w:p>
        </w:tc>
        <w:tc>
          <w:tcPr>
            <w:tcW w:w="992" w:type="dxa"/>
            <w:tcBorders>
              <w:bottom w:val="single" w:sz="4" w:space="0" w:color="auto"/>
            </w:tcBorders>
            <w:shd w:val="clear" w:color="auto" w:fill="BFBFBF" w:themeFill="background1" w:themeFillShade="BF"/>
            <w:noWrap/>
            <w:hideMark/>
          </w:tcPr>
          <w:p w14:paraId="2799380D"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b/>
                <w:bCs/>
                <w:lang w:eastAsia="pt-BR"/>
              </w:rPr>
            </w:pPr>
            <w:r w:rsidRPr="00BB0F14">
              <w:rPr>
                <w:b/>
                <w:bCs/>
                <w:lang w:eastAsia="pt-BR"/>
              </w:rPr>
              <w:t>Máx.</w:t>
            </w:r>
          </w:p>
        </w:tc>
        <w:tc>
          <w:tcPr>
            <w:tcW w:w="1701" w:type="dxa"/>
            <w:tcBorders>
              <w:bottom w:val="single" w:sz="4" w:space="0" w:color="auto"/>
            </w:tcBorders>
            <w:shd w:val="clear" w:color="auto" w:fill="BFBFBF" w:themeFill="background1" w:themeFillShade="BF"/>
            <w:noWrap/>
            <w:hideMark/>
          </w:tcPr>
          <w:p w14:paraId="3C082456"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b/>
                <w:bCs/>
                <w:lang w:eastAsia="pt-BR"/>
              </w:rPr>
            </w:pPr>
            <w:r w:rsidRPr="00BB0F14">
              <w:rPr>
                <w:b/>
                <w:bCs/>
                <w:lang w:eastAsia="pt-BR"/>
              </w:rPr>
              <w:t>Média± DP</w:t>
            </w:r>
          </w:p>
        </w:tc>
      </w:tr>
      <w:tr w:rsidR="00350C5E" w:rsidRPr="00BB0F14" w14:paraId="52F9FD37" w14:textId="77777777" w:rsidTr="00350C5E">
        <w:trPr>
          <w:trHeight w:val="320"/>
        </w:trPr>
        <w:tc>
          <w:tcPr>
            <w:cnfStyle w:val="001000000000" w:firstRow="0" w:lastRow="0" w:firstColumn="1" w:lastColumn="0" w:oddVBand="0" w:evenVBand="0" w:oddHBand="0" w:evenHBand="0" w:firstRowFirstColumn="0" w:firstRowLastColumn="0" w:lastRowFirstColumn="0" w:lastRowLastColumn="0"/>
            <w:tcW w:w="2033" w:type="dxa"/>
            <w:tcBorders>
              <w:top w:val="single" w:sz="4" w:space="0" w:color="auto"/>
              <w:right w:val="single" w:sz="4" w:space="0" w:color="auto"/>
            </w:tcBorders>
            <w:shd w:val="clear" w:color="auto" w:fill="BFBFBF" w:themeFill="background1" w:themeFillShade="BF"/>
            <w:noWrap/>
          </w:tcPr>
          <w:p w14:paraId="47D45444" w14:textId="77777777" w:rsidR="00350C5E" w:rsidRPr="00BB0F14" w:rsidRDefault="00350C5E" w:rsidP="00350C5E">
            <w:pPr>
              <w:jc w:val="center"/>
              <w:rPr>
                <w:lang w:eastAsia="pt-BR"/>
              </w:rPr>
            </w:pPr>
            <w:r w:rsidRPr="00BB0F14">
              <w:rPr>
                <w:lang w:eastAsia="pt-BR"/>
              </w:rPr>
              <w:t>Salinidade (ppt)</w:t>
            </w:r>
          </w:p>
        </w:tc>
        <w:tc>
          <w:tcPr>
            <w:tcW w:w="939" w:type="dxa"/>
            <w:tcBorders>
              <w:top w:val="single" w:sz="4" w:space="0" w:color="auto"/>
              <w:left w:val="single" w:sz="4" w:space="0" w:color="auto"/>
            </w:tcBorders>
            <w:noWrap/>
          </w:tcPr>
          <w:p w14:paraId="37B181CE"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0,01</w:t>
            </w:r>
          </w:p>
        </w:tc>
        <w:tc>
          <w:tcPr>
            <w:tcW w:w="851" w:type="dxa"/>
            <w:tcBorders>
              <w:top w:val="single" w:sz="4" w:space="0" w:color="auto"/>
            </w:tcBorders>
            <w:noWrap/>
          </w:tcPr>
          <w:p w14:paraId="2FCD9228"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0,03</w:t>
            </w:r>
          </w:p>
        </w:tc>
        <w:tc>
          <w:tcPr>
            <w:tcW w:w="1701" w:type="dxa"/>
            <w:tcBorders>
              <w:top w:val="single" w:sz="4" w:space="0" w:color="auto"/>
              <w:right w:val="single" w:sz="4" w:space="0" w:color="auto"/>
            </w:tcBorders>
            <w:noWrap/>
          </w:tcPr>
          <w:p w14:paraId="7C6CC598" w14:textId="77777777" w:rsidR="00350C5E" w:rsidRPr="00BB0F14" w:rsidRDefault="00350C5E" w:rsidP="00350C5E">
            <w:pPr>
              <w:jc w:val="both"/>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0,02 ± </w:t>
            </w:r>
            <w:r w:rsidRPr="00BB0F14">
              <w:rPr>
                <w:rFonts w:ascii="Calibri" w:hAnsi="Calibri" w:cs="Calibri"/>
                <w:color w:val="000000"/>
              </w:rPr>
              <w:t>0,006</w:t>
            </w:r>
          </w:p>
        </w:tc>
        <w:tc>
          <w:tcPr>
            <w:tcW w:w="850" w:type="dxa"/>
            <w:tcBorders>
              <w:top w:val="single" w:sz="4" w:space="0" w:color="auto"/>
              <w:left w:val="single" w:sz="4" w:space="0" w:color="auto"/>
            </w:tcBorders>
            <w:noWrap/>
          </w:tcPr>
          <w:p w14:paraId="73E559D8"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0,01</w:t>
            </w:r>
          </w:p>
        </w:tc>
        <w:tc>
          <w:tcPr>
            <w:tcW w:w="992" w:type="dxa"/>
            <w:tcBorders>
              <w:top w:val="single" w:sz="4" w:space="0" w:color="auto"/>
            </w:tcBorders>
            <w:noWrap/>
          </w:tcPr>
          <w:p w14:paraId="40B49699"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0,05</w:t>
            </w:r>
          </w:p>
        </w:tc>
        <w:tc>
          <w:tcPr>
            <w:tcW w:w="1701" w:type="dxa"/>
            <w:tcBorders>
              <w:top w:val="single" w:sz="4" w:space="0" w:color="auto"/>
            </w:tcBorders>
            <w:noWrap/>
          </w:tcPr>
          <w:p w14:paraId="6B025168"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0,02 ± </w:t>
            </w:r>
            <w:r w:rsidRPr="00BB0F14">
              <w:rPr>
                <w:rFonts w:ascii="Calibri" w:hAnsi="Calibri" w:cs="Calibri"/>
                <w:color w:val="000000"/>
              </w:rPr>
              <w:t>0,012</w:t>
            </w:r>
          </w:p>
        </w:tc>
      </w:tr>
      <w:tr w:rsidR="00350C5E" w:rsidRPr="00BB0F14" w14:paraId="4DDBEA36" w14:textId="77777777" w:rsidTr="00350C5E">
        <w:trPr>
          <w:trHeight w:val="320"/>
        </w:trPr>
        <w:tc>
          <w:tcPr>
            <w:cnfStyle w:val="001000000000" w:firstRow="0" w:lastRow="0" w:firstColumn="1" w:lastColumn="0" w:oddVBand="0" w:evenVBand="0" w:oddHBand="0" w:evenHBand="0" w:firstRowFirstColumn="0" w:firstRowLastColumn="0" w:lastRowFirstColumn="0" w:lastRowLastColumn="0"/>
            <w:tcW w:w="2033" w:type="dxa"/>
            <w:tcBorders>
              <w:top w:val="single" w:sz="4" w:space="0" w:color="auto"/>
              <w:right w:val="single" w:sz="4" w:space="0" w:color="auto"/>
            </w:tcBorders>
            <w:shd w:val="clear" w:color="auto" w:fill="BFBFBF" w:themeFill="background1" w:themeFillShade="BF"/>
            <w:noWrap/>
          </w:tcPr>
          <w:p w14:paraId="5B73F953" w14:textId="77777777" w:rsidR="00350C5E" w:rsidRPr="00BB0F14" w:rsidRDefault="00350C5E" w:rsidP="00350C5E">
            <w:pPr>
              <w:jc w:val="center"/>
              <w:rPr>
                <w:lang w:eastAsia="pt-BR"/>
              </w:rPr>
            </w:pPr>
            <w:r w:rsidRPr="00BB0F14">
              <w:rPr>
                <w:lang w:eastAsia="pt-BR"/>
              </w:rPr>
              <w:t>Temperatura (°C)</w:t>
            </w:r>
          </w:p>
        </w:tc>
        <w:tc>
          <w:tcPr>
            <w:tcW w:w="939" w:type="dxa"/>
            <w:tcBorders>
              <w:top w:val="single" w:sz="4" w:space="0" w:color="auto"/>
              <w:left w:val="single" w:sz="4" w:space="0" w:color="auto"/>
            </w:tcBorders>
            <w:noWrap/>
          </w:tcPr>
          <w:p w14:paraId="0B30D6E6"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27,30</w:t>
            </w:r>
          </w:p>
        </w:tc>
        <w:tc>
          <w:tcPr>
            <w:tcW w:w="851" w:type="dxa"/>
            <w:tcBorders>
              <w:top w:val="single" w:sz="4" w:space="0" w:color="auto"/>
            </w:tcBorders>
            <w:noWrap/>
          </w:tcPr>
          <w:p w14:paraId="6BB0DEB0"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30,00</w:t>
            </w:r>
          </w:p>
        </w:tc>
        <w:tc>
          <w:tcPr>
            <w:tcW w:w="1701" w:type="dxa"/>
            <w:tcBorders>
              <w:top w:val="single" w:sz="4" w:space="0" w:color="auto"/>
              <w:right w:val="single" w:sz="4" w:space="0" w:color="auto"/>
            </w:tcBorders>
            <w:noWrap/>
          </w:tcPr>
          <w:p w14:paraId="7B5BFB6C" w14:textId="77777777" w:rsidR="00350C5E" w:rsidRPr="00BB0F14" w:rsidRDefault="00350C5E" w:rsidP="00350C5E">
            <w:pPr>
              <w:jc w:val="both"/>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28,89 ± </w:t>
            </w:r>
            <w:r w:rsidRPr="00BB0F14">
              <w:rPr>
                <w:rFonts w:ascii="Calibri" w:hAnsi="Calibri" w:cs="Calibri"/>
                <w:color w:val="000000"/>
              </w:rPr>
              <w:t>0,71</w:t>
            </w:r>
          </w:p>
        </w:tc>
        <w:tc>
          <w:tcPr>
            <w:tcW w:w="850" w:type="dxa"/>
            <w:tcBorders>
              <w:top w:val="single" w:sz="4" w:space="0" w:color="auto"/>
              <w:left w:val="single" w:sz="4" w:space="0" w:color="auto"/>
            </w:tcBorders>
            <w:noWrap/>
          </w:tcPr>
          <w:p w14:paraId="12C9573F"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28,70</w:t>
            </w:r>
          </w:p>
        </w:tc>
        <w:tc>
          <w:tcPr>
            <w:tcW w:w="992" w:type="dxa"/>
            <w:tcBorders>
              <w:top w:val="single" w:sz="4" w:space="0" w:color="auto"/>
            </w:tcBorders>
            <w:noWrap/>
          </w:tcPr>
          <w:p w14:paraId="5124CCD9"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30,30</w:t>
            </w:r>
          </w:p>
        </w:tc>
        <w:tc>
          <w:tcPr>
            <w:tcW w:w="1701" w:type="dxa"/>
            <w:tcBorders>
              <w:top w:val="single" w:sz="4" w:space="0" w:color="auto"/>
            </w:tcBorders>
            <w:noWrap/>
          </w:tcPr>
          <w:p w14:paraId="0BD38D2F"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29,48 ± </w:t>
            </w:r>
            <w:r w:rsidRPr="00BB0F14">
              <w:rPr>
                <w:rFonts w:ascii="Calibri" w:hAnsi="Calibri" w:cs="Calibri"/>
                <w:color w:val="000000"/>
              </w:rPr>
              <w:t>0,60</w:t>
            </w:r>
          </w:p>
        </w:tc>
      </w:tr>
      <w:tr w:rsidR="00350C5E" w:rsidRPr="00BB0F14" w14:paraId="30ADA416" w14:textId="77777777" w:rsidTr="00350C5E">
        <w:trPr>
          <w:trHeight w:val="320"/>
        </w:trPr>
        <w:tc>
          <w:tcPr>
            <w:cnfStyle w:val="001000000000" w:firstRow="0" w:lastRow="0" w:firstColumn="1" w:lastColumn="0" w:oddVBand="0" w:evenVBand="0" w:oddHBand="0" w:evenHBand="0" w:firstRowFirstColumn="0" w:firstRowLastColumn="0" w:lastRowFirstColumn="0" w:lastRowLastColumn="0"/>
            <w:tcW w:w="2033" w:type="dxa"/>
            <w:tcBorders>
              <w:right w:val="single" w:sz="4" w:space="0" w:color="auto"/>
            </w:tcBorders>
            <w:shd w:val="clear" w:color="auto" w:fill="BFBFBF" w:themeFill="background1" w:themeFillShade="BF"/>
            <w:noWrap/>
            <w:hideMark/>
          </w:tcPr>
          <w:p w14:paraId="08B504EB" w14:textId="77777777" w:rsidR="00350C5E" w:rsidRPr="00BB0F14" w:rsidRDefault="00350C5E" w:rsidP="00350C5E">
            <w:pPr>
              <w:jc w:val="center"/>
              <w:rPr>
                <w:lang w:eastAsia="pt-BR"/>
              </w:rPr>
            </w:pPr>
            <w:r w:rsidRPr="00BB0F14">
              <w:rPr>
                <w:lang w:eastAsia="pt-BR"/>
              </w:rPr>
              <w:t>pH</w:t>
            </w:r>
          </w:p>
        </w:tc>
        <w:tc>
          <w:tcPr>
            <w:tcW w:w="939" w:type="dxa"/>
            <w:tcBorders>
              <w:left w:val="single" w:sz="4" w:space="0" w:color="auto"/>
            </w:tcBorders>
            <w:noWrap/>
            <w:hideMark/>
          </w:tcPr>
          <w:p w14:paraId="238A630B"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6,00</w:t>
            </w:r>
          </w:p>
        </w:tc>
        <w:tc>
          <w:tcPr>
            <w:tcW w:w="851" w:type="dxa"/>
            <w:noWrap/>
            <w:hideMark/>
          </w:tcPr>
          <w:p w14:paraId="0F067544"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6,48</w:t>
            </w:r>
          </w:p>
        </w:tc>
        <w:tc>
          <w:tcPr>
            <w:tcW w:w="1701" w:type="dxa"/>
            <w:tcBorders>
              <w:right w:val="single" w:sz="4" w:space="0" w:color="auto"/>
            </w:tcBorders>
            <w:noWrap/>
            <w:hideMark/>
          </w:tcPr>
          <w:p w14:paraId="05CD6422" w14:textId="77777777" w:rsidR="00350C5E" w:rsidRPr="00BB0F14" w:rsidRDefault="00350C5E" w:rsidP="00350C5E">
            <w:pPr>
              <w:jc w:val="both"/>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6,32 ± </w:t>
            </w:r>
            <w:r w:rsidRPr="00BB0F14">
              <w:rPr>
                <w:rFonts w:ascii="Calibri" w:hAnsi="Calibri" w:cs="Calibri"/>
                <w:color w:val="000000"/>
              </w:rPr>
              <w:t>0,12</w:t>
            </w:r>
          </w:p>
        </w:tc>
        <w:tc>
          <w:tcPr>
            <w:tcW w:w="850" w:type="dxa"/>
            <w:tcBorders>
              <w:left w:val="single" w:sz="4" w:space="0" w:color="auto"/>
            </w:tcBorders>
            <w:noWrap/>
            <w:hideMark/>
          </w:tcPr>
          <w:p w14:paraId="33872932"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6,26</w:t>
            </w:r>
          </w:p>
        </w:tc>
        <w:tc>
          <w:tcPr>
            <w:tcW w:w="992" w:type="dxa"/>
            <w:noWrap/>
            <w:hideMark/>
          </w:tcPr>
          <w:p w14:paraId="63442985"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6,38</w:t>
            </w:r>
          </w:p>
        </w:tc>
        <w:tc>
          <w:tcPr>
            <w:tcW w:w="1701" w:type="dxa"/>
            <w:noWrap/>
            <w:hideMark/>
          </w:tcPr>
          <w:p w14:paraId="48F9C2A9"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6,33 ± </w:t>
            </w:r>
            <w:r w:rsidRPr="00BB0F14">
              <w:rPr>
                <w:rFonts w:ascii="Calibri" w:hAnsi="Calibri" w:cs="Calibri"/>
                <w:color w:val="000000"/>
              </w:rPr>
              <w:t>0,03</w:t>
            </w:r>
          </w:p>
        </w:tc>
      </w:tr>
      <w:tr w:rsidR="00350C5E" w:rsidRPr="00BB0F14" w14:paraId="78FCBD84" w14:textId="77777777" w:rsidTr="00350C5E">
        <w:trPr>
          <w:trHeight w:val="212"/>
        </w:trPr>
        <w:tc>
          <w:tcPr>
            <w:cnfStyle w:val="001000000000" w:firstRow="0" w:lastRow="0" w:firstColumn="1" w:lastColumn="0" w:oddVBand="0" w:evenVBand="0" w:oddHBand="0" w:evenHBand="0" w:firstRowFirstColumn="0" w:firstRowLastColumn="0" w:lastRowFirstColumn="0" w:lastRowLastColumn="0"/>
            <w:tcW w:w="2033" w:type="dxa"/>
            <w:tcBorders>
              <w:right w:val="single" w:sz="4" w:space="0" w:color="auto"/>
            </w:tcBorders>
            <w:shd w:val="clear" w:color="auto" w:fill="BFBFBF" w:themeFill="background1" w:themeFillShade="BF"/>
            <w:noWrap/>
          </w:tcPr>
          <w:p w14:paraId="107CBFE7" w14:textId="77777777" w:rsidR="00350C5E" w:rsidRPr="00BB0F14" w:rsidRDefault="00350C5E" w:rsidP="00350C5E">
            <w:pPr>
              <w:jc w:val="center"/>
              <w:rPr>
                <w:b w:val="0"/>
                <w:bCs w:val="0"/>
                <w:lang w:eastAsia="pt-BR"/>
              </w:rPr>
            </w:pPr>
            <w:r w:rsidRPr="00BB0F14">
              <w:rPr>
                <w:lang w:eastAsia="pt-BR"/>
              </w:rPr>
              <w:t>CE (µs.cm</w:t>
            </w:r>
            <w:r w:rsidRPr="00BB0F14">
              <w:rPr>
                <w:vertAlign w:val="superscript"/>
                <w:lang w:eastAsia="pt-BR"/>
              </w:rPr>
              <w:t>-1</w:t>
            </w:r>
            <w:r w:rsidRPr="00BB0F14">
              <w:rPr>
                <w:lang w:eastAsia="pt-BR"/>
              </w:rPr>
              <w:t>)</w:t>
            </w:r>
          </w:p>
        </w:tc>
        <w:tc>
          <w:tcPr>
            <w:tcW w:w="939" w:type="dxa"/>
            <w:tcBorders>
              <w:left w:val="single" w:sz="4" w:space="0" w:color="auto"/>
            </w:tcBorders>
            <w:noWrap/>
          </w:tcPr>
          <w:p w14:paraId="1CDAC794"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299,00</w:t>
            </w:r>
          </w:p>
        </w:tc>
        <w:tc>
          <w:tcPr>
            <w:tcW w:w="851" w:type="dxa"/>
            <w:noWrap/>
          </w:tcPr>
          <w:p w14:paraId="10273742"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637,00</w:t>
            </w:r>
          </w:p>
        </w:tc>
        <w:tc>
          <w:tcPr>
            <w:tcW w:w="1701" w:type="dxa"/>
            <w:tcBorders>
              <w:right w:val="single" w:sz="4" w:space="0" w:color="auto"/>
            </w:tcBorders>
            <w:noWrap/>
          </w:tcPr>
          <w:p w14:paraId="4B7FA52F" w14:textId="77777777" w:rsidR="00350C5E" w:rsidRPr="00BB0F14" w:rsidRDefault="00350C5E" w:rsidP="00350C5E">
            <w:pPr>
              <w:jc w:val="both"/>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407,17  ± </w:t>
            </w:r>
            <w:r w:rsidRPr="00BB0F14">
              <w:rPr>
                <w:rFonts w:ascii="Calibri" w:hAnsi="Calibri" w:cs="Calibri"/>
                <w:color w:val="000000"/>
              </w:rPr>
              <w:t>116,62</w:t>
            </w:r>
          </w:p>
        </w:tc>
        <w:tc>
          <w:tcPr>
            <w:tcW w:w="850" w:type="dxa"/>
            <w:tcBorders>
              <w:left w:val="single" w:sz="4" w:space="0" w:color="auto"/>
            </w:tcBorders>
            <w:noWrap/>
          </w:tcPr>
          <w:p w14:paraId="7AF0DD7A"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279,00</w:t>
            </w:r>
          </w:p>
        </w:tc>
        <w:tc>
          <w:tcPr>
            <w:tcW w:w="992" w:type="dxa"/>
            <w:noWrap/>
          </w:tcPr>
          <w:p w14:paraId="056D969F"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1075,00</w:t>
            </w:r>
          </w:p>
        </w:tc>
        <w:tc>
          <w:tcPr>
            <w:tcW w:w="1701" w:type="dxa"/>
            <w:noWrap/>
          </w:tcPr>
          <w:p w14:paraId="58380AA2"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516,25 ± </w:t>
            </w:r>
            <w:r w:rsidRPr="00BB0F14">
              <w:rPr>
                <w:rFonts w:ascii="Calibri" w:hAnsi="Calibri" w:cs="Calibri"/>
                <w:color w:val="000000"/>
              </w:rPr>
              <w:t>242,45</w:t>
            </w:r>
          </w:p>
        </w:tc>
      </w:tr>
      <w:tr w:rsidR="00350C5E" w:rsidRPr="00BB0F14" w14:paraId="51DA5DD8" w14:textId="77777777" w:rsidTr="00350C5E">
        <w:trPr>
          <w:trHeight w:val="320"/>
        </w:trPr>
        <w:tc>
          <w:tcPr>
            <w:cnfStyle w:val="001000000000" w:firstRow="0" w:lastRow="0" w:firstColumn="1" w:lastColumn="0" w:oddVBand="0" w:evenVBand="0" w:oddHBand="0" w:evenHBand="0" w:firstRowFirstColumn="0" w:firstRowLastColumn="0" w:lastRowFirstColumn="0" w:lastRowLastColumn="0"/>
            <w:tcW w:w="2033" w:type="dxa"/>
            <w:tcBorders>
              <w:right w:val="single" w:sz="4" w:space="0" w:color="auto"/>
            </w:tcBorders>
            <w:shd w:val="clear" w:color="auto" w:fill="BFBFBF" w:themeFill="background1" w:themeFillShade="BF"/>
            <w:noWrap/>
          </w:tcPr>
          <w:p w14:paraId="12FF7AE6" w14:textId="77777777" w:rsidR="00350C5E" w:rsidRPr="00BB0F14" w:rsidRDefault="00350C5E" w:rsidP="00350C5E">
            <w:pPr>
              <w:jc w:val="center"/>
              <w:rPr>
                <w:lang w:eastAsia="pt-BR"/>
              </w:rPr>
            </w:pPr>
            <w:r w:rsidRPr="00BB0F14">
              <w:rPr>
                <w:lang w:eastAsia="pt-BR"/>
              </w:rPr>
              <w:t>STD (ppm)</w:t>
            </w:r>
          </w:p>
        </w:tc>
        <w:tc>
          <w:tcPr>
            <w:tcW w:w="939" w:type="dxa"/>
            <w:tcBorders>
              <w:left w:val="single" w:sz="4" w:space="0" w:color="auto"/>
            </w:tcBorders>
            <w:noWrap/>
          </w:tcPr>
          <w:p w14:paraId="6E1A8C77"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151,00</w:t>
            </w:r>
          </w:p>
        </w:tc>
        <w:tc>
          <w:tcPr>
            <w:tcW w:w="851" w:type="dxa"/>
            <w:noWrap/>
          </w:tcPr>
          <w:p w14:paraId="0B8B92F1"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318,00</w:t>
            </w:r>
          </w:p>
        </w:tc>
        <w:tc>
          <w:tcPr>
            <w:tcW w:w="1701" w:type="dxa"/>
            <w:tcBorders>
              <w:right w:val="single" w:sz="4" w:space="0" w:color="auto"/>
            </w:tcBorders>
            <w:noWrap/>
          </w:tcPr>
          <w:p w14:paraId="0490D5A3" w14:textId="77777777" w:rsidR="00350C5E" w:rsidRPr="00BB0F14" w:rsidRDefault="00350C5E" w:rsidP="00350C5E">
            <w:pPr>
              <w:jc w:val="both"/>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201,75 ± </w:t>
            </w:r>
            <w:r w:rsidRPr="00BB0F14">
              <w:rPr>
                <w:rFonts w:ascii="Calibri" w:hAnsi="Calibri" w:cs="Calibri"/>
                <w:color w:val="000000"/>
              </w:rPr>
              <w:t>55,97</w:t>
            </w:r>
          </w:p>
        </w:tc>
        <w:tc>
          <w:tcPr>
            <w:tcW w:w="850" w:type="dxa"/>
            <w:tcBorders>
              <w:left w:val="single" w:sz="4" w:space="0" w:color="auto"/>
            </w:tcBorders>
            <w:noWrap/>
          </w:tcPr>
          <w:p w14:paraId="43607687"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139,00</w:t>
            </w:r>
          </w:p>
        </w:tc>
        <w:tc>
          <w:tcPr>
            <w:tcW w:w="992" w:type="dxa"/>
            <w:noWrap/>
          </w:tcPr>
          <w:p w14:paraId="66AFE83D"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538,00</w:t>
            </w:r>
          </w:p>
        </w:tc>
        <w:tc>
          <w:tcPr>
            <w:tcW w:w="1701" w:type="dxa"/>
            <w:noWrap/>
          </w:tcPr>
          <w:p w14:paraId="056D6C24"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258,75 ± </w:t>
            </w:r>
            <w:r w:rsidRPr="00BB0F14">
              <w:rPr>
                <w:rFonts w:ascii="Calibri" w:hAnsi="Calibri" w:cs="Calibri"/>
                <w:color w:val="000000"/>
              </w:rPr>
              <w:t>121,37</w:t>
            </w:r>
          </w:p>
        </w:tc>
      </w:tr>
      <w:tr w:rsidR="00350C5E" w:rsidRPr="00BB0F14" w14:paraId="075B60DE" w14:textId="77777777" w:rsidTr="00350C5E">
        <w:trPr>
          <w:trHeight w:val="320"/>
        </w:trPr>
        <w:tc>
          <w:tcPr>
            <w:cnfStyle w:val="001000000000" w:firstRow="0" w:lastRow="0" w:firstColumn="1" w:lastColumn="0" w:oddVBand="0" w:evenVBand="0" w:oddHBand="0" w:evenHBand="0" w:firstRowFirstColumn="0" w:firstRowLastColumn="0" w:lastRowFirstColumn="0" w:lastRowLastColumn="0"/>
            <w:tcW w:w="2033" w:type="dxa"/>
            <w:tcBorders>
              <w:right w:val="single" w:sz="4" w:space="0" w:color="auto"/>
            </w:tcBorders>
            <w:shd w:val="clear" w:color="auto" w:fill="BFBFBF" w:themeFill="background1" w:themeFillShade="BF"/>
            <w:noWrap/>
          </w:tcPr>
          <w:p w14:paraId="414F0D39" w14:textId="77777777" w:rsidR="00350C5E" w:rsidRPr="00BB0F14" w:rsidRDefault="00350C5E" w:rsidP="00350C5E">
            <w:pPr>
              <w:jc w:val="center"/>
              <w:rPr>
                <w:lang w:eastAsia="pt-BR"/>
              </w:rPr>
            </w:pPr>
            <w:r w:rsidRPr="00BB0F14">
              <w:rPr>
                <w:lang w:eastAsia="pt-BR"/>
              </w:rPr>
              <w:t>SS (mg.L</w:t>
            </w:r>
            <w:r w:rsidRPr="00BB0F14">
              <w:rPr>
                <w:vertAlign w:val="superscript"/>
                <w:lang w:eastAsia="pt-BR"/>
              </w:rPr>
              <w:t>-1</w:t>
            </w:r>
            <w:r w:rsidRPr="00BB0F14">
              <w:rPr>
                <w:lang w:eastAsia="pt-BR"/>
              </w:rPr>
              <w:t>)</w:t>
            </w:r>
          </w:p>
        </w:tc>
        <w:tc>
          <w:tcPr>
            <w:tcW w:w="939" w:type="dxa"/>
            <w:tcBorders>
              <w:left w:val="single" w:sz="4" w:space="0" w:color="auto"/>
            </w:tcBorders>
            <w:noWrap/>
          </w:tcPr>
          <w:p w14:paraId="10BB10D0"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4,00</w:t>
            </w:r>
          </w:p>
        </w:tc>
        <w:tc>
          <w:tcPr>
            <w:tcW w:w="851" w:type="dxa"/>
            <w:noWrap/>
          </w:tcPr>
          <w:p w14:paraId="7380AB84"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39,00</w:t>
            </w:r>
          </w:p>
        </w:tc>
        <w:tc>
          <w:tcPr>
            <w:tcW w:w="1701" w:type="dxa"/>
            <w:tcBorders>
              <w:right w:val="single" w:sz="4" w:space="0" w:color="auto"/>
            </w:tcBorders>
            <w:noWrap/>
          </w:tcPr>
          <w:p w14:paraId="2A40CA62" w14:textId="77777777" w:rsidR="00350C5E" w:rsidRPr="00BB0F14" w:rsidRDefault="00350C5E" w:rsidP="00350C5E">
            <w:pPr>
              <w:jc w:val="both"/>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24,42 ± </w:t>
            </w:r>
            <w:r w:rsidRPr="00BB0F14">
              <w:rPr>
                <w:rFonts w:ascii="Calibri" w:hAnsi="Calibri" w:cs="Calibri"/>
                <w:color w:val="000000"/>
              </w:rPr>
              <w:t>11,21</w:t>
            </w:r>
          </w:p>
        </w:tc>
        <w:tc>
          <w:tcPr>
            <w:tcW w:w="850" w:type="dxa"/>
            <w:tcBorders>
              <w:left w:val="single" w:sz="4" w:space="0" w:color="auto"/>
            </w:tcBorders>
            <w:noWrap/>
          </w:tcPr>
          <w:p w14:paraId="12A0ECF1"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23,00</w:t>
            </w:r>
          </w:p>
        </w:tc>
        <w:tc>
          <w:tcPr>
            <w:tcW w:w="992" w:type="dxa"/>
            <w:noWrap/>
          </w:tcPr>
          <w:p w14:paraId="42AE9D23"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55,00</w:t>
            </w:r>
          </w:p>
        </w:tc>
        <w:tc>
          <w:tcPr>
            <w:tcW w:w="1701" w:type="dxa"/>
            <w:noWrap/>
          </w:tcPr>
          <w:p w14:paraId="3FCF1B69"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29,33 ± </w:t>
            </w:r>
            <w:r w:rsidRPr="00BB0F14">
              <w:rPr>
                <w:rFonts w:ascii="Calibri" w:hAnsi="Calibri" w:cs="Calibri"/>
                <w:color w:val="000000"/>
              </w:rPr>
              <w:t>8,67</w:t>
            </w:r>
          </w:p>
        </w:tc>
      </w:tr>
      <w:tr w:rsidR="00350C5E" w:rsidRPr="00BB0F14" w14:paraId="0F60881B" w14:textId="77777777" w:rsidTr="00350C5E">
        <w:trPr>
          <w:trHeight w:val="320"/>
        </w:trPr>
        <w:tc>
          <w:tcPr>
            <w:cnfStyle w:val="001000000000" w:firstRow="0" w:lastRow="0" w:firstColumn="1" w:lastColumn="0" w:oddVBand="0" w:evenVBand="0" w:oddHBand="0" w:evenHBand="0" w:firstRowFirstColumn="0" w:firstRowLastColumn="0" w:lastRowFirstColumn="0" w:lastRowLastColumn="0"/>
            <w:tcW w:w="2033" w:type="dxa"/>
            <w:tcBorders>
              <w:bottom w:val="single" w:sz="4" w:space="0" w:color="auto"/>
              <w:right w:val="single" w:sz="4" w:space="0" w:color="auto"/>
            </w:tcBorders>
            <w:shd w:val="clear" w:color="auto" w:fill="BFBFBF" w:themeFill="background1" w:themeFillShade="BF"/>
            <w:noWrap/>
          </w:tcPr>
          <w:p w14:paraId="579FD055" w14:textId="77777777" w:rsidR="00350C5E" w:rsidRPr="00BB0F14" w:rsidRDefault="00350C5E" w:rsidP="00350C5E">
            <w:pPr>
              <w:jc w:val="center"/>
              <w:rPr>
                <w:lang w:eastAsia="pt-BR"/>
              </w:rPr>
            </w:pPr>
            <w:r w:rsidRPr="00BB0F14">
              <w:rPr>
                <w:lang w:eastAsia="pt-BR"/>
              </w:rPr>
              <w:t>Turbidez (UNT)</w:t>
            </w:r>
          </w:p>
        </w:tc>
        <w:tc>
          <w:tcPr>
            <w:tcW w:w="939" w:type="dxa"/>
            <w:tcBorders>
              <w:left w:val="single" w:sz="4" w:space="0" w:color="auto"/>
              <w:bottom w:val="single" w:sz="4" w:space="0" w:color="auto"/>
            </w:tcBorders>
            <w:noWrap/>
          </w:tcPr>
          <w:p w14:paraId="290822C0"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10,00</w:t>
            </w:r>
          </w:p>
        </w:tc>
        <w:tc>
          <w:tcPr>
            <w:tcW w:w="851" w:type="dxa"/>
            <w:tcBorders>
              <w:bottom w:val="single" w:sz="4" w:space="0" w:color="auto"/>
            </w:tcBorders>
            <w:noWrap/>
          </w:tcPr>
          <w:p w14:paraId="3829D95F"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112,00</w:t>
            </w:r>
          </w:p>
        </w:tc>
        <w:tc>
          <w:tcPr>
            <w:tcW w:w="1701" w:type="dxa"/>
            <w:tcBorders>
              <w:bottom w:val="single" w:sz="4" w:space="0" w:color="auto"/>
              <w:right w:val="single" w:sz="4" w:space="0" w:color="auto"/>
            </w:tcBorders>
            <w:noWrap/>
          </w:tcPr>
          <w:p w14:paraId="3884DF23" w14:textId="77777777" w:rsidR="00350C5E" w:rsidRPr="00BB0F14" w:rsidRDefault="00350C5E" w:rsidP="00350C5E">
            <w:pPr>
              <w:jc w:val="both"/>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41,17 ± </w:t>
            </w:r>
            <w:r w:rsidRPr="00BB0F14">
              <w:rPr>
                <w:rFonts w:ascii="Calibri" w:hAnsi="Calibri" w:cs="Calibri"/>
                <w:color w:val="000000"/>
              </w:rPr>
              <w:t>36,72</w:t>
            </w:r>
          </w:p>
        </w:tc>
        <w:tc>
          <w:tcPr>
            <w:tcW w:w="850" w:type="dxa"/>
            <w:tcBorders>
              <w:left w:val="single" w:sz="4" w:space="0" w:color="auto"/>
              <w:bottom w:val="single" w:sz="4" w:space="0" w:color="auto"/>
            </w:tcBorders>
            <w:noWrap/>
          </w:tcPr>
          <w:p w14:paraId="5C712272"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16,00</w:t>
            </w:r>
          </w:p>
        </w:tc>
        <w:tc>
          <w:tcPr>
            <w:tcW w:w="992" w:type="dxa"/>
            <w:tcBorders>
              <w:bottom w:val="single" w:sz="4" w:space="0" w:color="auto"/>
            </w:tcBorders>
            <w:noWrap/>
          </w:tcPr>
          <w:p w14:paraId="7B435C5B"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61,00</w:t>
            </w:r>
          </w:p>
        </w:tc>
        <w:tc>
          <w:tcPr>
            <w:tcW w:w="1701" w:type="dxa"/>
            <w:tcBorders>
              <w:bottom w:val="single" w:sz="4" w:space="0" w:color="auto"/>
            </w:tcBorders>
            <w:noWrap/>
          </w:tcPr>
          <w:p w14:paraId="623B134E" w14:textId="77777777" w:rsidR="00350C5E" w:rsidRPr="00BB0F14" w:rsidRDefault="00350C5E" w:rsidP="00350C5E">
            <w:pPr>
              <w:jc w:val="center"/>
              <w:cnfStyle w:val="000000000000" w:firstRow="0" w:lastRow="0" w:firstColumn="0" w:lastColumn="0" w:oddVBand="0" w:evenVBand="0" w:oddHBand="0" w:evenHBand="0" w:firstRowFirstColumn="0" w:firstRowLastColumn="0" w:lastRowFirstColumn="0" w:lastRowLastColumn="0"/>
              <w:rPr>
                <w:lang w:eastAsia="pt-BR"/>
              </w:rPr>
            </w:pPr>
            <w:r w:rsidRPr="00BB0F14">
              <w:rPr>
                <w:lang w:eastAsia="pt-BR"/>
              </w:rPr>
              <w:t xml:space="preserve">25,33 ± </w:t>
            </w:r>
            <w:r w:rsidRPr="00BB0F14">
              <w:rPr>
                <w:rFonts w:ascii="Calibri" w:hAnsi="Calibri" w:cs="Calibri"/>
                <w:color w:val="000000"/>
              </w:rPr>
              <w:t>12,11</w:t>
            </w:r>
          </w:p>
        </w:tc>
      </w:tr>
    </w:tbl>
    <w:p w14:paraId="2BC64D98" w14:textId="25896AB0" w:rsidR="002A0F30" w:rsidRPr="00BB0F14" w:rsidRDefault="002A0F30" w:rsidP="000E4D4B">
      <w:pPr>
        <w:jc w:val="both"/>
      </w:pPr>
      <w:r w:rsidRPr="00BB0F14">
        <w:rPr>
          <w:bCs/>
        </w:rPr>
        <w:t xml:space="preserve">Fonte: </w:t>
      </w:r>
      <w:r w:rsidR="00B40750" w:rsidRPr="00BB0F14">
        <w:rPr>
          <w:bCs/>
        </w:rPr>
        <w:t>Os autores</w:t>
      </w:r>
      <w:r w:rsidRPr="00BB0F14">
        <w:t xml:space="preserve">, </w:t>
      </w:r>
      <w:r w:rsidR="000E4D4B" w:rsidRPr="00BB0F14">
        <w:t>(</w:t>
      </w:r>
      <w:r w:rsidRPr="00BB0F14">
        <w:t>2025</w:t>
      </w:r>
      <w:r w:rsidR="000E4D4B" w:rsidRPr="00BB0F14">
        <w:t>)</w:t>
      </w:r>
      <w:r w:rsidRPr="00BB0F14">
        <w:t>.</w:t>
      </w:r>
    </w:p>
    <w:p w14:paraId="292AEF62" w14:textId="77777777" w:rsidR="0082196E" w:rsidRPr="00BB0F14" w:rsidRDefault="0082196E" w:rsidP="0082196E">
      <w:pPr>
        <w:spacing w:line="360" w:lineRule="auto"/>
        <w:jc w:val="both"/>
        <w:rPr>
          <w:sz w:val="24"/>
          <w:szCs w:val="24"/>
          <w:lang w:val="pt-BR"/>
        </w:rPr>
      </w:pPr>
    </w:p>
    <w:p w14:paraId="6F2E547F" w14:textId="7517570D" w:rsidR="0082196E" w:rsidRPr="00BB0F14" w:rsidRDefault="0082196E" w:rsidP="0082196E">
      <w:pPr>
        <w:spacing w:line="360" w:lineRule="auto"/>
        <w:jc w:val="both"/>
        <w:rPr>
          <w:b/>
          <w:bCs/>
          <w:sz w:val="24"/>
          <w:szCs w:val="24"/>
          <w:lang w:val="pt-BR"/>
        </w:rPr>
      </w:pPr>
      <w:r w:rsidRPr="00BB0F14">
        <w:rPr>
          <w:b/>
          <w:bCs/>
          <w:sz w:val="24"/>
          <w:szCs w:val="24"/>
          <w:lang w:val="pt-BR"/>
        </w:rPr>
        <w:t>3.1 Salinidade</w:t>
      </w:r>
    </w:p>
    <w:p w14:paraId="5F6C7A6E" w14:textId="26710B03" w:rsidR="0082196E" w:rsidRPr="00BB0F14" w:rsidRDefault="0082196E" w:rsidP="0082196E">
      <w:pPr>
        <w:spacing w:line="360" w:lineRule="auto"/>
        <w:ind w:firstLine="720"/>
        <w:jc w:val="both"/>
        <w:rPr>
          <w:sz w:val="24"/>
          <w:szCs w:val="24"/>
          <w:lang w:val="pt-BR"/>
        </w:rPr>
      </w:pPr>
      <w:r w:rsidRPr="00BB0F14">
        <w:rPr>
          <w:sz w:val="24"/>
          <w:szCs w:val="24"/>
          <w:lang w:val="pt-BR"/>
        </w:rPr>
        <w:t>A salinidade apresentou valores muito baixos, entre 0,01 e 0,05 ‰, confirmando o caráter dulcícola do rio Maguari-Açú (Tabela 1). O leve aumento observado na preamar, especialmente entre P10 e P12</w:t>
      </w:r>
      <w:r w:rsidR="0091795A" w:rsidRPr="00BB0F14">
        <w:rPr>
          <w:sz w:val="24"/>
          <w:szCs w:val="24"/>
          <w:lang w:val="pt-BR"/>
        </w:rPr>
        <w:t xml:space="preserve"> (figura 3a)</w:t>
      </w:r>
      <w:r w:rsidRPr="00BB0F14">
        <w:rPr>
          <w:sz w:val="24"/>
          <w:szCs w:val="24"/>
          <w:lang w:val="pt-BR"/>
        </w:rPr>
        <w:t xml:space="preserve">, acompanha a tendência da condutividade elétrica e indica influência estuarina de baixa intensidade, insuficiente para alterar a classificação do corpo hídrico. Esses resultados corroboram com Pires </w:t>
      </w:r>
      <w:r w:rsidRPr="004B239A">
        <w:rPr>
          <w:i/>
          <w:iCs/>
          <w:sz w:val="24"/>
          <w:szCs w:val="24"/>
          <w:lang w:val="pt-BR"/>
        </w:rPr>
        <w:t>et al.</w:t>
      </w:r>
      <w:r w:rsidRPr="00BB0F14">
        <w:rPr>
          <w:sz w:val="24"/>
          <w:szCs w:val="24"/>
          <w:lang w:val="pt-BR"/>
        </w:rPr>
        <w:t xml:space="preserve"> (2024) que descreveram que a maré provoca oscilações sazonais de salinidade no rio Guamá, mas não supera o limite de 0,5 ‰ que define a transição para águas salobras.</w:t>
      </w:r>
    </w:p>
    <w:p w14:paraId="650C6FD3" w14:textId="77777777" w:rsidR="0082196E" w:rsidRPr="00BB0F14" w:rsidRDefault="0082196E" w:rsidP="002A0F30">
      <w:pPr>
        <w:spacing w:line="360" w:lineRule="auto"/>
        <w:jc w:val="both"/>
        <w:rPr>
          <w:sz w:val="24"/>
          <w:szCs w:val="24"/>
        </w:rPr>
      </w:pPr>
    </w:p>
    <w:p w14:paraId="550F591E" w14:textId="378677F9" w:rsidR="002C0A02" w:rsidRPr="00BB0F14" w:rsidRDefault="002C0A02" w:rsidP="002C0A02">
      <w:pPr>
        <w:spacing w:line="360" w:lineRule="auto"/>
        <w:jc w:val="both"/>
        <w:rPr>
          <w:b/>
          <w:bCs/>
          <w:sz w:val="24"/>
          <w:szCs w:val="24"/>
          <w:lang w:val="pt-BR"/>
        </w:rPr>
      </w:pPr>
      <w:r w:rsidRPr="00BB0F14">
        <w:rPr>
          <w:b/>
          <w:bCs/>
          <w:sz w:val="24"/>
          <w:szCs w:val="24"/>
          <w:lang w:val="pt-BR"/>
        </w:rPr>
        <w:t>3.</w:t>
      </w:r>
      <w:r w:rsidR="0082196E" w:rsidRPr="00BB0F14">
        <w:rPr>
          <w:b/>
          <w:bCs/>
          <w:sz w:val="24"/>
          <w:szCs w:val="24"/>
          <w:lang w:val="pt-BR"/>
        </w:rPr>
        <w:t>2</w:t>
      </w:r>
      <w:r w:rsidRPr="00BB0F14">
        <w:rPr>
          <w:b/>
          <w:bCs/>
          <w:sz w:val="24"/>
          <w:szCs w:val="24"/>
          <w:lang w:val="pt-BR"/>
        </w:rPr>
        <w:t xml:space="preserve"> Temperatura</w:t>
      </w:r>
    </w:p>
    <w:p w14:paraId="4A546753" w14:textId="65757077" w:rsidR="00563140" w:rsidRPr="00BB0F14" w:rsidRDefault="002C0A02" w:rsidP="0082196E">
      <w:pPr>
        <w:spacing w:line="360" w:lineRule="auto"/>
        <w:ind w:firstLine="720"/>
        <w:jc w:val="both"/>
        <w:rPr>
          <w:sz w:val="24"/>
          <w:szCs w:val="24"/>
          <w:lang w:val="pt-BR"/>
        </w:rPr>
      </w:pPr>
      <w:r w:rsidRPr="00BB0F14">
        <w:rPr>
          <w:sz w:val="24"/>
          <w:szCs w:val="24"/>
          <w:lang w:val="pt-BR"/>
        </w:rPr>
        <w:t>A temperatura variou entre 27,3 °C e 30,0 °C na baixa-mar e entre 28,7 °C e 30,3 °C na preamar, com médias de 28,89 °C e 29,48 °C, respectivamente</w:t>
      </w:r>
      <w:r w:rsidR="00CF639F" w:rsidRPr="00BB0F14">
        <w:rPr>
          <w:sz w:val="24"/>
          <w:szCs w:val="24"/>
          <w:lang w:val="pt-BR"/>
        </w:rPr>
        <w:t xml:space="preserve"> (Tabela 1)</w:t>
      </w:r>
      <w:r w:rsidRPr="00BB0F14">
        <w:rPr>
          <w:sz w:val="24"/>
          <w:szCs w:val="24"/>
          <w:lang w:val="pt-BR"/>
        </w:rPr>
        <w:t>. O leve aumento durante a preamar pode estar associado ao maior volume de água e menor turbulência, que reduzem a perda de calor para a atmosfera, além da maior incidência solar nas horas de enchente</w:t>
      </w:r>
      <w:r w:rsidR="00CF639F" w:rsidRPr="00BB0F14">
        <w:rPr>
          <w:sz w:val="24"/>
          <w:szCs w:val="24"/>
          <w:lang w:val="pt-BR"/>
        </w:rPr>
        <w:t xml:space="preserve"> (Figura </w:t>
      </w:r>
      <w:r w:rsidR="002742A6" w:rsidRPr="00BB0F14">
        <w:rPr>
          <w:sz w:val="24"/>
          <w:szCs w:val="24"/>
          <w:lang w:val="pt-BR"/>
        </w:rPr>
        <w:t>3</w:t>
      </w:r>
      <w:r w:rsidR="0091795A" w:rsidRPr="00BB0F14">
        <w:rPr>
          <w:sz w:val="24"/>
          <w:szCs w:val="24"/>
          <w:lang w:val="pt-BR"/>
        </w:rPr>
        <w:t>b</w:t>
      </w:r>
      <w:r w:rsidR="00CF639F" w:rsidRPr="00BB0F14">
        <w:rPr>
          <w:sz w:val="24"/>
          <w:szCs w:val="24"/>
          <w:lang w:val="pt-BR"/>
        </w:rPr>
        <w:t>)</w:t>
      </w:r>
      <w:r w:rsidRPr="00BB0F14">
        <w:rPr>
          <w:sz w:val="24"/>
          <w:szCs w:val="24"/>
          <w:lang w:val="pt-BR"/>
        </w:rPr>
        <w:t xml:space="preserve">. Esse comportamento é semelhante ao observado por Lima </w:t>
      </w:r>
      <w:r w:rsidRPr="004B239A">
        <w:rPr>
          <w:i/>
          <w:iCs/>
          <w:sz w:val="24"/>
          <w:szCs w:val="24"/>
          <w:lang w:val="pt-BR"/>
        </w:rPr>
        <w:t>et al.</w:t>
      </w:r>
      <w:r w:rsidRPr="00BB0F14">
        <w:rPr>
          <w:sz w:val="24"/>
          <w:szCs w:val="24"/>
          <w:lang w:val="pt-BR"/>
        </w:rPr>
        <w:t xml:space="preserve"> (2023) no estuário do rio Guamá, onde o ciclo de maré influenci</w:t>
      </w:r>
      <w:r w:rsidR="00F976D9">
        <w:rPr>
          <w:sz w:val="24"/>
          <w:szCs w:val="24"/>
          <w:lang w:val="pt-BR"/>
        </w:rPr>
        <w:t xml:space="preserve">a </w:t>
      </w:r>
      <w:r w:rsidRPr="00BB0F14">
        <w:rPr>
          <w:sz w:val="24"/>
          <w:szCs w:val="24"/>
          <w:lang w:val="pt-BR"/>
        </w:rPr>
        <w:t>as variações térmicas de curta duração.</w:t>
      </w:r>
    </w:p>
    <w:p w14:paraId="12EA6524" w14:textId="3ACF2875" w:rsidR="00E65D89" w:rsidRDefault="00E65D89" w:rsidP="00E653B4">
      <w:pPr>
        <w:jc w:val="center"/>
      </w:pPr>
      <w:r w:rsidRPr="00BB0F14">
        <w:lastRenderedPageBreak/>
        <w:t>Figura 3: Distribuições dos parâmetros abióticos na água superficial do rio Maguari-Açú: a) salinidade, b) temperatura, c) pH, d) CE, e) STD, e f) turbidez.</w:t>
      </w:r>
      <w:r w:rsidR="00DB403B">
        <w:t xml:space="preserve"> </w:t>
      </w:r>
      <w:r w:rsidR="00DB403B" w:rsidRPr="00DB403B">
        <w:t>Os valores obtidos durante a baixa-mar estão representados em azul e aqueles registrados na preamar em vermelho.</w:t>
      </w:r>
    </w:p>
    <w:p w14:paraId="318F7353" w14:textId="77777777" w:rsidR="00E653B4" w:rsidRDefault="00E653B4" w:rsidP="00E653B4">
      <w:pPr>
        <w:jc w:val="center"/>
      </w:pPr>
    </w:p>
    <w:p w14:paraId="31851F5C" w14:textId="4B27292E" w:rsidR="00E653B4" w:rsidRPr="00BB0F14" w:rsidRDefault="00E653B4" w:rsidP="00E653B4">
      <w:pPr>
        <w:jc w:val="center"/>
      </w:pPr>
    </w:p>
    <w:p w14:paraId="7DCA9042" w14:textId="384FD7FC" w:rsidR="00E65D89" w:rsidRPr="00BB0F14" w:rsidRDefault="00E653B4" w:rsidP="00E705BC">
      <w:pPr>
        <w:widowControl/>
        <w:autoSpaceDE/>
        <w:autoSpaceDN/>
        <w:spacing w:after="160" w:line="360" w:lineRule="auto"/>
        <w:ind w:left="709"/>
        <w:contextualSpacing/>
      </w:pPr>
      <w:r>
        <w:rPr>
          <w:noProof/>
        </w:rPr>
        <w:drawing>
          <wp:anchor distT="0" distB="0" distL="114300" distR="114300" simplePos="0" relativeHeight="251681792" behindDoc="0" locked="0" layoutInCell="1" allowOverlap="1" wp14:anchorId="361AA166" wp14:editId="2AB4E2F3">
            <wp:simplePos x="0" y="0"/>
            <wp:positionH relativeFrom="margin">
              <wp:align>right</wp:align>
            </wp:positionH>
            <wp:positionV relativeFrom="paragraph">
              <wp:posOffset>8255</wp:posOffset>
            </wp:positionV>
            <wp:extent cx="2636520" cy="1927860"/>
            <wp:effectExtent l="0" t="0" r="11430" b="15240"/>
            <wp:wrapSquare wrapText="bothSides"/>
            <wp:docPr id="1836550538" name="Gráfico 1">
              <a:extLst xmlns:a="http://schemas.openxmlformats.org/drawingml/2006/main">
                <a:ext uri="{FF2B5EF4-FFF2-40B4-BE49-F238E27FC236}">
                  <a16:creationId xmlns:a16="http://schemas.microsoft.com/office/drawing/2014/main" id="{0F1A4361-10E1-C2A3-27F9-DF8F30454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sidR="00DB403B" w:rsidRPr="00BB0F14">
        <w:rPr>
          <w:noProof/>
        </w:rPr>
        <w:drawing>
          <wp:anchor distT="0" distB="0" distL="114300" distR="114300" simplePos="0" relativeHeight="251679744" behindDoc="1" locked="0" layoutInCell="1" allowOverlap="1" wp14:anchorId="44CD5138" wp14:editId="6102B747">
            <wp:simplePos x="0" y="0"/>
            <wp:positionH relativeFrom="margin">
              <wp:align>left</wp:align>
            </wp:positionH>
            <wp:positionV relativeFrom="paragraph">
              <wp:posOffset>10160</wp:posOffset>
            </wp:positionV>
            <wp:extent cx="2636520" cy="1943100"/>
            <wp:effectExtent l="0" t="0" r="11430" b="0"/>
            <wp:wrapTight wrapText="bothSides">
              <wp:wrapPolygon edited="0">
                <wp:start x="0" y="0"/>
                <wp:lineTo x="0" y="21388"/>
                <wp:lineTo x="21538" y="21388"/>
                <wp:lineTo x="21538" y="0"/>
                <wp:lineTo x="0" y="0"/>
              </wp:wrapPolygon>
            </wp:wrapTight>
            <wp:docPr id="1739117555" name="Gráfico 1">
              <a:extLst xmlns:a="http://schemas.openxmlformats.org/drawingml/2006/main">
                <a:ext uri="{FF2B5EF4-FFF2-40B4-BE49-F238E27FC236}">
                  <a16:creationId xmlns:a16="http://schemas.microsoft.com/office/drawing/2014/main" id="{4FB47C4E-A2A3-5515-A4F5-007026093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77018" w:rsidRPr="00BB0F14">
        <w:rPr>
          <w:noProof/>
        </w:rPr>
        <w:drawing>
          <wp:anchor distT="0" distB="0" distL="114300" distR="114300" simplePos="0" relativeHeight="251676672" behindDoc="1" locked="0" layoutInCell="1" allowOverlap="1" wp14:anchorId="595823D5" wp14:editId="7BDFC305">
            <wp:simplePos x="0" y="0"/>
            <wp:positionH relativeFrom="margin">
              <wp:align>right</wp:align>
            </wp:positionH>
            <wp:positionV relativeFrom="paragraph">
              <wp:posOffset>2215515</wp:posOffset>
            </wp:positionV>
            <wp:extent cx="2628900" cy="1943100"/>
            <wp:effectExtent l="0" t="0" r="0" b="0"/>
            <wp:wrapTight wrapText="bothSides">
              <wp:wrapPolygon edited="0">
                <wp:start x="0" y="0"/>
                <wp:lineTo x="0" y="21388"/>
                <wp:lineTo x="21443" y="21388"/>
                <wp:lineTo x="21443" y="0"/>
                <wp:lineTo x="0" y="0"/>
              </wp:wrapPolygon>
            </wp:wrapTight>
            <wp:docPr id="453998222" name="Gráfico 1">
              <a:extLst xmlns:a="http://schemas.openxmlformats.org/drawingml/2006/main">
                <a:ext uri="{FF2B5EF4-FFF2-40B4-BE49-F238E27FC236}">
                  <a16:creationId xmlns:a16="http://schemas.microsoft.com/office/drawing/2014/main" id="{38BA47BC-006C-D579-38A6-B42FBD3F2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77018" w:rsidRPr="00BB0F14">
        <w:rPr>
          <w:noProof/>
        </w:rPr>
        <w:drawing>
          <wp:anchor distT="0" distB="0" distL="114300" distR="114300" simplePos="0" relativeHeight="251674624" behindDoc="1" locked="0" layoutInCell="1" allowOverlap="1" wp14:anchorId="73E0AAAD" wp14:editId="5E04152E">
            <wp:simplePos x="0" y="0"/>
            <wp:positionH relativeFrom="margin">
              <wp:align>left</wp:align>
            </wp:positionH>
            <wp:positionV relativeFrom="paragraph">
              <wp:posOffset>2222500</wp:posOffset>
            </wp:positionV>
            <wp:extent cx="2651760" cy="1943100"/>
            <wp:effectExtent l="0" t="0" r="15240" b="0"/>
            <wp:wrapNone/>
            <wp:docPr id="396867781" name="Gráfico 1">
              <a:extLst xmlns:a="http://schemas.openxmlformats.org/drawingml/2006/main">
                <a:ext uri="{FF2B5EF4-FFF2-40B4-BE49-F238E27FC236}">
                  <a16:creationId xmlns:a16="http://schemas.microsoft.com/office/drawing/2014/main" id="{44789DF3-8320-257D-6774-8DD0CA154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F0D2C29" w14:textId="1A5CA4DD" w:rsidR="00E65D89" w:rsidRPr="00BB0F14" w:rsidRDefault="00E65D89" w:rsidP="00E65D89"/>
    <w:p w14:paraId="17640839" w14:textId="7E73AFE6" w:rsidR="00E65D89" w:rsidRPr="00BB0F14" w:rsidRDefault="00E65D89" w:rsidP="00E65D89"/>
    <w:p w14:paraId="739C38B0" w14:textId="77777777" w:rsidR="00E65D89" w:rsidRPr="00BB0F14" w:rsidRDefault="00E65D89" w:rsidP="00E65D89"/>
    <w:p w14:paraId="4B37AACD" w14:textId="77777777" w:rsidR="00E65D89" w:rsidRPr="00BB0F14" w:rsidRDefault="00E65D89" w:rsidP="00E65D89">
      <w:pPr>
        <w:rPr>
          <w:bCs/>
        </w:rPr>
      </w:pPr>
    </w:p>
    <w:p w14:paraId="31A065D9" w14:textId="77777777" w:rsidR="00E65D89" w:rsidRPr="00BB0F14" w:rsidRDefault="00E65D89" w:rsidP="00E65D89">
      <w:pPr>
        <w:tabs>
          <w:tab w:val="left" w:pos="2988"/>
        </w:tabs>
        <w:rPr>
          <w:bCs/>
        </w:rPr>
      </w:pPr>
      <w:r w:rsidRPr="00BB0F14">
        <w:rPr>
          <w:bCs/>
        </w:rPr>
        <w:tab/>
      </w:r>
    </w:p>
    <w:p w14:paraId="716FF478" w14:textId="77777777" w:rsidR="00E65D89" w:rsidRPr="00BB0F14" w:rsidRDefault="00E65D89" w:rsidP="00E65D89">
      <w:pPr>
        <w:rPr>
          <w:bCs/>
        </w:rPr>
      </w:pPr>
    </w:p>
    <w:p w14:paraId="6F029A19" w14:textId="77777777" w:rsidR="00E65D89" w:rsidRPr="00BB0F14" w:rsidRDefault="00E65D89" w:rsidP="00E65D89">
      <w:pPr>
        <w:rPr>
          <w:bCs/>
        </w:rPr>
      </w:pPr>
    </w:p>
    <w:p w14:paraId="51DEB0AF" w14:textId="77777777" w:rsidR="00E65D89" w:rsidRPr="00BB0F14" w:rsidRDefault="00E65D89" w:rsidP="00E65D89">
      <w:pPr>
        <w:rPr>
          <w:bCs/>
        </w:rPr>
      </w:pPr>
    </w:p>
    <w:p w14:paraId="672D104D" w14:textId="77777777" w:rsidR="00E65D89" w:rsidRDefault="00E65D89" w:rsidP="00E65D89">
      <w:pPr>
        <w:rPr>
          <w:bCs/>
        </w:rPr>
      </w:pPr>
    </w:p>
    <w:p w14:paraId="0F8A0DE0" w14:textId="77777777" w:rsidR="00E653B4" w:rsidRDefault="00E653B4" w:rsidP="00E65D89">
      <w:pPr>
        <w:rPr>
          <w:bCs/>
        </w:rPr>
      </w:pPr>
    </w:p>
    <w:p w14:paraId="2B5F0260" w14:textId="77777777" w:rsidR="00E653B4" w:rsidRDefault="00E653B4" w:rsidP="00E65D89">
      <w:pPr>
        <w:rPr>
          <w:bCs/>
        </w:rPr>
      </w:pPr>
    </w:p>
    <w:p w14:paraId="2F88F655" w14:textId="77777777" w:rsidR="00E653B4" w:rsidRDefault="00E653B4" w:rsidP="00E65D89">
      <w:pPr>
        <w:rPr>
          <w:bCs/>
        </w:rPr>
      </w:pPr>
    </w:p>
    <w:p w14:paraId="3AC4FE2C" w14:textId="77777777" w:rsidR="00E653B4" w:rsidRDefault="00E653B4" w:rsidP="00E65D89">
      <w:pPr>
        <w:rPr>
          <w:bCs/>
        </w:rPr>
      </w:pPr>
    </w:p>
    <w:p w14:paraId="66B8D36A" w14:textId="77777777" w:rsidR="00E653B4" w:rsidRDefault="00E653B4" w:rsidP="00E65D89">
      <w:pPr>
        <w:rPr>
          <w:bCs/>
        </w:rPr>
      </w:pPr>
    </w:p>
    <w:p w14:paraId="42008BDD" w14:textId="77777777" w:rsidR="00E653B4" w:rsidRPr="00BB0F14" w:rsidRDefault="00E653B4" w:rsidP="00E65D89">
      <w:pPr>
        <w:rPr>
          <w:bCs/>
        </w:rPr>
      </w:pPr>
    </w:p>
    <w:p w14:paraId="46D734EF" w14:textId="77777777" w:rsidR="00E65D89" w:rsidRPr="00BB0F14" w:rsidRDefault="00E65D89" w:rsidP="00E65D89">
      <w:pPr>
        <w:ind w:firstLine="720"/>
        <w:rPr>
          <w:bCs/>
        </w:rPr>
      </w:pPr>
    </w:p>
    <w:p w14:paraId="4916A24B" w14:textId="77777777" w:rsidR="00E65D89" w:rsidRPr="00BB0F14" w:rsidRDefault="00E65D89" w:rsidP="00E65D89"/>
    <w:p w14:paraId="045CFF8D" w14:textId="77777777" w:rsidR="00E65D89" w:rsidRPr="00BB0F14" w:rsidRDefault="00E65D89" w:rsidP="00E65D89">
      <w:pPr>
        <w:jc w:val="center"/>
      </w:pPr>
      <w:r w:rsidRPr="00BB0F14">
        <w:tab/>
      </w:r>
      <w:r w:rsidRPr="00BB0F14">
        <w:tab/>
      </w:r>
    </w:p>
    <w:p w14:paraId="523D199E" w14:textId="77777777" w:rsidR="00E65D89" w:rsidRPr="00BB0F14" w:rsidRDefault="00E65D89" w:rsidP="00E65D89"/>
    <w:p w14:paraId="0D0C931A" w14:textId="77777777" w:rsidR="00E65D89" w:rsidRPr="00BB0F14" w:rsidRDefault="00E65D89" w:rsidP="00E65D89">
      <w:r w:rsidRPr="00BB0F14">
        <w:rPr>
          <w:noProof/>
        </w:rPr>
        <w:drawing>
          <wp:anchor distT="0" distB="0" distL="114300" distR="114300" simplePos="0" relativeHeight="251678720" behindDoc="1" locked="0" layoutInCell="1" allowOverlap="1" wp14:anchorId="6F596B41" wp14:editId="72F2A302">
            <wp:simplePos x="0" y="0"/>
            <wp:positionH relativeFrom="margin">
              <wp:align>left</wp:align>
            </wp:positionH>
            <wp:positionV relativeFrom="paragraph">
              <wp:posOffset>5715</wp:posOffset>
            </wp:positionV>
            <wp:extent cx="2644140" cy="1950720"/>
            <wp:effectExtent l="0" t="0" r="3810" b="11430"/>
            <wp:wrapNone/>
            <wp:docPr id="132425920" name="Gráfico 1">
              <a:extLst xmlns:a="http://schemas.openxmlformats.org/drawingml/2006/main">
                <a:ext uri="{FF2B5EF4-FFF2-40B4-BE49-F238E27FC236}">
                  <a16:creationId xmlns:a16="http://schemas.microsoft.com/office/drawing/2014/main" id="{3826FB36-247D-8438-AA38-F860DDF6B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BB0F14">
        <w:rPr>
          <w:noProof/>
        </w:rPr>
        <w:drawing>
          <wp:anchor distT="0" distB="0" distL="114300" distR="114300" simplePos="0" relativeHeight="251677696" behindDoc="1" locked="0" layoutInCell="1" allowOverlap="1" wp14:anchorId="1988660D" wp14:editId="20BFBF84">
            <wp:simplePos x="0" y="0"/>
            <wp:positionH relativeFrom="margin">
              <wp:align>right</wp:align>
            </wp:positionH>
            <wp:positionV relativeFrom="paragraph">
              <wp:posOffset>5715</wp:posOffset>
            </wp:positionV>
            <wp:extent cx="2621280" cy="1965960"/>
            <wp:effectExtent l="0" t="0" r="7620" b="15240"/>
            <wp:wrapNone/>
            <wp:docPr id="701032724" name="Gráfico 1">
              <a:extLst xmlns:a="http://schemas.openxmlformats.org/drawingml/2006/main">
                <a:ext uri="{FF2B5EF4-FFF2-40B4-BE49-F238E27FC236}">
                  <a16:creationId xmlns:a16="http://schemas.microsoft.com/office/drawing/2014/main" id="{668D2769-8136-8A4B-07C4-308DFDE96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673F19C" w14:textId="77777777" w:rsidR="00E65D89" w:rsidRPr="00BB0F14" w:rsidRDefault="00E65D89" w:rsidP="00E65D89">
      <w:pPr>
        <w:rPr>
          <w:bCs/>
        </w:rPr>
      </w:pPr>
    </w:p>
    <w:p w14:paraId="1908CB1C" w14:textId="77777777" w:rsidR="00E65D89" w:rsidRPr="00BB0F14" w:rsidRDefault="00E65D89" w:rsidP="00E65D89">
      <w:pPr>
        <w:rPr>
          <w:bCs/>
        </w:rPr>
      </w:pPr>
    </w:p>
    <w:p w14:paraId="0164B80F" w14:textId="77777777" w:rsidR="00E65D89" w:rsidRPr="00BB0F14" w:rsidRDefault="00E65D89" w:rsidP="00E65D89">
      <w:pPr>
        <w:rPr>
          <w:bCs/>
        </w:rPr>
      </w:pPr>
    </w:p>
    <w:p w14:paraId="0FF5C47C" w14:textId="77777777" w:rsidR="00E65D89" w:rsidRPr="00BB0F14" w:rsidRDefault="00E65D89" w:rsidP="00E65D89">
      <w:pPr>
        <w:rPr>
          <w:bCs/>
        </w:rPr>
      </w:pPr>
    </w:p>
    <w:p w14:paraId="627F82E4" w14:textId="77777777" w:rsidR="00E65D89" w:rsidRPr="00BB0F14" w:rsidRDefault="00E65D89" w:rsidP="00E65D89">
      <w:pPr>
        <w:rPr>
          <w:bCs/>
        </w:rPr>
      </w:pPr>
    </w:p>
    <w:p w14:paraId="50CD52DC" w14:textId="77777777" w:rsidR="00E65D89" w:rsidRPr="00BB0F14" w:rsidRDefault="00E65D89" w:rsidP="00E65D89">
      <w:pPr>
        <w:rPr>
          <w:bCs/>
        </w:rPr>
      </w:pPr>
    </w:p>
    <w:p w14:paraId="6FF0A4F9" w14:textId="77777777" w:rsidR="00E65D89" w:rsidRPr="00BB0F14" w:rsidRDefault="00E65D89" w:rsidP="00E65D89">
      <w:pPr>
        <w:rPr>
          <w:bCs/>
        </w:rPr>
      </w:pPr>
    </w:p>
    <w:p w14:paraId="4DBE3C1E" w14:textId="33FAA1C4" w:rsidR="00E65D89" w:rsidRPr="00BB0F14" w:rsidRDefault="00E65D89" w:rsidP="00E65D89">
      <w:r w:rsidRPr="00BB0F14">
        <w:tab/>
      </w:r>
    </w:p>
    <w:p w14:paraId="28BEFED9" w14:textId="77777777" w:rsidR="00563140" w:rsidRDefault="00563140" w:rsidP="00E65D89">
      <w:pPr>
        <w:jc w:val="both"/>
        <w:rPr>
          <w:bCs/>
        </w:rPr>
      </w:pPr>
    </w:p>
    <w:p w14:paraId="35C6C68A" w14:textId="77777777" w:rsidR="00563140" w:rsidRDefault="00563140" w:rsidP="00E65D89">
      <w:pPr>
        <w:jc w:val="both"/>
        <w:rPr>
          <w:bCs/>
        </w:rPr>
      </w:pPr>
    </w:p>
    <w:p w14:paraId="2319E999" w14:textId="77777777" w:rsidR="00563140" w:rsidRDefault="00563140" w:rsidP="00E65D89">
      <w:pPr>
        <w:jc w:val="both"/>
        <w:rPr>
          <w:bCs/>
        </w:rPr>
      </w:pPr>
    </w:p>
    <w:p w14:paraId="73DF9B7F" w14:textId="77777777" w:rsidR="00767985" w:rsidRDefault="00767985" w:rsidP="00E65D89">
      <w:pPr>
        <w:jc w:val="both"/>
        <w:rPr>
          <w:bCs/>
        </w:rPr>
      </w:pPr>
    </w:p>
    <w:p w14:paraId="161528DD" w14:textId="25BB723A" w:rsidR="00E65D89" w:rsidRPr="00BB0F14" w:rsidRDefault="00E65D89" w:rsidP="00E65D89">
      <w:pPr>
        <w:jc w:val="both"/>
      </w:pPr>
      <w:r w:rsidRPr="00BB0F14">
        <w:rPr>
          <w:bCs/>
        </w:rPr>
        <w:t>Fonte: Os autores</w:t>
      </w:r>
      <w:r w:rsidRPr="00BB0F14">
        <w:t>, (2025).</w:t>
      </w:r>
    </w:p>
    <w:p w14:paraId="7DC43434" w14:textId="3CE62C22" w:rsidR="00563140" w:rsidRDefault="00563140">
      <w:pPr>
        <w:rPr>
          <w:sz w:val="24"/>
          <w:szCs w:val="24"/>
          <w:lang w:val="pt-BR"/>
        </w:rPr>
      </w:pPr>
      <w:r>
        <w:rPr>
          <w:sz w:val="24"/>
          <w:szCs w:val="24"/>
          <w:lang w:val="pt-BR"/>
        </w:rPr>
        <w:br w:type="page"/>
      </w:r>
    </w:p>
    <w:p w14:paraId="44ED4B2E" w14:textId="1221F2A5" w:rsidR="002C0A02" w:rsidRPr="00BB0F14" w:rsidRDefault="002C0A02" w:rsidP="002C0A02">
      <w:pPr>
        <w:spacing w:line="360" w:lineRule="auto"/>
        <w:jc w:val="both"/>
        <w:rPr>
          <w:b/>
          <w:bCs/>
          <w:sz w:val="24"/>
          <w:szCs w:val="24"/>
          <w:lang w:val="pt-BR"/>
        </w:rPr>
      </w:pPr>
      <w:r w:rsidRPr="00BB0F14">
        <w:rPr>
          <w:b/>
          <w:bCs/>
          <w:sz w:val="24"/>
          <w:szCs w:val="24"/>
          <w:lang w:val="pt-BR"/>
        </w:rPr>
        <w:lastRenderedPageBreak/>
        <w:t>3.</w:t>
      </w:r>
      <w:r w:rsidR="0082196E" w:rsidRPr="00BB0F14">
        <w:rPr>
          <w:b/>
          <w:bCs/>
          <w:sz w:val="24"/>
          <w:szCs w:val="24"/>
          <w:lang w:val="pt-BR"/>
        </w:rPr>
        <w:t>3</w:t>
      </w:r>
      <w:r w:rsidRPr="00BB0F14">
        <w:rPr>
          <w:b/>
          <w:bCs/>
          <w:sz w:val="24"/>
          <w:szCs w:val="24"/>
          <w:lang w:val="pt-BR"/>
        </w:rPr>
        <w:t xml:space="preserve"> pH</w:t>
      </w:r>
    </w:p>
    <w:p w14:paraId="5E69F24F" w14:textId="4D86B047" w:rsidR="002C0A02" w:rsidRPr="00BB0F14" w:rsidRDefault="002C0A02" w:rsidP="00CF639F">
      <w:pPr>
        <w:spacing w:line="360" w:lineRule="auto"/>
        <w:ind w:firstLine="720"/>
        <w:jc w:val="both"/>
        <w:rPr>
          <w:sz w:val="24"/>
          <w:szCs w:val="24"/>
          <w:lang w:val="pt-BR"/>
        </w:rPr>
      </w:pPr>
      <w:r w:rsidRPr="00BB0F14">
        <w:rPr>
          <w:sz w:val="24"/>
          <w:szCs w:val="24"/>
          <w:lang w:val="pt-BR"/>
        </w:rPr>
        <w:t>O pH manteve-se praticamente estável entre as fases de maré</w:t>
      </w:r>
      <w:r w:rsidR="00CF639F" w:rsidRPr="00BB0F14">
        <w:rPr>
          <w:sz w:val="24"/>
          <w:szCs w:val="24"/>
          <w:lang w:val="pt-BR"/>
        </w:rPr>
        <w:t xml:space="preserve"> (Tabela 1</w:t>
      </w:r>
      <w:r w:rsidR="00A764E2" w:rsidRPr="00BB0F14">
        <w:rPr>
          <w:sz w:val="24"/>
          <w:szCs w:val="24"/>
          <w:lang w:val="pt-BR"/>
        </w:rPr>
        <w:t xml:space="preserve"> e Figura </w:t>
      </w:r>
      <w:r w:rsidR="0091795A" w:rsidRPr="00BB0F14">
        <w:rPr>
          <w:sz w:val="24"/>
          <w:szCs w:val="24"/>
          <w:lang w:val="pt-BR"/>
        </w:rPr>
        <w:t>3c</w:t>
      </w:r>
      <w:r w:rsidR="00CF639F" w:rsidRPr="00BB0F14">
        <w:rPr>
          <w:sz w:val="24"/>
          <w:szCs w:val="24"/>
          <w:lang w:val="pt-BR"/>
        </w:rPr>
        <w:t>)</w:t>
      </w:r>
      <w:r w:rsidRPr="00BB0F14">
        <w:rPr>
          <w:sz w:val="24"/>
          <w:szCs w:val="24"/>
          <w:lang w:val="pt-BR"/>
        </w:rPr>
        <w:t xml:space="preserve">, com valores médios de 6,32 na baixa-mar e 6,33 na preamar, dentro da faixa de 6,0–9,0 prevista pela Resolução CONAMA 357/2005 para águas doces Classe II. Essa estabilidade indica bom poder tampão da água e ausência de variações significativas na alcalinidade ou nas trocas gasosas. Valores semelhantes foram registrados em outros rios urbanos amazônicos sob influência estuarina, como o Tucunduba e o Una, onde a oscilação de pH raramente ultrapassa 0,3 unidades entre as marés (Pereira </w:t>
      </w:r>
      <w:r w:rsidRPr="003A3ED6">
        <w:rPr>
          <w:i/>
          <w:iCs/>
          <w:sz w:val="24"/>
          <w:szCs w:val="24"/>
          <w:lang w:val="pt-BR"/>
        </w:rPr>
        <w:t>et al.</w:t>
      </w:r>
      <w:r w:rsidRPr="00BB0F14">
        <w:rPr>
          <w:sz w:val="24"/>
          <w:szCs w:val="24"/>
          <w:lang w:val="pt-BR"/>
        </w:rPr>
        <w:t>, 2024).</w:t>
      </w:r>
    </w:p>
    <w:p w14:paraId="7D1AB380" w14:textId="77777777" w:rsidR="002C0A02" w:rsidRPr="00BB0F14" w:rsidRDefault="002C0A02" w:rsidP="002A0F30">
      <w:pPr>
        <w:spacing w:line="360" w:lineRule="auto"/>
        <w:jc w:val="both"/>
        <w:rPr>
          <w:sz w:val="24"/>
          <w:szCs w:val="24"/>
          <w:lang w:val="pt-BR"/>
        </w:rPr>
      </w:pPr>
    </w:p>
    <w:p w14:paraId="5C7827EC" w14:textId="5F402089" w:rsidR="002C0A02" w:rsidRPr="00BB0F14" w:rsidRDefault="002C0A02" w:rsidP="002C0A02">
      <w:pPr>
        <w:spacing w:line="360" w:lineRule="auto"/>
        <w:jc w:val="both"/>
        <w:rPr>
          <w:b/>
          <w:bCs/>
          <w:sz w:val="24"/>
          <w:szCs w:val="24"/>
          <w:lang w:val="pt-BR"/>
        </w:rPr>
      </w:pPr>
      <w:r w:rsidRPr="00BB0F14">
        <w:rPr>
          <w:b/>
          <w:bCs/>
          <w:sz w:val="24"/>
          <w:szCs w:val="24"/>
          <w:lang w:val="pt-BR"/>
        </w:rPr>
        <w:t>3.</w:t>
      </w:r>
      <w:r w:rsidR="0082196E" w:rsidRPr="00BB0F14">
        <w:rPr>
          <w:b/>
          <w:bCs/>
          <w:sz w:val="24"/>
          <w:szCs w:val="24"/>
          <w:lang w:val="pt-BR"/>
        </w:rPr>
        <w:t>4</w:t>
      </w:r>
      <w:r w:rsidRPr="00BB0F14">
        <w:rPr>
          <w:b/>
          <w:bCs/>
          <w:sz w:val="24"/>
          <w:szCs w:val="24"/>
          <w:lang w:val="pt-BR"/>
        </w:rPr>
        <w:t xml:space="preserve"> Condutividade Elétrica (CE)</w:t>
      </w:r>
    </w:p>
    <w:p w14:paraId="08A0637A" w14:textId="18A979B5" w:rsidR="002C0A02" w:rsidRPr="00BB0F14" w:rsidRDefault="002C0A02" w:rsidP="00A764E2">
      <w:pPr>
        <w:spacing w:line="360" w:lineRule="auto"/>
        <w:ind w:firstLine="720"/>
        <w:jc w:val="both"/>
        <w:rPr>
          <w:sz w:val="24"/>
          <w:szCs w:val="24"/>
          <w:lang w:val="pt-BR"/>
        </w:rPr>
      </w:pPr>
      <w:r w:rsidRPr="00BB0F14">
        <w:rPr>
          <w:sz w:val="24"/>
          <w:szCs w:val="24"/>
          <w:lang w:val="pt-BR"/>
        </w:rPr>
        <w:t>A CE variou de 299 a 637 µS cm⁻¹ na baixa-mar e de 279 a 1075 µS cm⁻¹ na preamar, com elevação média de 407,17 para 516,25 µS cm⁻¹</w:t>
      </w:r>
      <w:r w:rsidR="00A764E2" w:rsidRPr="00BB0F14">
        <w:rPr>
          <w:sz w:val="24"/>
          <w:szCs w:val="24"/>
          <w:lang w:val="pt-BR"/>
        </w:rPr>
        <w:t xml:space="preserve"> (Tabela 1 e Figura </w:t>
      </w:r>
      <w:r w:rsidR="0091795A" w:rsidRPr="00BB0F14">
        <w:rPr>
          <w:sz w:val="24"/>
          <w:szCs w:val="24"/>
          <w:lang w:val="pt-BR"/>
        </w:rPr>
        <w:t>3</w:t>
      </w:r>
      <w:r w:rsidR="001A5B02" w:rsidRPr="00BB0F14">
        <w:rPr>
          <w:sz w:val="24"/>
          <w:szCs w:val="24"/>
          <w:lang w:val="pt-BR"/>
        </w:rPr>
        <w:t>d</w:t>
      </w:r>
      <w:r w:rsidR="00A764E2" w:rsidRPr="00BB0F14">
        <w:rPr>
          <w:sz w:val="24"/>
          <w:szCs w:val="24"/>
          <w:lang w:val="pt-BR"/>
        </w:rPr>
        <w:t>)</w:t>
      </w:r>
      <w:r w:rsidRPr="00BB0F14">
        <w:rPr>
          <w:sz w:val="24"/>
          <w:szCs w:val="24"/>
          <w:lang w:val="pt-BR"/>
        </w:rPr>
        <w:t xml:space="preserve">. Esse aumento na preamar indica intrusão iônica discreta, típica de sistemas fluviais sob influência marinha, resultante da penetração de massas d’água mais mineralizadas durante a enchente. </w:t>
      </w:r>
      <w:r w:rsidR="00A764E2" w:rsidRPr="00BB0F14">
        <w:rPr>
          <w:sz w:val="24"/>
          <w:szCs w:val="24"/>
          <w:lang w:val="pt-BR"/>
        </w:rPr>
        <w:t>Os maiores valores d</w:t>
      </w:r>
      <w:r w:rsidRPr="00BB0F14">
        <w:rPr>
          <w:sz w:val="24"/>
          <w:szCs w:val="24"/>
          <w:lang w:val="pt-BR"/>
        </w:rPr>
        <w:t>e CE foram observados principalmente no setor jusante, com destaque para o ponto P11, sugerindo mistura parcial entre águas fluviais e estuarinas. Fenômeno análogo foi relatado por Araújo (2018) na Baía do Guajará, onde o avanço da maré elevou temporariamente a condutividade sem modificar a tipologia doce do sistema.</w:t>
      </w:r>
    </w:p>
    <w:p w14:paraId="01961EBC" w14:textId="77777777" w:rsidR="00F34206" w:rsidRPr="00BB0F14" w:rsidRDefault="00F34206" w:rsidP="002C0A02">
      <w:pPr>
        <w:spacing w:line="360" w:lineRule="auto"/>
        <w:jc w:val="both"/>
        <w:rPr>
          <w:sz w:val="24"/>
          <w:szCs w:val="24"/>
          <w:lang w:val="pt-BR"/>
        </w:rPr>
      </w:pPr>
    </w:p>
    <w:p w14:paraId="29EB9C62" w14:textId="77777777" w:rsidR="002C0A02" w:rsidRPr="00BB0F14" w:rsidRDefault="002C0A02" w:rsidP="002C0A02">
      <w:pPr>
        <w:spacing w:line="360" w:lineRule="auto"/>
        <w:jc w:val="both"/>
        <w:rPr>
          <w:b/>
          <w:bCs/>
          <w:sz w:val="24"/>
          <w:szCs w:val="24"/>
          <w:lang w:val="pt-BR"/>
        </w:rPr>
      </w:pPr>
      <w:r w:rsidRPr="00BB0F14">
        <w:rPr>
          <w:b/>
          <w:bCs/>
          <w:sz w:val="24"/>
          <w:szCs w:val="24"/>
          <w:lang w:val="pt-BR"/>
        </w:rPr>
        <w:t>3.5 Sólidos Totais Dissolvidos (STD)</w:t>
      </w:r>
    </w:p>
    <w:p w14:paraId="4EDB343E" w14:textId="6FEB58DC" w:rsidR="002C0A02" w:rsidRPr="00BB0F14" w:rsidRDefault="002C0A02" w:rsidP="00A764E2">
      <w:pPr>
        <w:spacing w:line="360" w:lineRule="auto"/>
        <w:ind w:firstLine="720"/>
        <w:jc w:val="both"/>
        <w:rPr>
          <w:sz w:val="24"/>
          <w:szCs w:val="24"/>
          <w:lang w:val="pt-BR"/>
        </w:rPr>
      </w:pPr>
      <w:r w:rsidRPr="00BB0F14">
        <w:rPr>
          <w:sz w:val="24"/>
          <w:szCs w:val="24"/>
          <w:lang w:val="pt-BR"/>
        </w:rPr>
        <w:t>Os valores de STD oscilaram entre 151 e 318 ppm na baixa-mar e entre 139 e 538 ppm na preamar, com aumento médio de 201,75 para 258,75 ppm</w:t>
      </w:r>
      <w:r w:rsidR="0045300D" w:rsidRPr="00BB0F14">
        <w:rPr>
          <w:sz w:val="24"/>
          <w:szCs w:val="24"/>
          <w:lang w:val="pt-BR"/>
        </w:rPr>
        <w:t xml:space="preserve"> (Tabela 1 e Figura </w:t>
      </w:r>
      <w:r w:rsidR="001A5B02" w:rsidRPr="00BB0F14">
        <w:rPr>
          <w:sz w:val="24"/>
          <w:szCs w:val="24"/>
          <w:lang w:val="pt-BR"/>
        </w:rPr>
        <w:t>3e</w:t>
      </w:r>
      <w:r w:rsidR="0045300D" w:rsidRPr="00BB0F14">
        <w:rPr>
          <w:sz w:val="24"/>
          <w:szCs w:val="24"/>
          <w:lang w:val="pt-BR"/>
        </w:rPr>
        <w:t>)</w:t>
      </w:r>
      <w:r w:rsidRPr="00BB0F14">
        <w:rPr>
          <w:sz w:val="24"/>
          <w:szCs w:val="24"/>
          <w:lang w:val="pt-BR"/>
        </w:rPr>
        <w:t>. A elevação</w:t>
      </w:r>
      <w:r w:rsidR="000228FF">
        <w:rPr>
          <w:sz w:val="24"/>
          <w:szCs w:val="24"/>
          <w:lang w:val="pt-BR"/>
        </w:rPr>
        <w:t xml:space="preserve"> </w:t>
      </w:r>
      <w:r w:rsidRPr="00BB0F14">
        <w:rPr>
          <w:sz w:val="24"/>
          <w:szCs w:val="24"/>
          <w:lang w:val="pt-BR"/>
        </w:rPr>
        <w:t>de STD durante a enchente reflete o transporte de íons dissolvidos e a correlação direta com a condutividade elétrica. Essa relação é frequentemente observada em ambientes amazônicos sob influência de maré, onde a CE é um bom preditor da concentração de sólidos dissolvidos (Aviz</w:t>
      </w:r>
      <w:r w:rsidR="00561FC2" w:rsidRPr="00BB0F14">
        <w:rPr>
          <w:sz w:val="24"/>
          <w:szCs w:val="24"/>
          <w:lang w:val="pt-BR"/>
        </w:rPr>
        <w:t xml:space="preserve">; </w:t>
      </w:r>
      <w:r w:rsidR="005A791C" w:rsidRPr="00BB0F14">
        <w:rPr>
          <w:sz w:val="24"/>
          <w:szCs w:val="24"/>
          <w:lang w:val="pt-BR"/>
        </w:rPr>
        <w:t>Martinez; Polidori</w:t>
      </w:r>
      <w:r w:rsidRPr="00BB0F14">
        <w:rPr>
          <w:sz w:val="24"/>
          <w:szCs w:val="24"/>
          <w:lang w:val="pt-BR"/>
        </w:rPr>
        <w:t>, 2024).</w:t>
      </w:r>
    </w:p>
    <w:p w14:paraId="7F94096D" w14:textId="77777777" w:rsidR="00F34206" w:rsidRPr="00BB0F14" w:rsidRDefault="00F34206" w:rsidP="002C0A02">
      <w:pPr>
        <w:spacing w:line="360" w:lineRule="auto"/>
        <w:jc w:val="both"/>
        <w:rPr>
          <w:sz w:val="24"/>
          <w:szCs w:val="24"/>
          <w:lang w:val="pt-BR"/>
        </w:rPr>
      </w:pPr>
    </w:p>
    <w:p w14:paraId="28A14735" w14:textId="77777777" w:rsidR="002C0A02" w:rsidRPr="00BB0F14" w:rsidRDefault="002C0A02" w:rsidP="002C0A02">
      <w:pPr>
        <w:spacing w:line="360" w:lineRule="auto"/>
        <w:jc w:val="both"/>
        <w:rPr>
          <w:b/>
          <w:bCs/>
          <w:sz w:val="24"/>
          <w:szCs w:val="24"/>
          <w:lang w:val="pt-BR"/>
        </w:rPr>
      </w:pPr>
      <w:r w:rsidRPr="00BB0F14">
        <w:rPr>
          <w:b/>
          <w:bCs/>
          <w:sz w:val="24"/>
          <w:szCs w:val="24"/>
          <w:lang w:val="pt-BR"/>
        </w:rPr>
        <w:t>3.6 Sólidos em Suspensão (SS)</w:t>
      </w:r>
    </w:p>
    <w:p w14:paraId="4E358B01" w14:textId="524AE371" w:rsidR="002C0A02" w:rsidRPr="00BB0F14" w:rsidRDefault="002C0A02" w:rsidP="0045300D">
      <w:pPr>
        <w:spacing w:line="360" w:lineRule="auto"/>
        <w:ind w:firstLine="720"/>
        <w:jc w:val="both"/>
        <w:rPr>
          <w:sz w:val="24"/>
          <w:szCs w:val="24"/>
          <w:lang w:val="pt-BR"/>
        </w:rPr>
      </w:pPr>
      <w:r w:rsidRPr="00BB0F14">
        <w:rPr>
          <w:sz w:val="24"/>
          <w:szCs w:val="24"/>
          <w:lang w:val="pt-BR"/>
        </w:rPr>
        <w:t>Os sólidos em suspensão variaram de 4 a 39 mg L⁻¹ na baixa-mar e de 23 a 55 mg L⁻¹ na preamar, com médias de 24,42 e 29,33 mg L⁻¹, respectivamente</w:t>
      </w:r>
      <w:r w:rsidR="0045300D" w:rsidRPr="00BB0F14">
        <w:rPr>
          <w:sz w:val="24"/>
          <w:szCs w:val="24"/>
          <w:lang w:val="pt-BR"/>
        </w:rPr>
        <w:t xml:space="preserve"> (Tabela 1)</w:t>
      </w:r>
      <w:r w:rsidRPr="00BB0F14">
        <w:rPr>
          <w:sz w:val="24"/>
          <w:szCs w:val="24"/>
          <w:lang w:val="pt-BR"/>
        </w:rPr>
        <w:t xml:space="preserve">. Apesar do </w:t>
      </w:r>
      <w:r w:rsidRPr="00BB0F14">
        <w:rPr>
          <w:sz w:val="24"/>
          <w:szCs w:val="24"/>
          <w:lang w:val="pt-BR"/>
        </w:rPr>
        <w:lastRenderedPageBreak/>
        <w:t>aumento na preamar, observou-se maior dispersão dos valores durante a vazante, o que sugere ressuspensão de partículas finas associada ao cisalhamento hidráulico e ao escoamento superficial urbano. A variação espacial crescente em direção a</w:t>
      </w:r>
      <w:r w:rsidR="0045300D" w:rsidRPr="00BB0F14">
        <w:rPr>
          <w:sz w:val="24"/>
          <w:szCs w:val="24"/>
          <w:lang w:val="pt-BR"/>
        </w:rPr>
        <w:t xml:space="preserve"> </w:t>
      </w:r>
      <w:r w:rsidRPr="00BB0F14">
        <w:rPr>
          <w:sz w:val="24"/>
          <w:szCs w:val="24"/>
          <w:lang w:val="pt-BR"/>
        </w:rPr>
        <w:t xml:space="preserve">jusante indica acúmulo de sedimentos finos e aporte difuso, coerente com o padrão de urbanização identificado por </w:t>
      </w:r>
      <w:r w:rsidR="00D42182" w:rsidRPr="00BB0F14">
        <w:rPr>
          <w:sz w:val="24"/>
          <w:szCs w:val="24"/>
          <w:lang w:val="pt-BR"/>
        </w:rPr>
        <w:t>Pereira</w:t>
      </w:r>
      <w:r w:rsidRPr="00BB0F14">
        <w:rPr>
          <w:sz w:val="24"/>
          <w:szCs w:val="24"/>
          <w:lang w:val="pt-BR"/>
        </w:rPr>
        <w:t xml:space="preserve"> </w:t>
      </w:r>
      <w:r w:rsidRPr="00F9100C">
        <w:rPr>
          <w:i/>
          <w:iCs/>
          <w:sz w:val="24"/>
          <w:szCs w:val="24"/>
          <w:lang w:val="pt-BR"/>
        </w:rPr>
        <w:t>et al.</w:t>
      </w:r>
      <w:r w:rsidRPr="00BB0F14">
        <w:rPr>
          <w:sz w:val="24"/>
          <w:szCs w:val="24"/>
          <w:lang w:val="pt-BR"/>
        </w:rPr>
        <w:t xml:space="preserve"> (2024).</w:t>
      </w:r>
    </w:p>
    <w:p w14:paraId="7C45FCBC" w14:textId="77777777" w:rsidR="00F34206" w:rsidRPr="00BB0F14" w:rsidRDefault="00F34206" w:rsidP="002C0A02">
      <w:pPr>
        <w:spacing w:line="360" w:lineRule="auto"/>
        <w:jc w:val="both"/>
        <w:rPr>
          <w:sz w:val="24"/>
          <w:szCs w:val="24"/>
          <w:lang w:val="pt-BR"/>
        </w:rPr>
      </w:pPr>
    </w:p>
    <w:p w14:paraId="351ACBB0" w14:textId="77777777" w:rsidR="002C0A02" w:rsidRPr="00BB0F14" w:rsidRDefault="002C0A02" w:rsidP="002C0A02">
      <w:pPr>
        <w:spacing w:line="360" w:lineRule="auto"/>
        <w:jc w:val="both"/>
        <w:rPr>
          <w:b/>
          <w:bCs/>
          <w:sz w:val="24"/>
          <w:szCs w:val="24"/>
          <w:lang w:val="pt-BR"/>
        </w:rPr>
      </w:pPr>
      <w:r w:rsidRPr="00BB0F14">
        <w:rPr>
          <w:b/>
          <w:bCs/>
          <w:sz w:val="24"/>
          <w:szCs w:val="24"/>
          <w:lang w:val="pt-BR"/>
        </w:rPr>
        <w:t>3.7 Turbidez</w:t>
      </w:r>
    </w:p>
    <w:p w14:paraId="3B667E5A" w14:textId="6564FC2B" w:rsidR="00010BED" w:rsidRDefault="002C0A02" w:rsidP="0045300D">
      <w:pPr>
        <w:spacing w:line="360" w:lineRule="auto"/>
        <w:ind w:firstLine="720"/>
        <w:jc w:val="both"/>
        <w:rPr>
          <w:sz w:val="24"/>
          <w:szCs w:val="24"/>
          <w:lang w:val="pt-BR"/>
        </w:rPr>
      </w:pPr>
      <w:r w:rsidRPr="00BB0F14">
        <w:rPr>
          <w:sz w:val="24"/>
          <w:szCs w:val="24"/>
          <w:lang w:val="pt-BR"/>
        </w:rPr>
        <w:t>A turbidez apresentou amplitude significativa</w:t>
      </w:r>
      <w:r w:rsidR="00116BD4" w:rsidRPr="00BB0F14">
        <w:rPr>
          <w:sz w:val="24"/>
          <w:szCs w:val="24"/>
          <w:lang w:val="pt-BR"/>
        </w:rPr>
        <w:t xml:space="preserve"> (Tabela 1 e Figura </w:t>
      </w:r>
      <w:r w:rsidR="001A5B02" w:rsidRPr="00BB0F14">
        <w:rPr>
          <w:sz w:val="24"/>
          <w:szCs w:val="24"/>
          <w:lang w:val="pt-BR"/>
        </w:rPr>
        <w:t>3f</w:t>
      </w:r>
      <w:r w:rsidR="00116BD4" w:rsidRPr="00BB0F14">
        <w:rPr>
          <w:sz w:val="24"/>
          <w:szCs w:val="24"/>
          <w:lang w:val="pt-BR"/>
        </w:rPr>
        <w:t>)</w:t>
      </w:r>
      <w:r w:rsidRPr="00BB0F14">
        <w:rPr>
          <w:sz w:val="24"/>
          <w:szCs w:val="24"/>
          <w:lang w:val="pt-BR"/>
        </w:rPr>
        <w:t xml:space="preserve">, com valores entre 10 e 112 UNT na baixa-mar e 16 a 61 UNT na preamar. As médias reduziram de 41,17 para 25,33 UNT, confirmando maior concentração de material particulado durante a vazante. Esse padrão reflete o efeito do cisalhamento hidráulico e da redução da profundidade da lâmina d’água, fatores que intensificam a ressuspensão de sedimentos. Resultados semelhantes foram relatados para o rio Guamá, onde </w:t>
      </w:r>
      <w:r w:rsidR="00116BD4" w:rsidRPr="00BB0F14">
        <w:rPr>
          <w:sz w:val="24"/>
          <w:szCs w:val="24"/>
          <w:lang w:val="pt-BR"/>
        </w:rPr>
        <w:t>valores</w:t>
      </w:r>
      <w:r w:rsidRPr="00BB0F14">
        <w:rPr>
          <w:sz w:val="24"/>
          <w:szCs w:val="24"/>
          <w:lang w:val="pt-BR"/>
        </w:rPr>
        <w:t xml:space="preserve"> de turbidez acima de 100 UNT ocorre</w:t>
      </w:r>
      <w:r w:rsidR="00116BD4" w:rsidRPr="00BB0F14">
        <w:rPr>
          <w:sz w:val="24"/>
          <w:szCs w:val="24"/>
          <w:lang w:val="pt-BR"/>
        </w:rPr>
        <w:t>ra</w:t>
      </w:r>
      <w:r w:rsidRPr="00BB0F14">
        <w:rPr>
          <w:sz w:val="24"/>
          <w:szCs w:val="24"/>
          <w:lang w:val="pt-BR"/>
        </w:rPr>
        <w:t xml:space="preserve">m na baixa-mar, especialmente em períodos de menor pluviosidade (Lima </w:t>
      </w:r>
      <w:r w:rsidRPr="00F9100C">
        <w:rPr>
          <w:i/>
          <w:iCs/>
          <w:sz w:val="24"/>
          <w:szCs w:val="24"/>
          <w:lang w:val="pt-BR"/>
        </w:rPr>
        <w:t>et al.</w:t>
      </w:r>
      <w:r w:rsidRPr="00F9100C">
        <w:rPr>
          <w:sz w:val="24"/>
          <w:szCs w:val="24"/>
          <w:lang w:val="pt-BR"/>
        </w:rPr>
        <w:t>,</w:t>
      </w:r>
      <w:r w:rsidRPr="00BB0F14">
        <w:rPr>
          <w:sz w:val="24"/>
          <w:szCs w:val="24"/>
          <w:lang w:val="pt-BR"/>
        </w:rPr>
        <w:t xml:space="preserve"> 2023).</w:t>
      </w:r>
    </w:p>
    <w:p w14:paraId="5A42E0D9" w14:textId="59D37F24" w:rsidR="002C7BFC" w:rsidRPr="00180044" w:rsidRDefault="002C7BFC" w:rsidP="002C7BFC">
      <w:pPr>
        <w:rPr>
          <w:sz w:val="24"/>
          <w:szCs w:val="24"/>
          <w:lang w:val="pt-BR"/>
        </w:rPr>
      </w:pPr>
    </w:p>
    <w:p w14:paraId="522D8108" w14:textId="6CDEFC9D" w:rsidR="006514A0" w:rsidRPr="00BB0F14" w:rsidRDefault="003949CE" w:rsidP="006514A0">
      <w:pPr>
        <w:widowControl/>
        <w:tabs>
          <w:tab w:val="left" w:pos="1290"/>
        </w:tabs>
        <w:spacing w:after="160" w:line="259" w:lineRule="auto"/>
        <w:jc w:val="both"/>
        <w:rPr>
          <w:b/>
          <w:sz w:val="24"/>
          <w:szCs w:val="24"/>
        </w:rPr>
      </w:pPr>
      <w:r w:rsidRPr="00BB0F14">
        <w:rPr>
          <w:b/>
          <w:sz w:val="24"/>
          <w:szCs w:val="24"/>
        </w:rPr>
        <w:t xml:space="preserve">4. CONCLUSÃO </w:t>
      </w:r>
    </w:p>
    <w:p w14:paraId="4FF1C39E" w14:textId="77777777" w:rsidR="000228FF" w:rsidRDefault="00116BD4" w:rsidP="000228FF">
      <w:pPr>
        <w:pBdr>
          <w:bottom w:val="none" w:sz="0" w:space="8" w:color="000000"/>
        </w:pBdr>
        <w:shd w:val="clear" w:color="auto" w:fill="FFFFFF"/>
        <w:tabs>
          <w:tab w:val="left" w:pos="2500"/>
        </w:tabs>
        <w:spacing w:line="360" w:lineRule="auto"/>
        <w:ind w:firstLine="709"/>
        <w:jc w:val="both"/>
        <w:rPr>
          <w:sz w:val="24"/>
          <w:szCs w:val="24"/>
          <w:lang w:val="pt-BR"/>
        </w:rPr>
      </w:pPr>
      <w:r w:rsidRPr="00BB0F14">
        <w:rPr>
          <w:sz w:val="24"/>
          <w:szCs w:val="24"/>
          <w:lang w:val="pt-BR"/>
        </w:rPr>
        <w:t>Os resultados evidenciaram que o ciclo de maré reorganiza, em escala de horas, os parâmetros abióticos da água do rio Maguari-Açú, revelando contrastes entre as fases de preamar e baixa-mar. Durante a preamar, observou-se aumento de CE, STD e temperatura, enquanto a baixa-mar apresentou valores elevados de turbidez e sólidos em suspensão, indicativos de ressuspensão de sedimentos e contribuição de cargas difusas urbanas.</w:t>
      </w:r>
    </w:p>
    <w:p w14:paraId="605DECC1" w14:textId="3DF3E054" w:rsidR="000228FF" w:rsidRPr="000228FF" w:rsidRDefault="00116BD4" w:rsidP="000228FF">
      <w:pPr>
        <w:pBdr>
          <w:bottom w:val="none" w:sz="0" w:space="8" w:color="000000"/>
        </w:pBdr>
        <w:shd w:val="clear" w:color="auto" w:fill="FFFFFF"/>
        <w:tabs>
          <w:tab w:val="left" w:pos="2500"/>
        </w:tabs>
        <w:spacing w:line="360" w:lineRule="auto"/>
        <w:ind w:firstLine="709"/>
        <w:jc w:val="both"/>
        <w:rPr>
          <w:sz w:val="24"/>
          <w:szCs w:val="24"/>
          <w:lang w:val="pt-BR"/>
        </w:rPr>
      </w:pPr>
      <w:r w:rsidRPr="00BB0F14">
        <w:rPr>
          <w:sz w:val="24"/>
          <w:szCs w:val="24"/>
          <w:lang w:val="pt-BR"/>
        </w:rPr>
        <w:t xml:space="preserve">Mesmo sob influência estuarina, o rio manteve características de água doce e pH compatível com os padrões de qualidade definidos para a Classe II da Resolução CONAMA nº 357/2005. </w:t>
      </w:r>
      <w:r w:rsidR="00847F0D" w:rsidRPr="00BB0F14">
        <w:rPr>
          <w:sz w:val="24"/>
          <w:szCs w:val="24"/>
        </w:rPr>
        <w:t>Os resultados reforçam a importância de monitorar o rio em diferentes fases da maré, pois essas variações influenciam diretamente a qualidade da água. A comparação entre baixa-mar e preamar permite compreender como a maré altera a concentração de sólidos e a condutividade, auxiliando na interpretação dos processos físicos e químicos que ocorrem em rios urbanos sob influência estuarina.</w:t>
      </w:r>
    </w:p>
    <w:p w14:paraId="41DE1C14" w14:textId="77777777" w:rsidR="000228FF" w:rsidRDefault="000228FF" w:rsidP="000228FF">
      <w:pPr>
        <w:shd w:val="clear" w:color="auto" w:fill="FFFFFF"/>
        <w:tabs>
          <w:tab w:val="left" w:pos="709"/>
        </w:tabs>
        <w:spacing w:line="360" w:lineRule="auto"/>
        <w:jc w:val="both"/>
        <w:rPr>
          <w:sz w:val="24"/>
          <w:szCs w:val="24"/>
        </w:rPr>
      </w:pPr>
    </w:p>
    <w:p w14:paraId="61D63A6F" w14:textId="77777777" w:rsidR="000228FF" w:rsidRDefault="000228FF" w:rsidP="000228FF">
      <w:pPr>
        <w:shd w:val="clear" w:color="auto" w:fill="FFFFFF"/>
        <w:tabs>
          <w:tab w:val="left" w:pos="709"/>
        </w:tabs>
        <w:spacing w:line="360" w:lineRule="auto"/>
        <w:jc w:val="both"/>
        <w:rPr>
          <w:sz w:val="24"/>
          <w:szCs w:val="24"/>
        </w:rPr>
      </w:pPr>
    </w:p>
    <w:p w14:paraId="2E781190" w14:textId="75C88925" w:rsidR="00472582" w:rsidRPr="000228FF" w:rsidRDefault="003949CE" w:rsidP="000228FF">
      <w:pPr>
        <w:shd w:val="clear" w:color="auto" w:fill="FFFFFF"/>
        <w:tabs>
          <w:tab w:val="left" w:pos="709"/>
        </w:tabs>
        <w:spacing w:line="360" w:lineRule="auto"/>
        <w:jc w:val="both"/>
        <w:rPr>
          <w:sz w:val="24"/>
          <w:szCs w:val="24"/>
        </w:rPr>
      </w:pPr>
      <w:commentRangeStart w:id="0"/>
      <w:r w:rsidRPr="00BB0F14">
        <w:rPr>
          <w:b/>
          <w:sz w:val="24"/>
          <w:szCs w:val="24"/>
        </w:rPr>
        <w:lastRenderedPageBreak/>
        <w:t xml:space="preserve">REFERÊNCIAS </w:t>
      </w:r>
      <w:bookmarkStart w:id="1" w:name="_gjdgxs" w:colFirst="0" w:colLast="0"/>
      <w:bookmarkEnd w:id="1"/>
      <w:commentRangeEnd w:id="0"/>
      <w:r w:rsidR="009A0012">
        <w:rPr>
          <w:rStyle w:val="Refdecomentrio"/>
        </w:rPr>
        <w:commentReference w:id="0"/>
      </w:r>
    </w:p>
    <w:p w14:paraId="39774D38" w14:textId="77777777" w:rsidR="008C3B20" w:rsidRPr="009A0012" w:rsidRDefault="008C3B20" w:rsidP="00B13F11">
      <w:pPr>
        <w:jc w:val="both"/>
        <w:rPr>
          <w:sz w:val="24"/>
          <w:szCs w:val="24"/>
          <w:lang w:val="en-US"/>
        </w:rPr>
      </w:pPr>
      <w:r w:rsidRPr="00BB0F14">
        <w:rPr>
          <w:sz w:val="24"/>
          <w:szCs w:val="24"/>
        </w:rPr>
        <w:t xml:space="preserve">ABREU, C. H. M.; CUNHA, A. C. </w:t>
      </w:r>
      <w:r w:rsidRPr="00B32EE8">
        <w:rPr>
          <w:bCs/>
          <w:sz w:val="24"/>
          <w:szCs w:val="24"/>
        </w:rPr>
        <w:t>Qualidade da água e índice trófico em rio de ecossistema tropical sob impacto ambiental.</w:t>
      </w:r>
      <w:r w:rsidRPr="00BB0F14">
        <w:rPr>
          <w:sz w:val="24"/>
          <w:szCs w:val="24"/>
        </w:rPr>
        <w:t xml:space="preserve"> </w:t>
      </w:r>
      <w:r w:rsidRPr="00B32EE8">
        <w:rPr>
          <w:b/>
          <w:bCs/>
          <w:sz w:val="24"/>
          <w:szCs w:val="24"/>
        </w:rPr>
        <w:t>Engenharia Sanitária e Ambiental</w:t>
      </w:r>
      <w:r w:rsidRPr="00BB0F14">
        <w:rPr>
          <w:sz w:val="24"/>
          <w:szCs w:val="24"/>
        </w:rPr>
        <w:t xml:space="preserve">, Rio de Janeiro, v. 22, n. 1, p. 45–56, jan./fev. 2017. </w:t>
      </w:r>
      <w:r w:rsidRPr="009A0012">
        <w:rPr>
          <w:sz w:val="24"/>
          <w:szCs w:val="24"/>
          <w:lang w:val="en-US"/>
        </w:rPr>
        <w:t>DOI: 10.1590/S1413‑41522016144803.</w:t>
      </w:r>
    </w:p>
    <w:p w14:paraId="6A45A1F3" w14:textId="77777777" w:rsidR="008C3B20" w:rsidRPr="009A0012" w:rsidRDefault="008C3B20" w:rsidP="00B13F11">
      <w:pPr>
        <w:jc w:val="both"/>
        <w:rPr>
          <w:sz w:val="24"/>
          <w:szCs w:val="24"/>
          <w:lang w:val="en-US"/>
        </w:rPr>
      </w:pPr>
    </w:p>
    <w:p w14:paraId="30DA2367" w14:textId="77777777" w:rsidR="008C3B20" w:rsidRDefault="008C3B20" w:rsidP="00B13F11">
      <w:pPr>
        <w:jc w:val="both"/>
        <w:rPr>
          <w:sz w:val="24"/>
          <w:szCs w:val="24"/>
        </w:rPr>
      </w:pPr>
      <w:r w:rsidRPr="009A0012">
        <w:rPr>
          <w:sz w:val="24"/>
          <w:szCs w:val="24"/>
          <w:lang w:val="en-US"/>
        </w:rPr>
        <w:t xml:space="preserve">AMERICAN PUBLIC HEALTH ASSOCIATION (APHA). Standard methods for the examination of water and wastewater. </w:t>
      </w:r>
      <w:r w:rsidRPr="008C3B20">
        <w:rPr>
          <w:sz w:val="24"/>
          <w:szCs w:val="24"/>
        </w:rPr>
        <w:t>23. ed. Washington, D.C.: APHA; AWWA; WEF, 2017. 1504 p.</w:t>
      </w:r>
    </w:p>
    <w:p w14:paraId="13859490" w14:textId="77777777" w:rsidR="008C3B20" w:rsidRPr="00BB0F14" w:rsidRDefault="008C3B20" w:rsidP="00B13F11">
      <w:pPr>
        <w:jc w:val="both"/>
        <w:rPr>
          <w:sz w:val="24"/>
          <w:szCs w:val="24"/>
        </w:rPr>
      </w:pPr>
    </w:p>
    <w:p w14:paraId="3B8CF9E4" w14:textId="77777777" w:rsidR="008C3B20" w:rsidRDefault="008C3B20" w:rsidP="00B13F11">
      <w:pPr>
        <w:jc w:val="both"/>
        <w:rPr>
          <w:sz w:val="24"/>
          <w:szCs w:val="24"/>
        </w:rPr>
      </w:pPr>
      <w:r w:rsidRPr="00BB0F14">
        <w:rPr>
          <w:sz w:val="24"/>
          <w:szCs w:val="24"/>
        </w:rPr>
        <w:t xml:space="preserve">ARAÚJO, V. E. S. </w:t>
      </w:r>
      <w:r w:rsidRPr="008B0DE9">
        <w:rPr>
          <w:bCs/>
          <w:sz w:val="24"/>
          <w:szCs w:val="24"/>
        </w:rPr>
        <w:t>Análise de alguns parâmetros de qualidade da água na Baía do Guajará em Belém‑PA e os efeitos do regime pluviométrico e de marés.</w:t>
      </w:r>
      <w:r w:rsidRPr="00BB0F14">
        <w:rPr>
          <w:b/>
          <w:bCs/>
          <w:sz w:val="24"/>
          <w:szCs w:val="24"/>
        </w:rPr>
        <w:t xml:space="preserve"> </w:t>
      </w:r>
      <w:r w:rsidRPr="00BB0F14">
        <w:rPr>
          <w:sz w:val="24"/>
          <w:szCs w:val="24"/>
        </w:rPr>
        <w:t>2018. Dissertação (Mestrado em Ciências Ambientais) — Universidade Federal do Pará, Instituto de Geociências, Programa de Pós‑Graduação em Ciências Ambientais, Belém, 2018.</w:t>
      </w:r>
    </w:p>
    <w:p w14:paraId="2D07C5D0" w14:textId="77777777" w:rsidR="008C3B20" w:rsidRPr="00BB0F14" w:rsidRDefault="008C3B20" w:rsidP="00B13F11">
      <w:pPr>
        <w:jc w:val="both"/>
        <w:rPr>
          <w:sz w:val="24"/>
          <w:szCs w:val="24"/>
        </w:rPr>
      </w:pPr>
    </w:p>
    <w:p w14:paraId="2A5B60A5" w14:textId="77777777" w:rsidR="008C3B20" w:rsidRDefault="008C3B20" w:rsidP="00B13F11">
      <w:pPr>
        <w:jc w:val="both"/>
        <w:rPr>
          <w:sz w:val="24"/>
          <w:szCs w:val="24"/>
        </w:rPr>
      </w:pPr>
      <w:r w:rsidRPr="008D2852">
        <w:rPr>
          <w:sz w:val="24"/>
          <w:szCs w:val="24"/>
          <w:lang w:val="en-US"/>
        </w:rPr>
        <w:t xml:space="preserve">AVIZ, M. D. D.; MARTINEZ, </w:t>
      </w:r>
      <w:proofErr w:type="gramStart"/>
      <w:r w:rsidRPr="008D2852">
        <w:rPr>
          <w:sz w:val="24"/>
          <w:szCs w:val="24"/>
          <w:lang w:val="en-US"/>
        </w:rPr>
        <w:t>J.‑</w:t>
      </w:r>
      <w:proofErr w:type="gramEnd"/>
      <w:r w:rsidRPr="008D2852">
        <w:rPr>
          <w:sz w:val="24"/>
          <w:szCs w:val="24"/>
          <w:lang w:val="en-US"/>
        </w:rPr>
        <w:t xml:space="preserve">M.; POLIDORI, L. </w:t>
      </w:r>
      <w:r w:rsidRPr="00AC0564">
        <w:rPr>
          <w:sz w:val="24"/>
          <w:szCs w:val="24"/>
          <w:lang w:val="en-US"/>
        </w:rPr>
        <w:t>Spatial and temporal variation of water reflectance in an Amazonian estuary: a case study around Tatuoca Island.</w:t>
      </w:r>
      <w:r w:rsidRPr="008D2852">
        <w:rPr>
          <w:sz w:val="24"/>
          <w:szCs w:val="24"/>
          <w:lang w:val="en-US"/>
        </w:rPr>
        <w:t xml:space="preserve"> </w:t>
      </w:r>
      <w:r w:rsidRPr="00455965">
        <w:rPr>
          <w:b/>
          <w:sz w:val="24"/>
          <w:szCs w:val="24"/>
          <w:lang w:val="en-US"/>
        </w:rPr>
        <w:t>ISPRS Annals of the Photogrammetry, Remote Sensing and Spatial Information Sciences</w:t>
      </w:r>
      <w:r w:rsidRPr="008D2852">
        <w:rPr>
          <w:sz w:val="24"/>
          <w:szCs w:val="24"/>
          <w:lang w:val="en-US"/>
        </w:rPr>
        <w:t xml:space="preserve">, Göttingen, v. X‑3‑2024, p. 29‑37, 2024. </w:t>
      </w:r>
      <w:r w:rsidRPr="00BB0F14">
        <w:rPr>
          <w:sz w:val="24"/>
          <w:szCs w:val="24"/>
        </w:rPr>
        <w:t>DOI: 10.5194/isprs‑annals‑X‑3‑2024‑29‑2024.</w:t>
      </w:r>
    </w:p>
    <w:p w14:paraId="236887E5" w14:textId="77777777" w:rsidR="008C3B20" w:rsidRDefault="008C3B20" w:rsidP="00B13F11">
      <w:pPr>
        <w:jc w:val="both"/>
        <w:rPr>
          <w:sz w:val="24"/>
          <w:szCs w:val="24"/>
        </w:rPr>
      </w:pPr>
    </w:p>
    <w:p w14:paraId="0E9751FE" w14:textId="77777777" w:rsidR="008C3B20" w:rsidRDefault="008C3B20" w:rsidP="00B13F11">
      <w:pPr>
        <w:pBdr>
          <w:top w:val="nil"/>
          <w:left w:val="nil"/>
          <w:bottom w:val="nil"/>
          <w:right w:val="nil"/>
          <w:between w:val="nil"/>
        </w:pBdr>
        <w:jc w:val="both"/>
        <w:rPr>
          <w:sz w:val="24"/>
          <w:szCs w:val="24"/>
          <w:lang w:val="pt-BR"/>
        </w:rPr>
      </w:pPr>
      <w:r w:rsidRPr="00BB0F14">
        <w:rPr>
          <w:sz w:val="24"/>
          <w:szCs w:val="24"/>
          <w:lang w:val="pt-BR"/>
        </w:rPr>
        <w:t>BRASIL. Agência Nacional de Águas e Saneamento Básico</w:t>
      </w:r>
      <w:r w:rsidRPr="00BB0F14">
        <w:rPr>
          <w:b/>
          <w:bCs/>
          <w:sz w:val="24"/>
          <w:szCs w:val="24"/>
          <w:lang w:val="pt-BR"/>
        </w:rPr>
        <w:t xml:space="preserve">. </w:t>
      </w:r>
      <w:r w:rsidRPr="0022747C">
        <w:rPr>
          <w:b/>
          <w:bCs/>
          <w:sz w:val="24"/>
          <w:szCs w:val="24"/>
          <w:lang w:val="pt-BR"/>
        </w:rPr>
        <w:t xml:space="preserve">Política Nacional de Recursos Hídricos </w:t>
      </w:r>
      <w:r w:rsidRPr="00590218">
        <w:rPr>
          <w:bCs/>
          <w:sz w:val="24"/>
          <w:szCs w:val="24"/>
          <w:lang w:val="pt-BR"/>
        </w:rPr>
        <w:t>(Lei n. 9.433, de 8 jan. 1997)</w:t>
      </w:r>
      <w:r w:rsidRPr="00590218">
        <w:rPr>
          <w:sz w:val="24"/>
          <w:szCs w:val="24"/>
          <w:lang w:val="pt-BR"/>
        </w:rPr>
        <w:t xml:space="preserve">. </w:t>
      </w:r>
      <w:r w:rsidRPr="00BB0F14">
        <w:rPr>
          <w:sz w:val="24"/>
          <w:szCs w:val="24"/>
          <w:lang w:val="pt-BR"/>
        </w:rPr>
        <w:t>Brasília, DF: ANA, 1997. Disponível em: &lt;https://www.gov.br/ana/pt-br/assuntos/gestao-das-aguas/politica-nacional-de-recursos-hidricos&gt;. Acesso em: 08 out. 2025.</w:t>
      </w:r>
    </w:p>
    <w:p w14:paraId="5A6A1767" w14:textId="77777777" w:rsidR="008C3B20" w:rsidRPr="00BB0F14" w:rsidRDefault="008C3B20" w:rsidP="00B13F11">
      <w:pPr>
        <w:pBdr>
          <w:top w:val="nil"/>
          <w:left w:val="nil"/>
          <w:bottom w:val="nil"/>
          <w:right w:val="nil"/>
          <w:between w:val="nil"/>
        </w:pBdr>
        <w:jc w:val="both"/>
        <w:rPr>
          <w:sz w:val="24"/>
          <w:szCs w:val="24"/>
          <w:lang w:val="pt-BR"/>
        </w:rPr>
      </w:pPr>
    </w:p>
    <w:p w14:paraId="5E312BA7" w14:textId="77777777" w:rsidR="008C3B20" w:rsidRDefault="008C3B20" w:rsidP="00B13F11">
      <w:pPr>
        <w:pBdr>
          <w:top w:val="nil"/>
          <w:left w:val="nil"/>
          <w:bottom w:val="nil"/>
          <w:right w:val="nil"/>
          <w:between w:val="nil"/>
        </w:pBdr>
        <w:jc w:val="both"/>
        <w:rPr>
          <w:sz w:val="24"/>
          <w:szCs w:val="24"/>
          <w:lang w:val="pt-BR"/>
        </w:rPr>
      </w:pPr>
      <w:r w:rsidRPr="00BB0F14">
        <w:rPr>
          <w:sz w:val="24"/>
          <w:szCs w:val="24"/>
          <w:lang w:val="pt-BR"/>
        </w:rPr>
        <w:t xml:space="preserve">BRASIL. Conselho Nacional do Meio Ambiente. Resolução CONAMA n. 357, de 17 de março de 2005. </w:t>
      </w:r>
      <w:r w:rsidRPr="00590218">
        <w:rPr>
          <w:bCs/>
          <w:sz w:val="24"/>
          <w:szCs w:val="24"/>
          <w:lang w:val="pt-BR"/>
        </w:rPr>
        <w:t>Dispõe sobre a classificação dos corpos de água e diretrizes ambientais para o seu enquadramento, bem como estabelece as condições e padrões de lançamento de efluentes.</w:t>
      </w:r>
      <w:r w:rsidRPr="00590218">
        <w:rPr>
          <w:sz w:val="24"/>
          <w:szCs w:val="24"/>
          <w:lang w:val="pt-BR"/>
        </w:rPr>
        <w:t xml:space="preserve"> </w:t>
      </w:r>
      <w:r w:rsidRPr="00590218">
        <w:rPr>
          <w:b/>
          <w:sz w:val="24"/>
          <w:szCs w:val="24"/>
          <w:lang w:val="pt-BR"/>
        </w:rPr>
        <w:t>Diário Oficial da União</w:t>
      </w:r>
      <w:r w:rsidRPr="00BB0F14">
        <w:rPr>
          <w:sz w:val="24"/>
          <w:szCs w:val="24"/>
          <w:lang w:val="pt-BR"/>
        </w:rPr>
        <w:t>, Brasília, DF, n. 53, p. 58–63, 18 mar. 2005.</w:t>
      </w:r>
    </w:p>
    <w:p w14:paraId="2ADECDF2" w14:textId="77777777" w:rsidR="008C3B20" w:rsidRPr="00BB0F14" w:rsidRDefault="008C3B20" w:rsidP="00B13F11">
      <w:pPr>
        <w:pBdr>
          <w:top w:val="nil"/>
          <w:left w:val="nil"/>
          <w:bottom w:val="nil"/>
          <w:right w:val="nil"/>
          <w:between w:val="nil"/>
        </w:pBdr>
        <w:jc w:val="both"/>
        <w:rPr>
          <w:sz w:val="24"/>
          <w:szCs w:val="24"/>
          <w:lang w:val="pt-BR"/>
        </w:rPr>
      </w:pPr>
    </w:p>
    <w:p w14:paraId="1F649038" w14:textId="1F0D0A4C" w:rsidR="008C3B20" w:rsidRPr="009A0012" w:rsidRDefault="008C3B20" w:rsidP="00B13F11">
      <w:pPr>
        <w:pBdr>
          <w:top w:val="nil"/>
          <w:left w:val="nil"/>
          <w:bottom w:val="nil"/>
          <w:right w:val="nil"/>
          <w:between w:val="nil"/>
        </w:pBdr>
        <w:jc w:val="both"/>
        <w:rPr>
          <w:sz w:val="24"/>
          <w:szCs w:val="24"/>
          <w:lang w:val="en-US"/>
        </w:rPr>
      </w:pPr>
      <w:r w:rsidRPr="00BB0F14">
        <w:rPr>
          <w:sz w:val="24"/>
          <w:szCs w:val="24"/>
        </w:rPr>
        <w:t xml:space="preserve">INSTITUTO NACIONAL DE METEOROLOGIA (INMET). BDMEP – </w:t>
      </w:r>
      <w:r w:rsidRPr="00BB0F14">
        <w:rPr>
          <w:b/>
          <w:sz w:val="24"/>
          <w:szCs w:val="24"/>
        </w:rPr>
        <w:t>Banco de Dados Meteorológicos para Ensino e Pesquisa.</w:t>
      </w:r>
      <w:r w:rsidRPr="00BB0F14">
        <w:rPr>
          <w:sz w:val="24"/>
          <w:szCs w:val="24"/>
        </w:rPr>
        <w:t xml:space="preserve"> Brasília, DF: INMET, </w:t>
      </w:r>
      <w:r w:rsidR="002F6804">
        <w:rPr>
          <w:sz w:val="24"/>
          <w:szCs w:val="24"/>
        </w:rPr>
        <w:t>2025</w:t>
      </w:r>
      <w:r w:rsidRPr="00BB0F14">
        <w:rPr>
          <w:sz w:val="24"/>
          <w:szCs w:val="24"/>
        </w:rPr>
        <w:t xml:space="preserve">. Disponível em: &lt;https://bdmep.inmet.gov.br/&gt;. </w:t>
      </w:r>
      <w:r w:rsidRPr="009A0012">
        <w:rPr>
          <w:sz w:val="24"/>
          <w:szCs w:val="24"/>
          <w:lang w:val="en-US"/>
        </w:rPr>
        <w:t>Acesso em: 03 out. 2025.</w:t>
      </w:r>
    </w:p>
    <w:p w14:paraId="7580513E" w14:textId="77777777" w:rsidR="008C3B20" w:rsidRPr="009A0012" w:rsidRDefault="008C3B20" w:rsidP="00B13F11">
      <w:pPr>
        <w:pBdr>
          <w:top w:val="nil"/>
          <w:left w:val="nil"/>
          <w:bottom w:val="nil"/>
          <w:right w:val="nil"/>
          <w:between w:val="nil"/>
        </w:pBdr>
        <w:jc w:val="both"/>
        <w:rPr>
          <w:sz w:val="24"/>
          <w:szCs w:val="24"/>
          <w:lang w:val="en-US"/>
        </w:rPr>
      </w:pPr>
    </w:p>
    <w:p w14:paraId="6FFD730E" w14:textId="77777777" w:rsidR="008C3B20" w:rsidRDefault="008C3B20" w:rsidP="00B13F11">
      <w:pPr>
        <w:jc w:val="both"/>
        <w:rPr>
          <w:sz w:val="24"/>
          <w:szCs w:val="24"/>
        </w:rPr>
      </w:pPr>
      <w:r w:rsidRPr="008D2852">
        <w:rPr>
          <w:sz w:val="24"/>
          <w:szCs w:val="24"/>
          <w:lang w:val="en-US"/>
        </w:rPr>
        <w:t xml:space="preserve">LIMA, M. W. D.; RODRIGUES, S. T.; PEREIRA, J. A. R.; LOPES, D. F.; EL‑ROBRINI, M.; BLANCO, C. J. C.; SANTOS, M. D. L. S. </w:t>
      </w:r>
      <w:r w:rsidRPr="00417FE0">
        <w:rPr>
          <w:bCs/>
          <w:sz w:val="24"/>
          <w:szCs w:val="24"/>
          <w:lang w:val="en-US"/>
        </w:rPr>
        <w:t>Effects of the hydrodynamics of Guamá river estuary on the dispersion of organic load in Tucunduba Igarapé, Belém, Pará (Brazil) State.</w:t>
      </w:r>
      <w:r w:rsidRPr="008D2852">
        <w:rPr>
          <w:sz w:val="24"/>
          <w:szCs w:val="24"/>
          <w:lang w:val="en-US"/>
        </w:rPr>
        <w:t xml:space="preserve"> </w:t>
      </w:r>
      <w:r w:rsidRPr="00417FE0">
        <w:rPr>
          <w:b/>
          <w:sz w:val="24"/>
          <w:szCs w:val="24"/>
        </w:rPr>
        <w:t>Revista Brasileira de Recursos Hídricos</w:t>
      </w:r>
      <w:r w:rsidRPr="00BB0F14">
        <w:rPr>
          <w:sz w:val="24"/>
          <w:szCs w:val="24"/>
        </w:rPr>
        <w:t xml:space="preserve">, Porto Alegre, v. 28, e30, 2023. DOI: 10.1590/2318-0331.282320230032. Disponível em: https://doi.org/10.1590/2318-0331.282320230032. Acesso em: 29 out. 2025. </w:t>
      </w:r>
    </w:p>
    <w:p w14:paraId="1B085F69" w14:textId="77777777" w:rsidR="008C3B20" w:rsidRPr="00BB0F14" w:rsidRDefault="008C3B20" w:rsidP="00B13F11">
      <w:pPr>
        <w:jc w:val="both"/>
        <w:rPr>
          <w:sz w:val="24"/>
          <w:szCs w:val="24"/>
        </w:rPr>
      </w:pPr>
    </w:p>
    <w:p w14:paraId="6933E18F" w14:textId="77777777" w:rsidR="008C3B20" w:rsidRDefault="008C3B20" w:rsidP="00B13F11">
      <w:pPr>
        <w:jc w:val="both"/>
        <w:rPr>
          <w:sz w:val="24"/>
          <w:szCs w:val="24"/>
          <w:lang w:val="pt-BR"/>
        </w:rPr>
      </w:pPr>
      <w:r w:rsidRPr="008D2852">
        <w:rPr>
          <w:sz w:val="24"/>
          <w:szCs w:val="24"/>
          <w:lang w:val="pt-BR"/>
        </w:rPr>
        <w:t xml:space="preserve">MESQUITA, A. L. D. C.; PAIVA, P. F. P. R.; SILVA JÚNIOR, O. M. D.; GUIMARÃES, Y. S.; SILVA E SILVA, E. B. D.; SANTOS, A. P. S.; RIBEIRO, D. de C. dos S.; SILVA, H. M. D. </w:t>
      </w:r>
      <w:r w:rsidRPr="00F40F8D">
        <w:rPr>
          <w:sz w:val="24"/>
          <w:szCs w:val="24"/>
          <w:lang w:val="pt-BR"/>
        </w:rPr>
        <w:t>Análise morfométrica da bacia hidrográfica do rio Maguari‑Açu, Ananindeua‑PA.</w:t>
      </w:r>
      <w:r w:rsidRPr="008D2852">
        <w:rPr>
          <w:sz w:val="24"/>
          <w:szCs w:val="24"/>
          <w:lang w:val="pt-BR"/>
        </w:rPr>
        <w:t xml:space="preserve"> </w:t>
      </w:r>
      <w:r w:rsidRPr="00F40F8D">
        <w:rPr>
          <w:b/>
          <w:sz w:val="24"/>
          <w:szCs w:val="24"/>
          <w:lang w:val="pt-BR"/>
        </w:rPr>
        <w:t>Revista Contemporânea</w:t>
      </w:r>
      <w:r w:rsidRPr="008D2852">
        <w:rPr>
          <w:sz w:val="24"/>
          <w:szCs w:val="24"/>
          <w:lang w:val="pt-BR"/>
        </w:rPr>
        <w:t xml:space="preserve">, [S. l.], v. 4, n. 7, p. 1–21, 2024. DOI: 10.56083/RCV4N7-145. ISSN: </w:t>
      </w:r>
      <w:r w:rsidRPr="008D2852">
        <w:rPr>
          <w:sz w:val="24"/>
          <w:szCs w:val="24"/>
          <w:lang w:val="pt-BR"/>
        </w:rPr>
        <w:lastRenderedPageBreak/>
        <w:t>2447‑0961.</w:t>
      </w:r>
    </w:p>
    <w:p w14:paraId="0438CC68" w14:textId="77777777" w:rsidR="008C3B20" w:rsidRPr="008D2852" w:rsidRDefault="008C3B20" w:rsidP="00B13F11">
      <w:pPr>
        <w:jc w:val="both"/>
        <w:rPr>
          <w:sz w:val="24"/>
          <w:szCs w:val="24"/>
          <w:lang w:val="pt-BR"/>
        </w:rPr>
      </w:pPr>
    </w:p>
    <w:p w14:paraId="0661265C" w14:textId="77777777" w:rsidR="008C3B20" w:rsidRDefault="008C3B20" w:rsidP="00B13F11">
      <w:pPr>
        <w:jc w:val="both"/>
        <w:rPr>
          <w:sz w:val="24"/>
          <w:szCs w:val="24"/>
          <w:lang w:val="en-US"/>
        </w:rPr>
      </w:pPr>
      <w:r w:rsidRPr="00BB0F14">
        <w:rPr>
          <w:sz w:val="24"/>
          <w:szCs w:val="24"/>
        </w:rPr>
        <w:t xml:space="preserve">PARÁ. Instituto de Desenvolvimento Florestal e da Biodiversidade do Estado do Pará (IDEFLOR‑Bio). </w:t>
      </w:r>
      <w:r w:rsidRPr="004A062E">
        <w:rPr>
          <w:b/>
          <w:sz w:val="24"/>
          <w:szCs w:val="24"/>
        </w:rPr>
        <w:t>Estudo do meio físico</w:t>
      </w:r>
      <w:r w:rsidRPr="00BB0F14">
        <w:rPr>
          <w:sz w:val="24"/>
          <w:szCs w:val="24"/>
        </w:rPr>
        <w:t xml:space="preserve">. Belém: IDEFLOR‑Bio, 2024. Disponível em: &lt;https://ideflorbio.pa.gov.br/wp-content/uploads/2024/07/4.-Estudo-do-Meio-Fisico.pdf&gt;. </w:t>
      </w:r>
      <w:r w:rsidRPr="008D2852">
        <w:rPr>
          <w:sz w:val="24"/>
          <w:szCs w:val="24"/>
          <w:lang w:val="en-US"/>
        </w:rPr>
        <w:t>Acesso em: 03 out. 2025.</w:t>
      </w:r>
    </w:p>
    <w:p w14:paraId="56B61342" w14:textId="77777777" w:rsidR="008C3B20" w:rsidRPr="008D2852" w:rsidRDefault="008C3B20" w:rsidP="00B13F11">
      <w:pPr>
        <w:jc w:val="both"/>
        <w:rPr>
          <w:sz w:val="24"/>
          <w:szCs w:val="24"/>
          <w:lang w:val="en-US"/>
        </w:rPr>
      </w:pPr>
    </w:p>
    <w:p w14:paraId="5809511E" w14:textId="77777777" w:rsidR="008C3B20" w:rsidRDefault="008C3B20" w:rsidP="00B13F11">
      <w:pPr>
        <w:jc w:val="both"/>
        <w:rPr>
          <w:sz w:val="24"/>
          <w:szCs w:val="24"/>
          <w:lang w:val="pt-BR"/>
        </w:rPr>
      </w:pPr>
      <w:r w:rsidRPr="008D2852">
        <w:rPr>
          <w:sz w:val="24"/>
          <w:szCs w:val="24"/>
          <w:lang w:val="pt-BR"/>
        </w:rPr>
        <w:t>PEREIRA, F. M.; PEREIRA JUNIOR, A.; GOMES, D. J. C.; RIBEIRO, H. M. C.; ARAÚJO, J. A. C. D</w:t>
      </w:r>
      <w:r w:rsidRPr="004A062E">
        <w:rPr>
          <w:sz w:val="24"/>
          <w:szCs w:val="24"/>
          <w:lang w:val="pt-BR"/>
        </w:rPr>
        <w:t xml:space="preserve">. </w:t>
      </w:r>
      <w:r w:rsidRPr="004A062E">
        <w:rPr>
          <w:bCs/>
          <w:sz w:val="24"/>
          <w:szCs w:val="24"/>
          <w:lang w:val="pt-BR"/>
        </w:rPr>
        <w:t>Análise da Qualidade da Água da Microbacia Hidrográfica do Rio Maguari‑Açu, Ananindeua‑PA.</w:t>
      </w:r>
      <w:r w:rsidRPr="008D2852">
        <w:rPr>
          <w:sz w:val="24"/>
          <w:szCs w:val="24"/>
          <w:lang w:val="pt-BR"/>
        </w:rPr>
        <w:t xml:space="preserve"> </w:t>
      </w:r>
      <w:r w:rsidRPr="004A062E">
        <w:rPr>
          <w:b/>
          <w:sz w:val="24"/>
          <w:szCs w:val="24"/>
          <w:lang w:val="pt-BR"/>
        </w:rPr>
        <w:t>Revista Brasileira de Geografia Física</w:t>
      </w:r>
      <w:r w:rsidRPr="008D2852">
        <w:rPr>
          <w:sz w:val="24"/>
          <w:szCs w:val="24"/>
          <w:lang w:val="pt-BR"/>
        </w:rPr>
        <w:t>, Recife, v. 17, n. 2, p. 845–859, 2024. DOI: 10.26848/rbgf.v17.2.p845-859.</w:t>
      </w:r>
    </w:p>
    <w:p w14:paraId="3C98132B" w14:textId="77777777" w:rsidR="008C3B20" w:rsidRPr="008D2852" w:rsidRDefault="008C3B20" w:rsidP="00B13F11">
      <w:pPr>
        <w:jc w:val="both"/>
        <w:rPr>
          <w:sz w:val="24"/>
          <w:szCs w:val="24"/>
          <w:lang w:val="pt-BR"/>
        </w:rPr>
      </w:pPr>
    </w:p>
    <w:p w14:paraId="7879C07D" w14:textId="77777777" w:rsidR="008C3B20" w:rsidRDefault="008C3B20" w:rsidP="00B13F11">
      <w:pPr>
        <w:jc w:val="both"/>
        <w:rPr>
          <w:sz w:val="24"/>
          <w:szCs w:val="24"/>
        </w:rPr>
      </w:pPr>
      <w:r w:rsidRPr="00BB0F14">
        <w:rPr>
          <w:sz w:val="24"/>
          <w:szCs w:val="24"/>
        </w:rPr>
        <w:t xml:space="preserve">PIRATOBA, A. R. A.; RIBEIRO, H. M. C.; MORALES, G. P.; GONÇALVES, W. G. E. </w:t>
      </w:r>
      <w:r w:rsidRPr="004A062E">
        <w:rPr>
          <w:sz w:val="24"/>
          <w:szCs w:val="24"/>
        </w:rPr>
        <w:t>Caracterização de parâmetros de qualidade da água na área portuária de Barcarena, PA, Brasil.</w:t>
      </w:r>
      <w:r w:rsidRPr="00BB0F14">
        <w:rPr>
          <w:sz w:val="24"/>
          <w:szCs w:val="24"/>
        </w:rPr>
        <w:t xml:space="preserve"> </w:t>
      </w:r>
      <w:r w:rsidRPr="004A062E">
        <w:rPr>
          <w:b/>
          <w:sz w:val="24"/>
          <w:szCs w:val="24"/>
        </w:rPr>
        <w:t>Revista Ambiente &amp; Água</w:t>
      </w:r>
      <w:r w:rsidRPr="00BB0F14">
        <w:rPr>
          <w:sz w:val="24"/>
          <w:szCs w:val="24"/>
        </w:rPr>
        <w:t>, Taubaté, v. 12, n. 3, p. 436–456, maio/jun. 2017. DOI: 10.4136/ambi‑agua.1910.</w:t>
      </w:r>
    </w:p>
    <w:p w14:paraId="2D1BBB2C" w14:textId="77777777" w:rsidR="008C3B20" w:rsidRPr="00BB0F14" w:rsidRDefault="008C3B20" w:rsidP="00B13F11">
      <w:pPr>
        <w:jc w:val="both"/>
        <w:rPr>
          <w:sz w:val="24"/>
          <w:szCs w:val="24"/>
        </w:rPr>
      </w:pPr>
    </w:p>
    <w:p w14:paraId="71DA7E62" w14:textId="77777777" w:rsidR="008C3B20" w:rsidRDefault="008C3B20" w:rsidP="00B13F11">
      <w:pPr>
        <w:jc w:val="both"/>
        <w:rPr>
          <w:sz w:val="24"/>
          <w:szCs w:val="24"/>
          <w:lang w:val="pt-BR"/>
        </w:rPr>
      </w:pPr>
      <w:r w:rsidRPr="00BB0F14">
        <w:rPr>
          <w:sz w:val="24"/>
          <w:szCs w:val="24"/>
          <w:lang w:val="en-US"/>
        </w:rPr>
        <w:t xml:space="preserve">PIRES, P. V. B.; SOUSA, E. B. D.; GOMES, A. L.; CUNHA, C. J. S.; COSTA TAVARES, V. B. D.; PINHEIRO, S. C. C.; CARNEIRO, B. S.; MELO, N. F. A. C. D. </w:t>
      </w:r>
      <w:r w:rsidRPr="00A95EDE">
        <w:rPr>
          <w:sz w:val="24"/>
          <w:szCs w:val="24"/>
          <w:lang w:val="en-US"/>
        </w:rPr>
        <w:t>Effect of seasonality and estuarine waters on the phytoplankton of the Guamá River (Belém, Amazon, Brazil).</w:t>
      </w:r>
      <w:r w:rsidRPr="00BB0F14">
        <w:rPr>
          <w:sz w:val="24"/>
          <w:szCs w:val="24"/>
          <w:lang w:val="en-US"/>
        </w:rPr>
        <w:t xml:space="preserve"> </w:t>
      </w:r>
      <w:r w:rsidRPr="00A95EDE">
        <w:rPr>
          <w:b/>
          <w:sz w:val="24"/>
          <w:szCs w:val="24"/>
          <w:lang w:val="pt-BR"/>
        </w:rPr>
        <w:t>Anais da Academia Brasileira de Ciências</w:t>
      </w:r>
      <w:r w:rsidRPr="008D2852">
        <w:rPr>
          <w:sz w:val="24"/>
          <w:szCs w:val="24"/>
          <w:lang w:val="pt-BR"/>
        </w:rPr>
        <w:t>, Rio de Janeiro, v. 96, n. 1, e20220413, 2024. DOI: 10.1590/0001-3765202420220413.</w:t>
      </w:r>
    </w:p>
    <w:p w14:paraId="5FBB9A81" w14:textId="77777777" w:rsidR="008C3B20" w:rsidRPr="008D2852" w:rsidRDefault="008C3B20" w:rsidP="00B13F11">
      <w:pPr>
        <w:jc w:val="both"/>
        <w:rPr>
          <w:sz w:val="24"/>
          <w:szCs w:val="24"/>
          <w:lang w:val="pt-BR"/>
        </w:rPr>
      </w:pPr>
    </w:p>
    <w:p w14:paraId="662F62EC" w14:textId="77777777" w:rsidR="008C3B20" w:rsidRDefault="008C3B20" w:rsidP="00B13F11">
      <w:pPr>
        <w:jc w:val="both"/>
        <w:rPr>
          <w:sz w:val="24"/>
          <w:szCs w:val="24"/>
          <w:lang w:val="pt-BR"/>
        </w:rPr>
      </w:pPr>
      <w:r w:rsidRPr="008D2852">
        <w:rPr>
          <w:sz w:val="24"/>
          <w:szCs w:val="24"/>
          <w:lang w:val="pt-BR"/>
        </w:rPr>
        <w:t xml:space="preserve">SANTOS, P. C.; RAMOS, A. C. F. </w:t>
      </w:r>
      <w:r w:rsidRPr="00A95EDE">
        <w:rPr>
          <w:sz w:val="24"/>
          <w:szCs w:val="24"/>
          <w:lang w:val="pt-BR"/>
        </w:rPr>
        <w:t>Geoprocessamento aplicado na análise das Áreas de Preservação Permanente do rio Maguari‑Açu no município de Ananindeua‑PA.</w:t>
      </w:r>
      <w:r w:rsidRPr="008D2852">
        <w:rPr>
          <w:sz w:val="24"/>
          <w:szCs w:val="24"/>
          <w:lang w:val="pt-BR"/>
        </w:rPr>
        <w:t xml:space="preserve"> In: CONGRESSO BRASILEIRO DE CARTOGRAFIA, 27., 2017, Rio de Janeiro. </w:t>
      </w:r>
      <w:r w:rsidRPr="0000367B">
        <w:rPr>
          <w:b/>
          <w:sz w:val="24"/>
          <w:szCs w:val="24"/>
          <w:lang w:val="pt-BR"/>
        </w:rPr>
        <w:t>Anais do XXVII Congresso Brasileiro de Cartografia e XXVI Exposicarta.</w:t>
      </w:r>
      <w:r w:rsidRPr="008D2852">
        <w:rPr>
          <w:sz w:val="24"/>
          <w:szCs w:val="24"/>
          <w:lang w:val="pt-BR"/>
        </w:rPr>
        <w:t xml:space="preserve"> Rio de Janeiro: Sociedade Brasileira de Cartografia, Geodésia, Fotogrametria e Sensoriamento Remoto, 2017. p. 942–946.</w:t>
      </w:r>
    </w:p>
    <w:p w14:paraId="52C37059" w14:textId="77777777" w:rsidR="008C3B20" w:rsidRPr="008D2852" w:rsidRDefault="008C3B20" w:rsidP="00B13F11">
      <w:pPr>
        <w:jc w:val="both"/>
        <w:rPr>
          <w:sz w:val="24"/>
          <w:szCs w:val="24"/>
          <w:lang w:val="pt-BR"/>
        </w:rPr>
      </w:pPr>
    </w:p>
    <w:p w14:paraId="42F2D22C" w14:textId="250FE4F0" w:rsidR="008C3B20" w:rsidRDefault="008C3B20" w:rsidP="00B13F11">
      <w:pPr>
        <w:jc w:val="both"/>
        <w:rPr>
          <w:sz w:val="24"/>
          <w:szCs w:val="24"/>
          <w:lang w:val="pt-BR"/>
        </w:rPr>
      </w:pPr>
      <w:r w:rsidRPr="008D2852">
        <w:rPr>
          <w:sz w:val="24"/>
          <w:szCs w:val="24"/>
          <w:lang w:val="pt-BR"/>
        </w:rPr>
        <w:t xml:space="preserve">SOUZA, L. D P.; MATOS, L. D. S.; SOUZA, L. J. D; ADAM, K. N. </w:t>
      </w:r>
      <w:r w:rsidRPr="001A4526">
        <w:rPr>
          <w:sz w:val="24"/>
          <w:szCs w:val="24"/>
          <w:lang w:val="pt-BR"/>
        </w:rPr>
        <w:t>Aplicação da ferramenta do Piracema – Programa de Multiplicadores no Igarapé Braço do Rio Maguari‑Açú em Ananindeua/PA: Expedição Maguari‑Açú.</w:t>
      </w:r>
      <w:r w:rsidRPr="008D2852">
        <w:rPr>
          <w:sz w:val="24"/>
          <w:szCs w:val="24"/>
          <w:lang w:val="pt-BR"/>
        </w:rPr>
        <w:t xml:space="preserve"> In: SIMPÓSIO BRASILEIRO DE RECURSOS HÍDRICOS, 24., 2021, Belo Horizonte. </w:t>
      </w:r>
      <w:r w:rsidR="008E3326" w:rsidRPr="008E3326">
        <w:rPr>
          <w:b/>
          <w:sz w:val="24"/>
          <w:szCs w:val="24"/>
          <w:lang w:val="pt-BR"/>
        </w:rPr>
        <w:t>Anais do XXIV Simpósio Brasileiro de Recursos Hídricos</w:t>
      </w:r>
      <w:r w:rsidR="00B87178">
        <w:rPr>
          <w:b/>
          <w:sz w:val="24"/>
          <w:szCs w:val="24"/>
          <w:lang w:val="pt-BR"/>
        </w:rPr>
        <w:t xml:space="preserve">, </w:t>
      </w:r>
      <w:r w:rsidRPr="008D2852">
        <w:rPr>
          <w:sz w:val="24"/>
          <w:szCs w:val="24"/>
          <w:lang w:val="pt-BR"/>
        </w:rPr>
        <w:t xml:space="preserve">Porto Alegre: </w:t>
      </w:r>
      <w:proofErr w:type="spellStart"/>
      <w:r w:rsidRPr="008D2852">
        <w:rPr>
          <w:sz w:val="24"/>
          <w:szCs w:val="24"/>
          <w:lang w:val="pt-BR"/>
        </w:rPr>
        <w:t>ABRHidro</w:t>
      </w:r>
      <w:proofErr w:type="spellEnd"/>
      <w:r w:rsidRPr="008D2852">
        <w:rPr>
          <w:sz w:val="24"/>
          <w:szCs w:val="24"/>
          <w:lang w:val="pt-BR"/>
        </w:rPr>
        <w:t>, 2021. p. 1–6. ISSN 2318‑0358.</w:t>
      </w:r>
    </w:p>
    <w:p w14:paraId="3CF3635F" w14:textId="77777777" w:rsidR="008C3B20" w:rsidRPr="008D2852" w:rsidRDefault="008C3B20" w:rsidP="00B13F11">
      <w:pPr>
        <w:jc w:val="both"/>
        <w:rPr>
          <w:sz w:val="24"/>
          <w:szCs w:val="24"/>
          <w:lang w:val="pt-BR"/>
        </w:rPr>
      </w:pPr>
    </w:p>
    <w:p w14:paraId="7875C509" w14:textId="77777777" w:rsidR="008C3B20" w:rsidRDefault="008C3B20" w:rsidP="00B13F11">
      <w:pPr>
        <w:pBdr>
          <w:top w:val="nil"/>
          <w:left w:val="nil"/>
          <w:bottom w:val="nil"/>
          <w:right w:val="nil"/>
          <w:between w:val="nil"/>
        </w:pBdr>
        <w:jc w:val="both"/>
        <w:rPr>
          <w:sz w:val="24"/>
          <w:szCs w:val="24"/>
        </w:rPr>
      </w:pPr>
      <w:r w:rsidRPr="00BB0F14">
        <w:rPr>
          <w:sz w:val="24"/>
          <w:szCs w:val="24"/>
        </w:rPr>
        <w:t>TUCCI, C. E. M</w:t>
      </w:r>
      <w:r w:rsidRPr="00E214A1">
        <w:rPr>
          <w:sz w:val="24"/>
          <w:szCs w:val="24"/>
        </w:rPr>
        <w:t>. Águas urbanas.</w:t>
      </w:r>
      <w:r w:rsidRPr="00BB0F14">
        <w:rPr>
          <w:sz w:val="24"/>
          <w:szCs w:val="24"/>
        </w:rPr>
        <w:t xml:space="preserve"> </w:t>
      </w:r>
      <w:r w:rsidRPr="00E214A1">
        <w:rPr>
          <w:b/>
          <w:sz w:val="24"/>
          <w:szCs w:val="24"/>
        </w:rPr>
        <w:t>Estudos Avançados</w:t>
      </w:r>
      <w:r w:rsidRPr="00BB0F14">
        <w:rPr>
          <w:sz w:val="24"/>
          <w:szCs w:val="24"/>
        </w:rPr>
        <w:t>, São Paulo, v. 22, n. 63, p. 97–112, 2008.</w:t>
      </w:r>
    </w:p>
    <w:p w14:paraId="4A62D27A" w14:textId="5D81DB46" w:rsidR="00177B9E" w:rsidRDefault="00177B9E" w:rsidP="00B13F11">
      <w:pPr>
        <w:pBdr>
          <w:top w:val="nil"/>
          <w:left w:val="nil"/>
          <w:bottom w:val="nil"/>
          <w:right w:val="nil"/>
          <w:between w:val="nil"/>
        </w:pBdr>
        <w:jc w:val="both"/>
        <w:rPr>
          <w:sz w:val="24"/>
          <w:szCs w:val="24"/>
        </w:rPr>
      </w:pPr>
    </w:p>
    <w:sectPr w:rsidR="00177B9E" w:rsidSect="005A1575">
      <w:headerReference w:type="default" r:id="rId18"/>
      <w:footerReference w:type="default" r:id="rId19"/>
      <w:type w:val="continuous"/>
      <w:pgSz w:w="11910" w:h="16840"/>
      <w:pgMar w:top="1701" w:right="1134" w:bottom="1134" w:left="170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467458E5" w14:textId="77777777" w:rsidR="009A0012" w:rsidRDefault="009A0012" w:rsidP="009A0012">
      <w:pPr>
        <w:pStyle w:val="Textodecomentrio"/>
      </w:pPr>
      <w:r>
        <w:rPr>
          <w:rStyle w:val="Refdecomentrio"/>
        </w:rPr>
        <w:annotationRef/>
      </w:r>
      <w:r>
        <w:t>Verificar as formatações de artigos científicos, para esse tipo de trabalho os nomes das revistas que ficam destacados (e não os títulos do artigos), esse destaque pode ser feito em negrito ou em itálico.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7458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7458E5" w16cid:durableId="5C344C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07880" w14:textId="77777777" w:rsidR="00C337CA" w:rsidRDefault="00C337CA" w:rsidP="005A1575">
      <w:r>
        <w:separator/>
      </w:r>
    </w:p>
  </w:endnote>
  <w:endnote w:type="continuationSeparator" w:id="0">
    <w:p w14:paraId="65FBEBC2" w14:textId="77777777" w:rsidR="00C337CA" w:rsidRDefault="00C337CA"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7E4EA" w14:textId="134574BA" w:rsidR="005A1575" w:rsidRDefault="004B3806">
    <w:pPr>
      <w:pStyle w:val="Rodap"/>
    </w:pPr>
    <w:r>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53632" behindDoc="0" locked="0" layoutInCell="1" allowOverlap="1" wp14:anchorId="0D209678" wp14:editId="6C20E5A0">
          <wp:simplePos x="0" y="0"/>
          <wp:positionH relativeFrom="column">
            <wp:posOffset>850900</wp:posOffset>
          </wp:positionH>
          <wp:positionV relativeFrom="page">
            <wp:posOffset>10152380</wp:posOffset>
          </wp:positionV>
          <wp:extent cx="1231265" cy="384175"/>
          <wp:effectExtent l="0" t="0" r="6985" b="0"/>
          <wp:wrapSquare wrapText="bothSides"/>
          <wp:docPr id="12187888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384175"/>
                  </a:xfrm>
                  <a:prstGeom prst="rect">
                    <a:avLst/>
                  </a:prstGeom>
                  <a:noFill/>
                </pic:spPr>
              </pic:pic>
            </a:graphicData>
          </a:graphic>
        </wp:anchor>
      </w:drawing>
    </w:r>
    <w:r w:rsidR="005A1575">
      <w:rPr>
        <w:noProof/>
      </w:rPr>
      <w:drawing>
        <wp:anchor distT="0" distB="0" distL="114300" distR="114300" simplePos="0" relativeHeight="251693568" behindDoc="0" locked="0" layoutInCell="1" allowOverlap="1" wp14:anchorId="31A1BFA6" wp14:editId="2E91DF3C">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5C9D517F">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EB1CE" w14:textId="77777777" w:rsidR="00C337CA" w:rsidRDefault="00C337CA" w:rsidP="005A1575">
      <w:r>
        <w:separator/>
      </w:r>
    </w:p>
  </w:footnote>
  <w:footnote w:type="continuationSeparator" w:id="0">
    <w:p w14:paraId="7F33654E" w14:textId="77777777" w:rsidR="00C337CA" w:rsidRDefault="00C337CA"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87E9" w14:textId="281CD96B" w:rsidR="005A1575" w:rsidRPr="005A1575" w:rsidRDefault="00177FDF" w:rsidP="005A1575">
    <w:pPr>
      <w:pStyle w:val="Cabealho"/>
      <w:jc w:val="center"/>
    </w:pPr>
    <w:r>
      <w:rPr>
        <w:noProof/>
      </w:rPr>
      <w:drawing>
        <wp:inline distT="0" distB="0" distL="0" distR="0" wp14:anchorId="75CDB71C" wp14:editId="6FF693D2">
          <wp:extent cx="3253105" cy="1610360"/>
          <wp:effectExtent l="0" t="0" r="0" b="0"/>
          <wp:docPr id="1222666444"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 descr="Logotipo, nome da empres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2865" t="33993" r="-2172" b="26667"/>
                  <a:stretch>
                    <a:fillRect/>
                  </a:stretch>
                </pic:blipFill>
                <pic:spPr bwMode="auto">
                  <a:xfrm>
                    <a:off x="0" y="0"/>
                    <a:ext cx="3253105" cy="161036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abstractNum w:abstractNumId="1" w15:restartNumberingAfterBreak="0">
    <w:nsid w:val="0C193E53"/>
    <w:multiLevelType w:val="multilevel"/>
    <w:tmpl w:val="8A58E7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9206817"/>
    <w:multiLevelType w:val="multilevel"/>
    <w:tmpl w:val="2D2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843052"/>
    <w:multiLevelType w:val="hybridMultilevel"/>
    <w:tmpl w:val="F2286A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5D3F6A"/>
    <w:multiLevelType w:val="hybridMultilevel"/>
    <w:tmpl w:val="434ABFD4"/>
    <w:lvl w:ilvl="0" w:tplc="B5B2F18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3B0B56DB"/>
    <w:multiLevelType w:val="hybridMultilevel"/>
    <w:tmpl w:val="AC2EFD8E"/>
    <w:lvl w:ilvl="0" w:tplc="A28207B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22849AA"/>
    <w:multiLevelType w:val="multilevel"/>
    <w:tmpl w:val="9D04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1F4C82"/>
    <w:multiLevelType w:val="hybridMultilevel"/>
    <w:tmpl w:val="1848F34E"/>
    <w:lvl w:ilvl="0" w:tplc="AA1CA0F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1456408314">
    <w:abstractNumId w:val="0"/>
  </w:num>
  <w:num w:numId="2" w16cid:durableId="1941060290">
    <w:abstractNumId w:val="7"/>
  </w:num>
  <w:num w:numId="3" w16cid:durableId="1137183703">
    <w:abstractNumId w:val="1"/>
  </w:num>
  <w:num w:numId="4" w16cid:durableId="776025251">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75198592">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2026325473">
    <w:abstractNumId w:val="3"/>
  </w:num>
  <w:num w:numId="7" w16cid:durableId="899636298">
    <w:abstractNumId w:val="5"/>
  </w:num>
  <w:num w:numId="8" w16cid:durableId="20896457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0367B"/>
    <w:rsid w:val="00010BED"/>
    <w:rsid w:val="00012C62"/>
    <w:rsid w:val="0001456B"/>
    <w:rsid w:val="0001741A"/>
    <w:rsid w:val="000228FF"/>
    <w:rsid w:val="00026092"/>
    <w:rsid w:val="000263DE"/>
    <w:rsid w:val="00031DF4"/>
    <w:rsid w:val="000337D1"/>
    <w:rsid w:val="000436E8"/>
    <w:rsid w:val="00050A98"/>
    <w:rsid w:val="00050B5B"/>
    <w:rsid w:val="00051E96"/>
    <w:rsid w:val="00064DCE"/>
    <w:rsid w:val="00067F16"/>
    <w:rsid w:val="00071FF6"/>
    <w:rsid w:val="0007693F"/>
    <w:rsid w:val="00081D21"/>
    <w:rsid w:val="00087F44"/>
    <w:rsid w:val="00095A14"/>
    <w:rsid w:val="000A0FAA"/>
    <w:rsid w:val="000A1B4B"/>
    <w:rsid w:val="000B44EE"/>
    <w:rsid w:val="000C0BFB"/>
    <w:rsid w:val="000C6D1A"/>
    <w:rsid w:val="000D5DF7"/>
    <w:rsid w:val="000E30F5"/>
    <w:rsid w:val="000E4D4B"/>
    <w:rsid w:val="000E6288"/>
    <w:rsid w:val="000F367E"/>
    <w:rsid w:val="0010092C"/>
    <w:rsid w:val="0010469C"/>
    <w:rsid w:val="00110E80"/>
    <w:rsid w:val="001117E8"/>
    <w:rsid w:val="00111BE0"/>
    <w:rsid w:val="001126B6"/>
    <w:rsid w:val="00112D97"/>
    <w:rsid w:val="0011670B"/>
    <w:rsid w:val="00116BD4"/>
    <w:rsid w:val="00120DC5"/>
    <w:rsid w:val="0012364E"/>
    <w:rsid w:val="00127E43"/>
    <w:rsid w:val="001330FC"/>
    <w:rsid w:val="001360A1"/>
    <w:rsid w:val="00145AF6"/>
    <w:rsid w:val="001523C2"/>
    <w:rsid w:val="00154CC3"/>
    <w:rsid w:val="00164587"/>
    <w:rsid w:val="00165871"/>
    <w:rsid w:val="00170003"/>
    <w:rsid w:val="0017677A"/>
    <w:rsid w:val="00177018"/>
    <w:rsid w:val="00177B9E"/>
    <w:rsid w:val="00177FDF"/>
    <w:rsid w:val="00180044"/>
    <w:rsid w:val="001A4526"/>
    <w:rsid w:val="001A5B02"/>
    <w:rsid w:val="001C1DCC"/>
    <w:rsid w:val="001D4FA5"/>
    <w:rsid w:val="001D7B06"/>
    <w:rsid w:val="001E07F8"/>
    <w:rsid w:val="001E54D2"/>
    <w:rsid w:val="001F0434"/>
    <w:rsid w:val="00212594"/>
    <w:rsid w:val="0022747C"/>
    <w:rsid w:val="00236B24"/>
    <w:rsid w:val="00242646"/>
    <w:rsid w:val="002742A6"/>
    <w:rsid w:val="00274C2E"/>
    <w:rsid w:val="00275987"/>
    <w:rsid w:val="002806F6"/>
    <w:rsid w:val="00286505"/>
    <w:rsid w:val="002910AD"/>
    <w:rsid w:val="002A0F30"/>
    <w:rsid w:val="002A2CD3"/>
    <w:rsid w:val="002A3206"/>
    <w:rsid w:val="002B31A7"/>
    <w:rsid w:val="002B3E0C"/>
    <w:rsid w:val="002C045F"/>
    <w:rsid w:val="002C0A02"/>
    <w:rsid w:val="002C7BFC"/>
    <w:rsid w:val="002D1110"/>
    <w:rsid w:val="002F3682"/>
    <w:rsid w:val="002F6804"/>
    <w:rsid w:val="00304FA7"/>
    <w:rsid w:val="00311057"/>
    <w:rsid w:val="0031571D"/>
    <w:rsid w:val="00320794"/>
    <w:rsid w:val="00321524"/>
    <w:rsid w:val="00321993"/>
    <w:rsid w:val="00335B2B"/>
    <w:rsid w:val="00340B04"/>
    <w:rsid w:val="00344071"/>
    <w:rsid w:val="00350C5E"/>
    <w:rsid w:val="003533DD"/>
    <w:rsid w:val="00361053"/>
    <w:rsid w:val="00363DF7"/>
    <w:rsid w:val="0036552A"/>
    <w:rsid w:val="00372532"/>
    <w:rsid w:val="00374C03"/>
    <w:rsid w:val="003845AD"/>
    <w:rsid w:val="003852B0"/>
    <w:rsid w:val="003861E7"/>
    <w:rsid w:val="003949CE"/>
    <w:rsid w:val="003954F0"/>
    <w:rsid w:val="00397534"/>
    <w:rsid w:val="003A3ED6"/>
    <w:rsid w:val="003A5578"/>
    <w:rsid w:val="003C199C"/>
    <w:rsid w:val="003C6D4D"/>
    <w:rsid w:val="003D4656"/>
    <w:rsid w:val="003E7F1E"/>
    <w:rsid w:val="003F496E"/>
    <w:rsid w:val="003F7FA5"/>
    <w:rsid w:val="004170AF"/>
    <w:rsid w:val="00417FE0"/>
    <w:rsid w:val="004323E0"/>
    <w:rsid w:val="00435811"/>
    <w:rsid w:val="00442226"/>
    <w:rsid w:val="0045147A"/>
    <w:rsid w:val="0045300D"/>
    <w:rsid w:val="00453EAA"/>
    <w:rsid w:val="00455965"/>
    <w:rsid w:val="00456EB8"/>
    <w:rsid w:val="004570E5"/>
    <w:rsid w:val="0046257E"/>
    <w:rsid w:val="00462F45"/>
    <w:rsid w:val="00472582"/>
    <w:rsid w:val="00472F4A"/>
    <w:rsid w:val="00482C7E"/>
    <w:rsid w:val="0048604D"/>
    <w:rsid w:val="00487610"/>
    <w:rsid w:val="0049518A"/>
    <w:rsid w:val="004A062E"/>
    <w:rsid w:val="004A1B0B"/>
    <w:rsid w:val="004B239A"/>
    <w:rsid w:val="004B2457"/>
    <w:rsid w:val="004B3806"/>
    <w:rsid w:val="004C4698"/>
    <w:rsid w:val="004C7196"/>
    <w:rsid w:val="004C7736"/>
    <w:rsid w:val="004D3B73"/>
    <w:rsid w:val="004E1ABB"/>
    <w:rsid w:val="004E409D"/>
    <w:rsid w:val="00501E82"/>
    <w:rsid w:val="00505016"/>
    <w:rsid w:val="00523AB1"/>
    <w:rsid w:val="00546394"/>
    <w:rsid w:val="005617E0"/>
    <w:rsid w:val="00561FC2"/>
    <w:rsid w:val="00562046"/>
    <w:rsid w:val="00563140"/>
    <w:rsid w:val="00566CC4"/>
    <w:rsid w:val="00584F92"/>
    <w:rsid w:val="00587115"/>
    <w:rsid w:val="00590218"/>
    <w:rsid w:val="005A1575"/>
    <w:rsid w:val="005A6BE8"/>
    <w:rsid w:val="005A791C"/>
    <w:rsid w:val="005C20F2"/>
    <w:rsid w:val="005D53A7"/>
    <w:rsid w:val="005D5715"/>
    <w:rsid w:val="005D5860"/>
    <w:rsid w:val="005E6FDD"/>
    <w:rsid w:val="005F4BCF"/>
    <w:rsid w:val="0060285B"/>
    <w:rsid w:val="006103FB"/>
    <w:rsid w:val="00612C05"/>
    <w:rsid w:val="006243E0"/>
    <w:rsid w:val="00627CE0"/>
    <w:rsid w:val="00645BA4"/>
    <w:rsid w:val="006507B4"/>
    <w:rsid w:val="006514A0"/>
    <w:rsid w:val="00664CC8"/>
    <w:rsid w:val="00675154"/>
    <w:rsid w:val="00683311"/>
    <w:rsid w:val="006911E7"/>
    <w:rsid w:val="0069727A"/>
    <w:rsid w:val="006A1639"/>
    <w:rsid w:val="006A6D01"/>
    <w:rsid w:val="006A6FE3"/>
    <w:rsid w:val="006B3C51"/>
    <w:rsid w:val="006B3FAB"/>
    <w:rsid w:val="006B4BCF"/>
    <w:rsid w:val="006C5E7D"/>
    <w:rsid w:val="006C6E6C"/>
    <w:rsid w:val="006D610A"/>
    <w:rsid w:val="006D6AC0"/>
    <w:rsid w:val="0070770C"/>
    <w:rsid w:val="007115DB"/>
    <w:rsid w:val="00711F7A"/>
    <w:rsid w:val="007123B8"/>
    <w:rsid w:val="00712863"/>
    <w:rsid w:val="00717D37"/>
    <w:rsid w:val="00720073"/>
    <w:rsid w:val="00720DBD"/>
    <w:rsid w:val="007219F3"/>
    <w:rsid w:val="00732084"/>
    <w:rsid w:val="0073569B"/>
    <w:rsid w:val="00741D6C"/>
    <w:rsid w:val="00743AF7"/>
    <w:rsid w:val="00750C04"/>
    <w:rsid w:val="00751EF9"/>
    <w:rsid w:val="0075390B"/>
    <w:rsid w:val="0075447E"/>
    <w:rsid w:val="007559BB"/>
    <w:rsid w:val="007619F8"/>
    <w:rsid w:val="00767985"/>
    <w:rsid w:val="007701A8"/>
    <w:rsid w:val="007714AB"/>
    <w:rsid w:val="00776785"/>
    <w:rsid w:val="00785E1E"/>
    <w:rsid w:val="0079325D"/>
    <w:rsid w:val="00796201"/>
    <w:rsid w:val="007A3840"/>
    <w:rsid w:val="007B00E2"/>
    <w:rsid w:val="007B0B79"/>
    <w:rsid w:val="007B5326"/>
    <w:rsid w:val="007C035B"/>
    <w:rsid w:val="007C1649"/>
    <w:rsid w:val="007C23E3"/>
    <w:rsid w:val="007D63DE"/>
    <w:rsid w:val="007E0BB3"/>
    <w:rsid w:val="007E271A"/>
    <w:rsid w:val="007E74A9"/>
    <w:rsid w:val="007F369A"/>
    <w:rsid w:val="007F53A0"/>
    <w:rsid w:val="008009BC"/>
    <w:rsid w:val="00802597"/>
    <w:rsid w:val="00811372"/>
    <w:rsid w:val="0082170D"/>
    <w:rsid w:val="0082196E"/>
    <w:rsid w:val="0082439E"/>
    <w:rsid w:val="008250C9"/>
    <w:rsid w:val="00832720"/>
    <w:rsid w:val="00836259"/>
    <w:rsid w:val="008365D2"/>
    <w:rsid w:val="008409E3"/>
    <w:rsid w:val="0084381F"/>
    <w:rsid w:val="00845DA7"/>
    <w:rsid w:val="00847B10"/>
    <w:rsid w:val="00847F0D"/>
    <w:rsid w:val="0086501D"/>
    <w:rsid w:val="00865119"/>
    <w:rsid w:val="00876884"/>
    <w:rsid w:val="00876C91"/>
    <w:rsid w:val="00882DC4"/>
    <w:rsid w:val="00885DAE"/>
    <w:rsid w:val="00893517"/>
    <w:rsid w:val="00894A80"/>
    <w:rsid w:val="00897657"/>
    <w:rsid w:val="008A3D92"/>
    <w:rsid w:val="008B0D9B"/>
    <w:rsid w:val="008B0DE9"/>
    <w:rsid w:val="008B2624"/>
    <w:rsid w:val="008C3B20"/>
    <w:rsid w:val="008D2852"/>
    <w:rsid w:val="008E3326"/>
    <w:rsid w:val="008F66A9"/>
    <w:rsid w:val="00902822"/>
    <w:rsid w:val="00905D87"/>
    <w:rsid w:val="00907C5D"/>
    <w:rsid w:val="00911704"/>
    <w:rsid w:val="00915EE8"/>
    <w:rsid w:val="0091795A"/>
    <w:rsid w:val="00920800"/>
    <w:rsid w:val="00921296"/>
    <w:rsid w:val="00925B52"/>
    <w:rsid w:val="0094003D"/>
    <w:rsid w:val="009407D1"/>
    <w:rsid w:val="00946D42"/>
    <w:rsid w:val="009526CA"/>
    <w:rsid w:val="00957522"/>
    <w:rsid w:val="009613E3"/>
    <w:rsid w:val="00962C69"/>
    <w:rsid w:val="00970BA6"/>
    <w:rsid w:val="00977596"/>
    <w:rsid w:val="00981870"/>
    <w:rsid w:val="009928A9"/>
    <w:rsid w:val="009A0012"/>
    <w:rsid w:val="009B127D"/>
    <w:rsid w:val="009C4169"/>
    <w:rsid w:val="009D2499"/>
    <w:rsid w:val="009D610D"/>
    <w:rsid w:val="009E15EF"/>
    <w:rsid w:val="009E242F"/>
    <w:rsid w:val="009E275F"/>
    <w:rsid w:val="009E6783"/>
    <w:rsid w:val="009F0F7A"/>
    <w:rsid w:val="009F2772"/>
    <w:rsid w:val="009F3C4A"/>
    <w:rsid w:val="009F67E8"/>
    <w:rsid w:val="00A00E6B"/>
    <w:rsid w:val="00A04649"/>
    <w:rsid w:val="00A078E9"/>
    <w:rsid w:val="00A13FC4"/>
    <w:rsid w:val="00A20DDC"/>
    <w:rsid w:val="00A32BED"/>
    <w:rsid w:val="00A55BAF"/>
    <w:rsid w:val="00A5696C"/>
    <w:rsid w:val="00A571FC"/>
    <w:rsid w:val="00A5767B"/>
    <w:rsid w:val="00A600A9"/>
    <w:rsid w:val="00A60344"/>
    <w:rsid w:val="00A62983"/>
    <w:rsid w:val="00A6302E"/>
    <w:rsid w:val="00A63913"/>
    <w:rsid w:val="00A700CA"/>
    <w:rsid w:val="00A71936"/>
    <w:rsid w:val="00A7218A"/>
    <w:rsid w:val="00A7347F"/>
    <w:rsid w:val="00A764E2"/>
    <w:rsid w:val="00A811F5"/>
    <w:rsid w:val="00A87CAA"/>
    <w:rsid w:val="00A941BE"/>
    <w:rsid w:val="00A95EDE"/>
    <w:rsid w:val="00AA6379"/>
    <w:rsid w:val="00AB194C"/>
    <w:rsid w:val="00AB4C54"/>
    <w:rsid w:val="00AB65F2"/>
    <w:rsid w:val="00AC0564"/>
    <w:rsid w:val="00AC0667"/>
    <w:rsid w:val="00AC7638"/>
    <w:rsid w:val="00AD06E3"/>
    <w:rsid w:val="00AD1D49"/>
    <w:rsid w:val="00AD35A7"/>
    <w:rsid w:val="00AD3CD1"/>
    <w:rsid w:val="00AE1DD9"/>
    <w:rsid w:val="00AE58BB"/>
    <w:rsid w:val="00AE6CD4"/>
    <w:rsid w:val="00AF5783"/>
    <w:rsid w:val="00AF6B2B"/>
    <w:rsid w:val="00AF76B3"/>
    <w:rsid w:val="00B05653"/>
    <w:rsid w:val="00B05DEA"/>
    <w:rsid w:val="00B07B08"/>
    <w:rsid w:val="00B13F11"/>
    <w:rsid w:val="00B14309"/>
    <w:rsid w:val="00B16743"/>
    <w:rsid w:val="00B21FDA"/>
    <w:rsid w:val="00B24408"/>
    <w:rsid w:val="00B25AF8"/>
    <w:rsid w:val="00B27676"/>
    <w:rsid w:val="00B31CD7"/>
    <w:rsid w:val="00B3234B"/>
    <w:rsid w:val="00B32E4A"/>
    <w:rsid w:val="00B32E7C"/>
    <w:rsid w:val="00B32EE8"/>
    <w:rsid w:val="00B33F26"/>
    <w:rsid w:val="00B35982"/>
    <w:rsid w:val="00B40750"/>
    <w:rsid w:val="00B431E7"/>
    <w:rsid w:val="00B43BF5"/>
    <w:rsid w:val="00B54752"/>
    <w:rsid w:val="00B66082"/>
    <w:rsid w:val="00B77361"/>
    <w:rsid w:val="00B804F1"/>
    <w:rsid w:val="00B83570"/>
    <w:rsid w:val="00B85327"/>
    <w:rsid w:val="00B87178"/>
    <w:rsid w:val="00B911ED"/>
    <w:rsid w:val="00B92120"/>
    <w:rsid w:val="00B972AA"/>
    <w:rsid w:val="00BA4D35"/>
    <w:rsid w:val="00BB0F14"/>
    <w:rsid w:val="00BC6C1E"/>
    <w:rsid w:val="00BE0317"/>
    <w:rsid w:val="00BE24C9"/>
    <w:rsid w:val="00BF20A7"/>
    <w:rsid w:val="00BF525A"/>
    <w:rsid w:val="00C12A46"/>
    <w:rsid w:val="00C1457B"/>
    <w:rsid w:val="00C20287"/>
    <w:rsid w:val="00C27840"/>
    <w:rsid w:val="00C337CA"/>
    <w:rsid w:val="00C51551"/>
    <w:rsid w:val="00C53243"/>
    <w:rsid w:val="00C533F6"/>
    <w:rsid w:val="00C63D12"/>
    <w:rsid w:val="00C7266B"/>
    <w:rsid w:val="00C91D4D"/>
    <w:rsid w:val="00C9401D"/>
    <w:rsid w:val="00C956FC"/>
    <w:rsid w:val="00CB510D"/>
    <w:rsid w:val="00CC1025"/>
    <w:rsid w:val="00CD5B5C"/>
    <w:rsid w:val="00CE2B1C"/>
    <w:rsid w:val="00CF5A88"/>
    <w:rsid w:val="00CF639F"/>
    <w:rsid w:val="00D0205E"/>
    <w:rsid w:val="00D05639"/>
    <w:rsid w:val="00D2058F"/>
    <w:rsid w:val="00D42182"/>
    <w:rsid w:val="00D479C8"/>
    <w:rsid w:val="00D527AD"/>
    <w:rsid w:val="00D64E09"/>
    <w:rsid w:val="00D721EA"/>
    <w:rsid w:val="00D73A45"/>
    <w:rsid w:val="00D753CC"/>
    <w:rsid w:val="00D75553"/>
    <w:rsid w:val="00D84D38"/>
    <w:rsid w:val="00DB403B"/>
    <w:rsid w:val="00DB4407"/>
    <w:rsid w:val="00DB54F1"/>
    <w:rsid w:val="00DB5854"/>
    <w:rsid w:val="00DB76C1"/>
    <w:rsid w:val="00DC2D28"/>
    <w:rsid w:val="00DC66C6"/>
    <w:rsid w:val="00DD42D6"/>
    <w:rsid w:val="00DE04D3"/>
    <w:rsid w:val="00DE3A1D"/>
    <w:rsid w:val="00DE6CFC"/>
    <w:rsid w:val="00DF0022"/>
    <w:rsid w:val="00DF20AD"/>
    <w:rsid w:val="00DF3CBA"/>
    <w:rsid w:val="00DF4871"/>
    <w:rsid w:val="00E004CD"/>
    <w:rsid w:val="00E011E6"/>
    <w:rsid w:val="00E03FE4"/>
    <w:rsid w:val="00E13F6B"/>
    <w:rsid w:val="00E167A0"/>
    <w:rsid w:val="00E214A1"/>
    <w:rsid w:val="00E3591B"/>
    <w:rsid w:val="00E41557"/>
    <w:rsid w:val="00E41869"/>
    <w:rsid w:val="00E567B1"/>
    <w:rsid w:val="00E64B71"/>
    <w:rsid w:val="00E653B4"/>
    <w:rsid w:val="00E65A85"/>
    <w:rsid w:val="00E65D89"/>
    <w:rsid w:val="00E665F5"/>
    <w:rsid w:val="00E66A78"/>
    <w:rsid w:val="00E705BC"/>
    <w:rsid w:val="00E72665"/>
    <w:rsid w:val="00E8046C"/>
    <w:rsid w:val="00E85251"/>
    <w:rsid w:val="00E9336A"/>
    <w:rsid w:val="00E96412"/>
    <w:rsid w:val="00E96500"/>
    <w:rsid w:val="00EB10FB"/>
    <w:rsid w:val="00EC36B4"/>
    <w:rsid w:val="00EC3AA7"/>
    <w:rsid w:val="00EC6366"/>
    <w:rsid w:val="00EC6AF7"/>
    <w:rsid w:val="00ED705D"/>
    <w:rsid w:val="00EE3285"/>
    <w:rsid w:val="00EE7E22"/>
    <w:rsid w:val="00EF119A"/>
    <w:rsid w:val="00EF352F"/>
    <w:rsid w:val="00EF3DB8"/>
    <w:rsid w:val="00F06F92"/>
    <w:rsid w:val="00F15968"/>
    <w:rsid w:val="00F215C4"/>
    <w:rsid w:val="00F24881"/>
    <w:rsid w:val="00F24F29"/>
    <w:rsid w:val="00F30749"/>
    <w:rsid w:val="00F32D94"/>
    <w:rsid w:val="00F34206"/>
    <w:rsid w:val="00F35985"/>
    <w:rsid w:val="00F35B3B"/>
    <w:rsid w:val="00F40F8D"/>
    <w:rsid w:val="00F41BA5"/>
    <w:rsid w:val="00F43059"/>
    <w:rsid w:val="00F45E52"/>
    <w:rsid w:val="00F46632"/>
    <w:rsid w:val="00F47CE2"/>
    <w:rsid w:val="00F51D4B"/>
    <w:rsid w:val="00F5474E"/>
    <w:rsid w:val="00F54CD0"/>
    <w:rsid w:val="00F55756"/>
    <w:rsid w:val="00F65ACD"/>
    <w:rsid w:val="00F77500"/>
    <w:rsid w:val="00F819E6"/>
    <w:rsid w:val="00F847E9"/>
    <w:rsid w:val="00F9100C"/>
    <w:rsid w:val="00F93948"/>
    <w:rsid w:val="00F948A7"/>
    <w:rsid w:val="00F96AD6"/>
    <w:rsid w:val="00F976D9"/>
    <w:rsid w:val="00FB23E5"/>
    <w:rsid w:val="00FB2CA2"/>
    <w:rsid w:val="00FC3B39"/>
    <w:rsid w:val="00FD4666"/>
    <w:rsid w:val="00FD4AC1"/>
    <w:rsid w:val="00FD74B4"/>
    <w:rsid w:val="00FE53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BC7DD"/>
  <w15:docId w15:val="{9EB1FB5A-3CDB-4A1D-AECB-FED1BAF57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paragraph" w:styleId="NormalWeb">
    <w:name w:val="Normal (Web)"/>
    <w:basedOn w:val="Normal"/>
    <w:uiPriority w:val="99"/>
    <w:semiHidden/>
    <w:unhideWhenUsed/>
    <w:rsid w:val="00320794"/>
    <w:rPr>
      <w:sz w:val="24"/>
      <w:szCs w:val="24"/>
    </w:rPr>
  </w:style>
  <w:style w:type="character" w:styleId="Forte">
    <w:name w:val="Strong"/>
    <w:basedOn w:val="Fontepargpadro"/>
    <w:uiPriority w:val="22"/>
    <w:qFormat/>
    <w:rsid w:val="009C4169"/>
    <w:rPr>
      <w:b/>
      <w:bCs/>
    </w:rPr>
  </w:style>
  <w:style w:type="table" w:styleId="TabeladeGrade5Escura-nfase1">
    <w:name w:val="Grid Table 5 Dark Accent 1"/>
    <w:basedOn w:val="Tabelanormal"/>
    <w:uiPriority w:val="50"/>
    <w:rsid w:val="002A32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deGrade4">
    <w:name w:val="Grid Table 4"/>
    <w:basedOn w:val="Tabelanormal"/>
    <w:uiPriority w:val="49"/>
    <w:rsid w:val="002A32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1Clara">
    <w:name w:val="Grid Table 1 Light"/>
    <w:basedOn w:val="Tabelanormal"/>
    <w:uiPriority w:val="46"/>
    <w:rsid w:val="002A32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Fontepargpadro"/>
    <w:uiPriority w:val="99"/>
    <w:unhideWhenUsed/>
    <w:rsid w:val="00F215C4"/>
    <w:rPr>
      <w:color w:val="0000FF" w:themeColor="hyperlink"/>
      <w:u w:val="single"/>
    </w:rPr>
  </w:style>
  <w:style w:type="character" w:styleId="MenoPendente">
    <w:name w:val="Unresolved Mention"/>
    <w:basedOn w:val="Fontepargpadro"/>
    <w:uiPriority w:val="99"/>
    <w:semiHidden/>
    <w:unhideWhenUsed/>
    <w:rsid w:val="00F215C4"/>
    <w:rPr>
      <w:color w:val="605E5C"/>
      <w:shd w:val="clear" w:color="auto" w:fill="E1DFDD"/>
    </w:rPr>
  </w:style>
  <w:style w:type="character" w:styleId="Refdecomentrio">
    <w:name w:val="annotation reference"/>
    <w:basedOn w:val="Fontepargpadro"/>
    <w:uiPriority w:val="99"/>
    <w:semiHidden/>
    <w:unhideWhenUsed/>
    <w:rsid w:val="009A0012"/>
    <w:rPr>
      <w:sz w:val="16"/>
      <w:szCs w:val="16"/>
    </w:rPr>
  </w:style>
  <w:style w:type="paragraph" w:styleId="Textodecomentrio">
    <w:name w:val="annotation text"/>
    <w:basedOn w:val="Normal"/>
    <w:link w:val="TextodecomentrioChar"/>
    <w:uiPriority w:val="99"/>
    <w:unhideWhenUsed/>
    <w:rsid w:val="009A0012"/>
    <w:rPr>
      <w:sz w:val="20"/>
      <w:szCs w:val="20"/>
    </w:rPr>
  </w:style>
  <w:style w:type="character" w:customStyle="1" w:styleId="TextodecomentrioChar">
    <w:name w:val="Texto de comentário Char"/>
    <w:basedOn w:val="Fontepargpadro"/>
    <w:link w:val="Textodecomentrio"/>
    <w:uiPriority w:val="99"/>
    <w:rsid w:val="009A0012"/>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9A0012"/>
    <w:rPr>
      <w:b/>
      <w:bCs/>
    </w:rPr>
  </w:style>
  <w:style w:type="character" w:customStyle="1" w:styleId="AssuntodocomentrioChar">
    <w:name w:val="Assunto do comentário Char"/>
    <w:basedOn w:val="TextodecomentrioChar"/>
    <w:link w:val="Assuntodocomentrio"/>
    <w:uiPriority w:val="99"/>
    <w:semiHidden/>
    <w:rsid w:val="009A0012"/>
    <w:rPr>
      <w:rFonts w:ascii="Times New Roman" w:eastAsia="Times New Roman" w:hAnsi="Times New Roman" w:cs="Times New Roman"/>
      <w:b/>
      <w:bCs/>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a496f1d30bd9f79d/&#193;rea%20de%20Trabalho/Simp&#243;sio%20UEPA/Maguari-A&#231;&#25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a496f1d30bd9f79d/&#193;rea%20de%20Trabalho/Simp&#243;sio%20UEPA/Maguari-A&#231;&#25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A496F1D30BD9F79D/&#193;rea%20de%20Trabalho/Simp&#243;sio%20UEPA/Maguari-A&#231;&#25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A496F1D30BD9F79D/&#193;rea%20de%20Trabalho/Simp&#243;sio%20UEPA/Maguari-A&#231;&#25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A496F1D30BD9F79D/&#193;rea%20de%20Trabalho/Simp&#243;sio%20UEPA/Maguari-A&#231;&#2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A496F1D30BD9F79D/&#193;rea%20de%20Trabalho/Simp&#243;sio%20UEPA/Maguari-A&#231;&#25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000"/>
              <a:t>b)</a:t>
            </a:r>
          </a:p>
        </c:rich>
      </c:tx>
      <c:layout>
        <c:manualLayout>
          <c:xMode val="edge"/>
          <c:yMode val="edge"/>
          <c:x val="3.5451224846894142E-2"/>
          <c:y val="0.884259259259259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20185063998367497"/>
          <c:y val="7.2383975258906594E-2"/>
          <c:w val="0.74899833231301849"/>
          <c:h val="0.62998433335367965"/>
        </c:manualLayout>
      </c:layout>
      <c:barChart>
        <c:barDir val="col"/>
        <c:grouping val="clustered"/>
        <c:varyColors val="0"/>
        <c:ser>
          <c:idx val="0"/>
          <c:order val="0"/>
          <c:tx>
            <c:strRef>
              <c:f>Temperatura!$B$1</c:f>
              <c:strCache>
                <c:ptCount val="1"/>
                <c:pt idx="0">
                  <c:v>Baixa-Mar</c:v>
                </c:pt>
              </c:strCache>
            </c:strRef>
          </c:tx>
          <c:spPr>
            <a:solidFill>
              <a:schemeClr val="accent1"/>
            </a:solidFill>
            <a:ln>
              <a:noFill/>
            </a:ln>
            <a:effectLst/>
          </c:spPr>
          <c:invertIfNegative val="0"/>
          <c:val>
            <c:numRef>
              <c:f>Temperatura!$B$2:$B$13</c:f>
              <c:numCache>
                <c:formatCode>General</c:formatCode>
                <c:ptCount val="12"/>
                <c:pt idx="0">
                  <c:v>27.3</c:v>
                </c:pt>
                <c:pt idx="1">
                  <c:v>28.1</c:v>
                </c:pt>
                <c:pt idx="2">
                  <c:v>28.5</c:v>
                </c:pt>
                <c:pt idx="3">
                  <c:v>28.6</c:v>
                </c:pt>
                <c:pt idx="4">
                  <c:v>28.8</c:v>
                </c:pt>
                <c:pt idx="5">
                  <c:v>28.9</c:v>
                </c:pt>
                <c:pt idx="6">
                  <c:v>29.4</c:v>
                </c:pt>
                <c:pt idx="7">
                  <c:v>29.2</c:v>
                </c:pt>
                <c:pt idx="8">
                  <c:v>29.1</c:v>
                </c:pt>
                <c:pt idx="9">
                  <c:v>29.2</c:v>
                </c:pt>
                <c:pt idx="10">
                  <c:v>29.6</c:v>
                </c:pt>
                <c:pt idx="11">
                  <c:v>30</c:v>
                </c:pt>
              </c:numCache>
            </c:numRef>
          </c:val>
          <c:extLst>
            <c:ext xmlns:c16="http://schemas.microsoft.com/office/drawing/2014/chart" uri="{C3380CC4-5D6E-409C-BE32-E72D297353CC}">
              <c16:uniqueId val="{00000000-D9A7-4317-BF98-08175A34B17B}"/>
            </c:ext>
          </c:extLst>
        </c:ser>
        <c:ser>
          <c:idx val="1"/>
          <c:order val="1"/>
          <c:tx>
            <c:strRef>
              <c:f>Temperatura!$D$1</c:f>
              <c:strCache>
                <c:ptCount val="1"/>
                <c:pt idx="0">
                  <c:v>Preamar</c:v>
                </c:pt>
              </c:strCache>
            </c:strRef>
          </c:tx>
          <c:spPr>
            <a:solidFill>
              <a:schemeClr val="accent2"/>
            </a:solidFill>
            <a:ln>
              <a:noFill/>
            </a:ln>
            <a:effectLst/>
          </c:spPr>
          <c:invertIfNegative val="0"/>
          <c:val>
            <c:numRef>
              <c:f>Temperatura!$D$2:$D$13</c:f>
              <c:numCache>
                <c:formatCode>General</c:formatCode>
                <c:ptCount val="12"/>
                <c:pt idx="0">
                  <c:v>29.2</c:v>
                </c:pt>
                <c:pt idx="1">
                  <c:v>29.5</c:v>
                </c:pt>
                <c:pt idx="2">
                  <c:v>29.6</c:v>
                </c:pt>
                <c:pt idx="3">
                  <c:v>30</c:v>
                </c:pt>
                <c:pt idx="4">
                  <c:v>30.3</c:v>
                </c:pt>
                <c:pt idx="5">
                  <c:v>30.3</c:v>
                </c:pt>
                <c:pt idx="6">
                  <c:v>30.3</c:v>
                </c:pt>
                <c:pt idx="7">
                  <c:v>29.1</c:v>
                </c:pt>
                <c:pt idx="8">
                  <c:v>29</c:v>
                </c:pt>
                <c:pt idx="9">
                  <c:v>28.8</c:v>
                </c:pt>
                <c:pt idx="10">
                  <c:v>29</c:v>
                </c:pt>
                <c:pt idx="11">
                  <c:v>28.7</c:v>
                </c:pt>
              </c:numCache>
            </c:numRef>
          </c:val>
          <c:extLst>
            <c:ext xmlns:c16="http://schemas.microsoft.com/office/drawing/2014/chart" uri="{C3380CC4-5D6E-409C-BE32-E72D297353CC}">
              <c16:uniqueId val="{00000001-D9A7-4317-BF98-08175A34B17B}"/>
            </c:ext>
          </c:extLst>
        </c:ser>
        <c:dLbls>
          <c:showLegendKey val="0"/>
          <c:showVal val="0"/>
          <c:showCatName val="0"/>
          <c:showSerName val="0"/>
          <c:showPercent val="0"/>
          <c:showBubbleSize val="0"/>
        </c:dLbls>
        <c:gapWidth val="219"/>
        <c:overlap val="-27"/>
        <c:axId val="832770912"/>
        <c:axId val="832772352"/>
      </c:barChart>
      <c:catAx>
        <c:axId val="83277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2772352"/>
        <c:crosses val="autoZero"/>
        <c:auto val="1"/>
        <c:lblAlgn val="ctr"/>
        <c:lblOffset val="100"/>
        <c:noMultiLvlLbl val="0"/>
      </c:catAx>
      <c:valAx>
        <c:axId val="83277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277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50005965163445"/>
          <c:y val="7.1614583333333329E-2"/>
          <c:w val="0.74441660701503221"/>
          <c:h val="0.6791769192913385"/>
        </c:manualLayout>
      </c:layout>
      <c:barChart>
        <c:barDir val="col"/>
        <c:grouping val="clustered"/>
        <c:varyColors val="0"/>
        <c:ser>
          <c:idx val="0"/>
          <c:order val="0"/>
          <c:tx>
            <c:strRef>
              <c:f>Salinidade!$C$1</c:f>
              <c:strCache>
                <c:ptCount val="1"/>
                <c:pt idx="0">
                  <c:v>Baixa-Mar</c:v>
                </c:pt>
              </c:strCache>
            </c:strRef>
          </c:tx>
          <c:spPr>
            <a:solidFill>
              <a:schemeClr val="accent1"/>
            </a:solidFill>
            <a:ln>
              <a:noFill/>
            </a:ln>
            <a:effectLst/>
          </c:spPr>
          <c:invertIfNegative val="0"/>
          <c:val>
            <c:numRef>
              <c:f>Salinidade!$C$2:$C$13</c:f>
              <c:numCache>
                <c:formatCode>General</c:formatCode>
                <c:ptCount val="12"/>
                <c:pt idx="0">
                  <c:v>0.01</c:v>
                </c:pt>
                <c:pt idx="1">
                  <c:v>0.01</c:v>
                </c:pt>
                <c:pt idx="2">
                  <c:v>0.01</c:v>
                </c:pt>
                <c:pt idx="3">
                  <c:v>0.01</c:v>
                </c:pt>
                <c:pt idx="4">
                  <c:v>0.01</c:v>
                </c:pt>
                <c:pt idx="5">
                  <c:v>0.01</c:v>
                </c:pt>
                <c:pt idx="6">
                  <c:v>0.01</c:v>
                </c:pt>
                <c:pt idx="7">
                  <c:v>0.02</c:v>
                </c:pt>
                <c:pt idx="8">
                  <c:v>0.02</c:v>
                </c:pt>
                <c:pt idx="9">
                  <c:v>0.02</c:v>
                </c:pt>
                <c:pt idx="10">
                  <c:v>0.02</c:v>
                </c:pt>
                <c:pt idx="11">
                  <c:v>0.03</c:v>
                </c:pt>
              </c:numCache>
            </c:numRef>
          </c:val>
          <c:extLst>
            <c:ext xmlns:c16="http://schemas.microsoft.com/office/drawing/2014/chart" uri="{C3380CC4-5D6E-409C-BE32-E72D297353CC}">
              <c16:uniqueId val="{00000000-87B3-40B4-9CD9-512A65605352}"/>
            </c:ext>
          </c:extLst>
        </c:ser>
        <c:ser>
          <c:idx val="1"/>
          <c:order val="1"/>
          <c:tx>
            <c:strRef>
              <c:f>Salinidade!$F$1</c:f>
              <c:strCache>
                <c:ptCount val="1"/>
                <c:pt idx="0">
                  <c:v>Preamar</c:v>
                </c:pt>
              </c:strCache>
            </c:strRef>
          </c:tx>
          <c:spPr>
            <a:solidFill>
              <a:schemeClr val="accent2"/>
            </a:solidFill>
            <a:ln>
              <a:noFill/>
            </a:ln>
            <a:effectLst/>
          </c:spPr>
          <c:invertIfNegative val="0"/>
          <c:val>
            <c:numRef>
              <c:f>Salinidade!$F$2:$F$13</c:f>
              <c:numCache>
                <c:formatCode>General</c:formatCode>
                <c:ptCount val="12"/>
                <c:pt idx="0">
                  <c:v>0.01</c:v>
                </c:pt>
                <c:pt idx="1">
                  <c:v>0.01</c:v>
                </c:pt>
                <c:pt idx="2">
                  <c:v>0.01</c:v>
                </c:pt>
                <c:pt idx="3">
                  <c:v>0.01</c:v>
                </c:pt>
                <c:pt idx="4">
                  <c:v>0.01</c:v>
                </c:pt>
                <c:pt idx="5">
                  <c:v>0.01</c:v>
                </c:pt>
                <c:pt idx="6">
                  <c:v>0.02</c:v>
                </c:pt>
                <c:pt idx="7">
                  <c:v>0.02</c:v>
                </c:pt>
                <c:pt idx="8">
                  <c:v>0.02</c:v>
                </c:pt>
                <c:pt idx="9">
                  <c:v>0.03</c:v>
                </c:pt>
                <c:pt idx="10">
                  <c:v>0.05</c:v>
                </c:pt>
                <c:pt idx="11">
                  <c:v>0.03</c:v>
                </c:pt>
              </c:numCache>
            </c:numRef>
          </c:val>
          <c:extLst>
            <c:ext xmlns:c16="http://schemas.microsoft.com/office/drawing/2014/chart" uri="{C3380CC4-5D6E-409C-BE32-E72D297353CC}">
              <c16:uniqueId val="{00000001-87B3-40B4-9CD9-512A65605352}"/>
            </c:ext>
          </c:extLst>
        </c:ser>
        <c:dLbls>
          <c:showLegendKey val="0"/>
          <c:showVal val="0"/>
          <c:showCatName val="0"/>
          <c:showSerName val="0"/>
          <c:showPercent val="0"/>
          <c:showBubbleSize val="0"/>
        </c:dLbls>
        <c:gapWidth val="219"/>
        <c:overlap val="-27"/>
        <c:axId val="805543008"/>
        <c:axId val="805551168"/>
      </c:barChart>
      <c:catAx>
        <c:axId val="80554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a)</a:t>
                </a:r>
              </a:p>
            </c:rich>
          </c:tx>
          <c:layout>
            <c:manualLayout>
              <c:xMode val="edge"/>
              <c:yMode val="edge"/>
              <c:x val="1.9789802553089934E-2"/>
              <c:y val="0.87578022473753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05551168"/>
        <c:crosses val="autoZero"/>
        <c:auto val="1"/>
        <c:lblAlgn val="ctr"/>
        <c:lblOffset val="100"/>
        <c:noMultiLvlLbl val="0"/>
      </c:catAx>
      <c:valAx>
        <c:axId val="80555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ppt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0554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98151318041772"/>
          <c:y val="7.1895424836601302E-2"/>
          <c:w val="0.73287839020122481"/>
          <c:h val="0.64010858936750559"/>
        </c:manualLayout>
      </c:layout>
      <c:barChart>
        <c:barDir val="col"/>
        <c:grouping val="clustered"/>
        <c:varyColors val="0"/>
        <c:ser>
          <c:idx val="0"/>
          <c:order val="0"/>
          <c:tx>
            <c:strRef>
              <c:f>CE!$B$1</c:f>
              <c:strCache>
                <c:ptCount val="1"/>
                <c:pt idx="0">
                  <c:v>Baixa-Mar</c:v>
                </c:pt>
              </c:strCache>
            </c:strRef>
          </c:tx>
          <c:spPr>
            <a:solidFill>
              <a:schemeClr val="accent1"/>
            </a:solidFill>
            <a:ln>
              <a:noFill/>
            </a:ln>
            <a:effectLst/>
          </c:spPr>
          <c:invertIfNegative val="0"/>
          <c:cat>
            <c:strRef>
              <c:f>CE!$A$2:$A$13</c:f>
              <c:strCache>
                <c:ptCount val="12"/>
                <c:pt idx="0">
                  <c:v>P1</c:v>
                </c:pt>
                <c:pt idx="1">
                  <c:v>P2</c:v>
                </c:pt>
                <c:pt idx="2">
                  <c:v>P3</c:v>
                </c:pt>
                <c:pt idx="3">
                  <c:v>P4</c:v>
                </c:pt>
                <c:pt idx="4">
                  <c:v>P5</c:v>
                </c:pt>
                <c:pt idx="5">
                  <c:v>P6</c:v>
                </c:pt>
                <c:pt idx="6">
                  <c:v>P7</c:v>
                </c:pt>
                <c:pt idx="7">
                  <c:v>P8</c:v>
                </c:pt>
                <c:pt idx="8">
                  <c:v>P9</c:v>
                </c:pt>
                <c:pt idx="9">
                  <c:v>P10</c:v>
                </c:pt>
                <c:pt idx="10">
                  <c:v>P11</c:v>
                </c:pt>
                <c:pt idx="11">
                  <c:v>P12</c:v>
                </c:pt>
              </c:strCache>
            </c:strRef>
          </c:cat>
          <c:val>
            <c:numRef>
              <c:f>CE!$B$2:$B$13</c:f>
              <c:numCache>
                <c:formatCode>General</c:formatCode>
                <c:ptCount val="12"/>
                <c:pt idx="0">
                  <c:v>365</c:v>
                </c:pt>
                <c:pt idx="1">
                  <c:v>301</c:v>
                </c:pt>
                <c:pt idx="2">
                  <c:v>299</c:v>
                </c:pt>
                <c:pt idx="3">
                  <c:v>307</c:v>
                </c:pt>
                <c:pt idx="4">
                  <c:v>315</c:v>
                </c:pt>
                <c:pt idx="5">
                  <c:v>317</c:v>
                </c:pt>
                <c:pt idx="6">
                  <c:v>361</c:v>
                </c:pt>
                <c:pt idx="7">
                  <c:v>468</c:v>
                </c:pt>
                <c:pt idx="8">
                  <c:v>478</c:v>
                </c:pt>
                <c:pt idx="9">
                  <c:v>450</c:v>
                </c:pt>
                <c:pt idx="10">
                  <c:v>588</c:v>
                </c:pt>
                <c:pt idx="11">
                  <c:v>637</c:v>
                </c:pt>
              </c:numCache>
            </c:numRef>
          </c:val>
          <c:extLst>
            <c:ext xmlns:c16="http://schemas.microsoft.com/office/drawing/2014/chart" uri="{C3380CC4-5D6E-409C-BE32-E72D297353CC}">
              <c16:uniqueId val="{00000000-FB29-4503-87E8-6C8050F5C76F}"/>
            </c:ext>
          </c:extLst>
        </c:ser>
        <c:ser>
          <c:idx val="1"/>
          <c:order val="1"/>
          <c:tx>
            <c:strRef>
              <c:f>CE!$D$1</c:f>
              <c:strCache>
                <c:ptCount val="1"/>
                <c:pt idx="0">
                  <c:v>Preamar</c:v>
                </c:pt>
              </c:strCache>
            </c:strRef>
          </c:tx>
          <c:spPr>
            <a:solidFill>
              <a:schemeClr val="accent2"/>
            </a:solidFill>
            <a:ln>
              <a:noFill/>
            </a:ln>
            <a:effectLst/>
          </c:spPr>
          <c:invertIfNegative val="0"/>
          <c:cat>
            <c:strRef>
              <c:f>CE!$A$2:$A$13</c:f>
              <c:strCache>
                <c:ptCount val="12"/>
                <c:pt idx="0">
                  <c:v>P1</c:v>
                </c:pt>
                <c:pt idx="1">
                  <c:v>P2</c:v>
                </c:pt>
                <c:pt idx="2">
                  <c:v>P3</c:v>
                </c:pt>
                <c:pt idx="3">
                  <c:v>P4</c:v>
                </c:pt>
                <c:pt idx="4">
                  <c:v>P5</c:v>
                </c:pt>
                <c:pt idx="5">
                  <c:v>P6</c:v>
                </c:pt>
                <c:pt idx="6">
                  <c:v>P7</c:v>
                </c:pt>
                <c:pt idx="7">
                  <c:v>P8</c:v>
                </c:pt>
                <c:pt idx="8">
                  <c:v>P9</c:v>
                </c:pt>
                <c:pt idx="9">
                  <c:v>P10</c:v>
                </c:pt>
                <c:pt idx="10">
                  <c:v>P11</c:v>
                </c:pt>
                <c:pt idx="11">
                  <c:v>P12</c:v>
                </c:pt>
              </c:strCache>
            </c:strRef>
          </c:cat>
          <c:val>
            <c:numRef>
              <c:f>CE!$D$2:$D$13</c:f>
              <c:numCache>
                <c:formatCode>General</c:formatCode>
                <c:ptCount val="12"/>
                <c:pt idx="0">
                  <c:v>279</c:v>
                </c:pt>
                <c:pt idx="1">
                  <c:v>313</c:v>
                </c:pt>
                <c:pt idx="2">
                  <c:v>331</c:v>
                </c:pt>
                <c:pt idx="3">
                  <c:v>347</c:v>
                </c:pt>
                <c:pt idx="4">
                  <c:v>349</c:v>
                </c:pt>
                <c:pt idx="5">
                  <c:v>369</c:v>
                </c:pt>
                <c:pt idx="6">
                  <c:v>494</c:v>
                </c:pt>
                <c:pt idx="7">
                  <c:v>550</c:v>
                </c:pt>
                <c:pt idx="8">
                  <c:v>568</c:v>
                </c:pt>
                <c:pt idx="9">
                  <c:v>783</c:v>
                </c:pt>
                <c:pt idx="10">
                  <c:v>1075</c:v>
                </c:pt>
                <c:pt idx="11">
                  <c:v>737</c:v>
                </c:pt>
              </c:numCache>
            </c:numRef>
          </c:val>
          <c:extLst>
            <c:ext xmlns:c16="http://schemas.microsoft.com/office/drawing/2014/chart" uri="{C3380CC4-5D6E-409C-BE32-E72D297353CC}">
              <c16:uniqueId val="{00000001-FB29-4503-87E8-6C8050F5C76F}"/>
            </c:ext>
          </c:extLst>
        </c:ser>
        <c:dLbls>
          <c:showLegendKey val="0"/>
          <c:showVal val="0"/>
          <c:showCatName val="0"/>
          <c:showSerName val="0"/>
          <c:showPercent val="0"/>
          <c:showBubbleSize val="0"/>
        </c:dLbls>
        <c:gapWidth val="219"/>
        <c:overlap val="-27"/>
        <c:axId val="362565904"/>
        <c:axId val="362566384"/>
      </c:barChart>
      <c:catAx>
        <c:axId val="362565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d)</a:t>
                </a:r>
              </a:p>
            </c:rich>
          </c:tx>
          <c:layout>
            <c:manualLayout>
              <c:xMode val="edge"/>
              <c:yMode val="edge"/>
              <c:x val="3.3816425120772944E-2"/>
              <c:y val="0.875293088363954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2566384"/>
        <c:crosses val="autoZero"/>
        <c:auto val="1"/>
        <c:lblAlgn val="ctr"/>
        <c:lblOffset val="100"/>
        <c:noMultiLvlLbl val="0"/>
      </c:catAx>
      <c:valAx>
        <c:axId val="36256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b="0" i="0" u="none" strike="noStrike" baseline="0">
                    <a:effectLst/>
                  </a:rPr>
                  <a:t>µS/cm</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256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21078830663412"/>
          <c:y val="7.4829931972789115E-2"/>
          <c:w val="0.76810721935620108"/>
          <c:h val="0.65402485403610267"/>
        </c:manualLayout>
      </c:layout>
      <c:barChart>
        <c:barDir val="col"/>
        <c:grouping val="clustered"/>
        <c:varyColors val="0"/>
        <c:ser>
          <c:idx val="0"/>
          <c:order val="0"/>
          <c:tx>
            <c:strRef>
              <c:f>pH!$B$1</c:f>
              <c:strCache>
                <c:ptCount val="1"/>
                <c:pt idx="0">
                  <c:v>Baixa-Mar</c:v>
                </c:pt>
              </c:strCache>
            </c:strRef>
          </c:tx>
          <c:spPr>
            <a:solidFill>
              <a:schemeClr val="accent1"/>
            </a:solidFill>
            <a:ln>
              <a:noFill/>
            </a:ln>
            <a:effectLst/>
          </c:spPr>
          <c:invertIfNegative val="0"/>
          <c:cat>
            <c:strRef>
              <c:f>pH!$A$2:$A$13</c:f>
              <c:strCache>
                <c:ptCount val="12"/>
                <c:pt idx="0">
                  <c:v>P1</c:v>
                </c:pt>
                <c:pt idx="1">
                  <c:v>P2</c:v>
                </c:pt>
                <c:pt idx="2">
                  <c:v>P3</c:v>
                </c:pt>
                <c:pt idx="3">
                  <c:v>P4</c:v>
                </c:pt>
                <c:pt idx="4">
                  <c:v>P5</c:v>
                </c:pt>
                <c:pt idx="5">
                  <c:v>P6</c:v>
                </c:pt>
                <c:pt idx="6">
                  <c:v>P7</c:v>
                </c:pt>
                <c:pt idx="7">
                  <c:v>P8</c:v>
                </c:pt>
                <c:pt idx="8">
                  <c:v>P9</c:v>
                </c:pt>
                <c:pt idx="9">
                  <c:v>P10</c:v>
                </c:pt>
                <c:pt idx="10">
                  <c:v>P11</c:v>
                </c:pt>
                <c:pt idx="11">
                  <c:v>P12</c:v>
                </c:pt>
              </c:strCache>
            </c:strRef>
          </c:cat>
          <c:val>
            <c:numRef>
              <c:f>pH!$B$2:$B$13</c:f>
              <c:numCache>
                <c:formatCode>General</c:formatCode>
                <c:ptCount val="12"/>
                <c:pt idx="0">
                  <c:v>6.24</c:v>
                </c:pt>
                <c:pt idx="1">
                  <c:v>6.27</c:v>
                </c:pt>
                <c:pt idx="2">
                  <c:v>6.28</c:v>
                </c:pt>
                <c:pt idx="3">
                  <c:v>6.28</c:v>
                </c:pt>
                <c:pt idx="4">
                  <c:v>6.32</c:v>
                </c:pt>
                <c:pt idx="5">
                  <c:v>6.37</c:v>
                </c:pt>
                <c:pt idx="6">
                  <c:v>6.41</c:v>
                </c:pt>
                <c:pt idx="7">
                  <c:v>6.36</c:v>
                </c:pt>
                <c:pt idx="8">
                  <c:v>6</c:v>
                </c:pt>
                <c:pt idx="9">
                  <c:v>6.42</c:v>
                </c:pt>
                <c:pt idx="10">
                  <c:v>6.43</c:v>
                </c:pt>
                <c:pt idx="11">
                  <c:v>6.48</c:v>
                </c:pt>
              </c:numCache>
            </c:numRef>
          </c:val>
          <c:extLst>
            <c:ext xmlns:c16="http://schemas.microsoft.com/office/drawing/2014/chart" uri="{C3380CC4-5D6E-409C-BE32-E72D297353CC}">
              <c16:uniqueId val="{00000000-53EA-40E7-8E25-17D02FCA25D0}"/>
            </c:ext>
          </c:extLst>
        </c:ser>
        <c:ser>
          <c:idx val="1"/>
          <c:order val="1"/>
          <c:tx>
            <c:strRef>
              <c:f>pH!$D$1</c:f>
              <c:strCache>
                <c:ptCount val="1"/>
                <c:pt idx="0">
                  <c:v>Preamar</c:v>
                </c:pt>
              </c:strCache>
            </c:strRef>
          </c:tx>
          <c:spPr>
            <a:solidFill>
              <a:schemeClr val="accent2"/>
            </a:solidFill>
            <a:ln>
              <a:noFill/>
            </a:ln>
            <a:effectLst/>
          </c:spPr>
          <c:invertIfNegative val="0"/>
          <c:cat>
            <c:strRef>
              <c:f>pH!$A$2:$A$13</c:f>
              <c:strCache>
                <c:ptCount val="12"/>
                <c:pt idx="0">
                  <c:v>P1</c:v>
                </c:pt>
                <c:pt idx="1">
                  <c:v>P2</c:v>
                </c:pt>
                <c:pt idx="2">
                  <c:v>P3</c:v>
                </c:pt>
                <c:pt idx="3">
                  <c:v>P4</c:v>
                </c:pt>
                <c:pt idx="4">
                  <c:v>P5</c:v>
                </c:pt>
                <c:pt idx="5">
                  <c:v>P6</c:v>
                </c:pt>
                <c:pt idx="6">
                  <c:v>P7</c:v>
                </c:pt>
                <c:pt idx="7">
                  <c:v>P8</c:v>
                </c:pt>
                <c:pt idx="8">
                  <c:v>P9</c:v>
                </c:pt>
                <c:pt idx="9">
                  <c:v>P10</c:v>
                </c:pt>
                <c:pt idx="10">
                  <c:v>P11</c:v>
                </c:pt>
                <c:pt idx="11">
                  <c:v>P12</c:v>
                </c:pt>
              </c:strCache>
            </c:strRef>
          </c:cat>
          <c:val>
            <c:numRef>
              <c:f>pH!$D$2:$D$13</c:f>
              <c:numCache>
                <c:formatCode>General</c:formatCode>
                <c:ptCount val="12"/>
                <c:pt idx="0">
                  <c:v>6.33</c:v>
                </c:pt>
                <c:pt idx="1">
                  <c:v>6.29</c:v>
                </c:pt>
                <c:pt idx="2">
                  <c:v>6.32</c:v>
                </c:pt>
                <c:pt idx="3">
                  <c:v>6.35</c:v>
                </c:pt>
                <c:pt idx="4">
                  <c:v>6.38</c:v>
                </c:pt>
                <c:pt idx="5">
                  <c:v>6.36</c:v>
                </c:pt>
                <c:pt idx="6">
                  <c:v>6.36</c:v>
                </c:pt>
                <c:pt idx="7">
                  <c:v>6.34</c:v>
                </c:pt>
                <c:pt idx="8">
                  <c:v>6.33</c:v>
                </c:pt>
                <c:pt idx="9">
                  <c:v>6.26</c:v>
                </c:pt>
                <c:pt idx="10">
                  <c:v>6.32</c:v>
                </c:pt>
                <c:pt idx="11">
                  <c:v>6.28</c:v>
                </c:pt>
              </c:numCache>
            </c:numRef>
          </c:val>
          <c:extLst>
            <c:ext xmlns:c16="http://schemas.microsoft.com/office/drawing/2014/chart" uri="{C3380CC4-5D6E-409C-BE32-E72D297353CC}">
              <c16:uniqueId val="{00000001-53EA-40E7-8E25-17D02FCA25D0}"/>
            </c:ext>
          </c:extLst>
        </c:ser>
        <c:dLbls>
          <c:showLegendKey val="0"/>
          <c:showVal val="0"/>
          <c:showCatName val="0"/>
          <c:showSerName val="0"/>
          <c:showPercent val="0"/>
          <c:showBubbleSize val="0"/>
        </c:dLbls>
        <c:gapWidth val="219"/>
        <c:overlap val="-27"/>
        <c:axId val="391690880"/>
        <c:axId val="391686560"/>
      </c:barChart>
      <c:catAx>
        <c:axId val="391690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a:t>
                </a:r>
              </a:p>
            </c:rich>
          </c:tx>
          <c:layout>
            <c:manualLayout>
              <c:xMode val="edge"/>
              <c:yMode val="edge"/>
              <c:x val="1.9157088122605363E-2"/>
              <c:y val="0.885203278161658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91686560"/>
        <c:crosses val="autoZero"/>
        <c:auto val="1"/>
        <c:lblAlgn val="ctr"/>
        <c:lblOffset val="100"/>
        <c:noMultiLvlLbl val="0"/>
      </c:catAx>
      <c:valAx>
        <c:axId val="39168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9169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01643873463186"/>
          <c:y val="7.3627844712182061E-2"/>
          <c:w val="0.76737732344860399"/>
          <c:h val="0.66490370932549081"/>
        </c:manualLayout>
      </c:layout>
      <c:barChart>
        <c:barDir val="col"/>
        <c:grouping val="clustered"/>
        <c:varyColors val="0"/>
        <c:ser>
          <c:idx val="0"/>
          <c:order val="0"/>
          <c:tx>
            <c:strRef>
              <c:f>STD!$B$1</c:f>
              <c:strCache>
                <c:ptCount val="1"/>
                <c:pt idx="0">
                  <c:v>Baixa-Mar</c:v>
                </c:pt>
              </c:strCache>
            </c:strRef>
          </c:tx>
          <c:spPr>
            <a:solidFill>
              <a:schemeClr val="accent1"/>
            </a:solidFill>
            <a:ln>
              <a:noFill/>
            </a:ln>
            <a:effectLst/>
          </c:spPr>
          <c:invertIfNegative val="0"/>
          <c:cat>
            <c:strRef>
              <c:f>STD!$A$2:$A$13</c:f>
              <c:strCache>
                <c:ptCount val="12"/>
                <c:pt idx="0">
                  <c:v>P1</c:v>
                </c:pt>
                <c:pt idx="1">
                  <c:v>P2</c:v>
                </c:pt>
                <c:pt idx="2">
                  <c:v>P3</c:v>
                </c:pt>
                <c:pt idx="3">
                  <c:v>P4</c:v>
                </c:pt>
                <c:pt idx="4">
                  <c:v>P5</c:v>
                </c:pt>
                <c:pt idx="5">
                  <c:v>P6</c:v>
                </c:pt>
                <c:pt idx="6">
                  <c:v>P7</c:v>
                </c:pt>
                <c:pt idx="7">
                  <c:v>P8</c:v>
                </c:pt>
                <c:pt idx="8">
                  <c:v>P9</c:v>
                </c:pt>
                <c:pt idx="9">
                  <c:v>P10</c:v>
                </c:pt>
                <c:pt idx="10">
                  <c:v>P11</c:v>
                </c:pt>
                <c:pt idx="11">
                  <c:v>P12</c:v>
                </c:pt>
              </c:strCache>
            </c:strRef>
          </c:cat>
          <c:val>
            <c:numRef>
              <c:f>STD!$B$2:$B$13</c:f>
              <c:numCache>
                <c:formatCode>General</c:formatCode>
                <c:ptCount val="12"/>
                <c:pt idx="0">
                  <c:v>174</c:v>
                </c:pt>
                <c:pt idx="1">
                  <c:v>151</c:v>
                </c:pt>
                <c:pt idx="2">
                  <c:v>154</c:v>
                </c:pt>
                <c:pt idx="3">
                  <c:v>155</c:v>
                </c:pt>
                <c:pt idx="4">
                  <c:v>155</c:v>
                </c:pt>
                <c:pt idx="5">
                  <c:v>157</c:v>
                </c:pt>
                <c:pt idx="6">
                  <c:v>181</c:v>
                </c:pt>
                <c:pt idx="7">
                  <c:v>235</c:v>
                </c:pt>
                <c:pt idx="8">
                  <c:v>243</c:v>
                </c:pt>
                <c:pt idx="9">
                  <c:v>224</c:v>
                </c:pt>
                <c:pt idx="10">
                  <c:v>274</c:v>
                </c:pt>
                <c:pt idx="11">
                  <c:v>318</c:v>
                </c:pt>
              </c:numCache>
            </c:numRef>
          </c:val>
          <c:extLst>
            <c:ext xmlns:c16="http://schemas.microsoft.com/office/drawing/2014/chart" uri="{C3380CC4-5D6E-409C-BE32-E72D297353CC}">
              <c16:uniqueId val="{00000000-2976-478F-848B-CAC66E67F5BD}"/>
            </c:ext>
          </c:extLst>
        </c:ser>
        <c:ser>
          <c:idx val="1"/>
          <c:order val="1"/>
          <c:tx>
            <c:strRef>
              <c:f>STD!$D$1</c:f>
              <c:strCache>
                <c:ptCount val="1"/>
                <c:pt idx="0">
                  <c:v>Preamar</c:v>
                </c:pt>
              </c:strCache>
            </c:strRef>
          </c:tx>
          <c:spPr>
            <a:solidFill>
              <a:schemeClr val="accent2"/>
            </a:solidFill>
            <a:ln>
              <a:noFill/>
            </a:ln>
            <a:effectLst/>
          </c:spPr>
          <c:invertIfNegative val="0"/>
          <c:cat>
            <c:strRef>
              <c:f>STD!$A$2:$A$13</c:f>
              <c:strCache>
                <c:ptCount val="12"/>
                <c:pt idx="0">
                  <c:v>P1</c:v>
                </c:pt>
                <c:pt idx="1">
                  <c:v>P2</c:v>
                </c:pt>
                <c:pt idx="2">
                  <c:v>P3</c:v>
                </c:pt>
                <c:pt idx="3">
                  <c:v>P4</c:v>
                </c:pt>
                <c:pt idx="4">
                  <c:v>P5</c:v>
                </c:pt>
                <c:pt idx="5">
                  <c:v>P6</c:v>
                </c:pt>
                <c:pt idx="6">
                  <c:v>P7</c:v>
                </c:pt>
                <c:pt idx="7">
                  <c:v>P8</c:v>
                </c:pt>
                <c:pt idx="8">
                  <c:v>P9</c:v>
                </c:pt>
                <c:pt idx="9">
                  <c:v>P10</c:v>
                </c:pt>
                <c:pt idx="10">
                  <c:v>P11</c:v>
                </c:pt>
                <c:pt idx="11">
                  <c:v>P12</c:v>
                </c:pt>
              </c:strCache>
            </c:strRef>
          </c:cat>
          <c:val>
            <c:numRef>
              <c:f>STD!$D$2:$D$13</c:f>
              <c:numCache>
                <c:formatCode>General</c:formatCode>
                <c:ptCount val="12"/>
                <c:pt idx="0">
                  <c:v>139</c:v>
                </c:pt>
                <c:pt idx="1">
                  <c:v>156</c:v>
                </c:pt>
                <c:pt idx="2">
                  <c:v>167</c:v>
                </c:pt>
                <c:pt idx="3">
                  <c:v>174</c:v>
                </c:pt>
                <c:pt idx="4">
                  <c:v>175</c:v>
                </c:pt>
                <c:pt idx="5">
                  <c:v>187</c:v>
                </c:pt>
                <c:pt idx="6">
                  <c:v>247</c:v>
                </c:pt>
                <c:pt idx="7">
                  <c:v>274</c:v>
                </c:pt>
                <c:pt idx="8">
                  <c:v>285</c:v>
                </c:pt>
                <c:pt idx="9">
                  <c:v>392</c:v>
                </c:pt>
                <c:pt idx="10">
                  <c:v>538</c:v>
                </c:pt>
                <c:pt idx="11">
                  <c:v>371</c:v>
                </c:pt>
              </c:numCache>
            </c:numRef>
          </c:val>
          <c:extLst>
            <c:ext xmlns:c16="http://schemas.microsoft.com/office/drawing/2014/chart" uri="{C3380CC4-5D6E-409C-BE32-E72D297353CC}">
              <c16:uniqueId val="{00000001-2976-478F-848B-CAC66E67F5BD}"/>
            </c:ext>
          </c:extLst>
        </c:ser>
        <c:dLbls>
          <c:showLegendKey val="0"/>
          <c:showVal val="0"/>
          <c:showCatName val="0"/>
          <c:showSerName val="0"/>
          <c:showPercent val="0"/>
          <c:showBubbleSize val="0"/>
        </c:dLbls>
        <c:gapWidth val="219"/>
        <c:overlap val="-27"/>
        <c:axId val="366177744"/>
        <c:axId val="366175344"/>
      </c:barChart>
      <c:catAx>
        <c:axId val="36617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e)</a:t>
                </a:r>
              </a:p>
            </c:rich>
          </c:tx>
          <c:layout>
            <c:manualLayout>
              <c:xMode val="edge"/>
              <c:yMode val="edge"/>
              <c:x val="2.9239766081871343E-2"/>
              <c:y val="0.885674983398159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6175344"/>
        <c:crosses val="autoZero"/>
        <c:auto val="1"/>
        <c:lblAlgn val="ctr"/>
        <c:lblOffset val="100"/>
        <c:noMultiLvlLbl val="0"/>
      </c:catAx>
      <c:valAx>
        <c:axId val="36617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617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4076176524447"/>
          <c:y val="6.9708491761723695E-2"/>
          <c:w val="0.78326466459134469"/>
          <c:h val="0.67006726345518597"/>
        </c:manualLayout>
      </c:layout>
      <c:barChart>
        <c:barDir val="col"/>
        <c:grouping val="clustered"/>
        <c:varyColors val="0"/>
        <c:ser>
          <c:idx val="0"/>
          <c:order val="0"/>
          <c:tx>
            <c:strRef>
              <c:f>Turbidez!$B$1</c:f>
              <c:strCache>
                <c:ptCount val="1"/>
                <c:pt idx="0">
                  <c:v>Baixa-Mar</c:v>
                </c:pt>
              </c:strCache>
            </c:strRef>
          </c:tx>
          <c:spPr>
            <a:solidFill>
              <a:schemeClr val="accent1"/>
            </a:solidFill>
            <a:ln>
              <a:noFill/>
            </a:ln>
            <a:effectLst/>
          </c:spPr>
          <c:invertIfNegative val="0"/>
          <c:cat>
            <c:strRef>
              <c:f>Turbidez!$A$2:$A$13</c:f>
              <c:strCache>
                <c:ptCount val="12"/>
                <c:pt idx="0">
                  <c:v>P1</c:v>
                </c:pt>
                <c:pt idx="1">
                  <c:v>P2</c:v>
                </c:pt>
                <c:pt idx="2">
                  <c:v>P3</c:v>
                </c:pt>
                <c:pt idx="3">
                  <c:v>P4</c:v>
                </c:pt>
                <c:pt idx="4">
                  <c:v>P5</c:v>
                </c:pt>
                <c:pt idx="5">
                  <c:v>P6</c:v>
                </c:pt>
                <c:pt idx="6">
                  <c:v>P7</c:v>
                </c:pt>
                <c:pt idx="7">
                  <c:v>P8</c:v>
                </c:pt>
                <c:pt idx="8">
                  <c:v>P9</c:v>
                </c:pt>
                <c:pt idx="9">
                  <c:v>P10</c:v>
                </c:pt>
                <c:pt idx="10">
                  <c:v>P11</c:v>
                </c:pt>
                <c:pt idx="11">
                  <c:v>P12</c:v>
                </c:pt>
              </c:strCache>
            </c:strRef>
          </c:cat>
          <c:val>
            <c:numRef>
              <c:f>Turbidez!$B$2:$B$13</c:f>
              <c:numCache>
                <c:formatCode>General</c:formatCode>
                <c:ptCount val="12"/>
                <c:pt idx="0">
                  <c:v>80</c:v>
                </c:pt>
                <c:pt idx="1">
                  <c:v>10</c:v>
                </c:pt>
                <c:pt idx="2">
                  <c:v>13</c:v>
                </c:pt>
                <c:pt idx="3">
                  <c:v>11</c:v>
                </c:pt>
                <c:pt idx="4">
                  <c:v>18</c:v>
                </c:pt>
                <c:pt idx="5">
                  <c:v>47</c:v>
                </c:pt>
                <c:pt idx="6">
                  <c:v>13</c:v>
                </c:pt>
                <c:pt idx="7">
                  <c:v>27</c:v>
                </c:pt>
                <c:pt idx="8">
                  <c:v>102</c:v>
                </c:pt>
                <c:pt idx="9">
                  <c:v>22</c:v>
                </c:pt>
                <c:pt idx="10">
                  <c:v>39</c:v>
                </c:pt>
                <c:pt idx="11">
                  <c:v>112</c:v>
                </c:pt>
              </c:numCache>
            </c:numRef>
          </c:val>
          <c:extLst>
            <c:ext xmlns:c16="http://schemas.microsoft.com/office/drawing/2014/chart" uri="{C3380CC4-5D6E-409C-BE32-E72D297353CC}">
              <c16:uniqueId val="{00000000-7928-4994-B24F-B61B7B238BC0}"/>
            </c:ext>
          </c:extLst>
        </c:ser>
        <c:ser>
          <c:idx val="1"/>
          <c:order val="1"/>
          <c:tx>
            <c:strRef>
              <c:f>Turbidez!$D$1</c:f>
              <c:strCache>
                <c:ptCount val="1"/>
                <c:pt idx="0">
                  <c:v>Preamar</c:v>
                </c:pt>
              </c:strCache>
            </c:strRef>
          </c:tx>
          <c:spPr>
            <a:solidFill>
              <a:schemeClr val="accent2"/>
            </a:solidFill>
            <a:ln>
              <a:noFill/>
            </a:ln>
            <a:effectLst/>
          </c:spPr>
          <c:invertIfNegative val="0"/>
          <c:cat>
            <c:strRef>
              <c:f>Turbidez!$A$2:$A$13</c:f>
              <c:strCache>
                <c:ptCount val="12"/>
                <c:pt idx="0">
                  <c:v>P1</c:v>
                </c:pt>
                <c:pt idx="1">
                  <c:v>P2</c:v>
                </c:pt>
                <c:pt idx="2">
                  <c:v>P3</c:v>
                </c:pt>
                <c:pt idx="3">
                  <c:v>P4</c:v>
                </c:pt>
                <c:pt idx="4">
                  <c:v>P5</c:v>
                </c:pt>
                <c:pt idx="5">
                  <c:v>P6</c:v>
                </c:pt>
                <c:pt idx="6">
                  <c:v>P7</c:v>
                </c:pt>
                <c:pt idx="7">
                  <c:v>P8</c:v>
                </c:pt>
                <c:pt idx="8">
                  <c:v>P9</c:v>
                </c:pt>
                <c:pt idx="9">
                  <c:v>P10</c:v>
                </c:pt>
                <c:pt idx="10">
                  <c:v>P11</c:v>
                </c:pt>
                <c:pt idx="11">
                  <c:v>P12</c:v>
                </c:pt>
              </c:strCache>
            </c:strRef>
          </c:cat>
          <c:val>
            <c:numRef>
              <c:f>Turbidez!$D$2:$D$13</c:f>
              <c:numCache>
                <c:formatCode>General</c:formatCode>
                <c:ptCount val="12"/>
                <c:pt idx="0">
                  <c:v>17</c:v>
                </c:pt>
                <c:pt idx="1">
                  <c:v>20</c:v>
                </c:pt>
                <c:pt idx="2">
                  <c:v>22</c:v>
                </c:pt>
                <c:pt idx="3">
                  <c:v>16</c:v>
                </c:pt>
                <c:pt idx="4">
                  <c:v>21</c:v>
                </c:pt>
                <c:pt idx="5">
                  <c:v>25</c:v>
                </c:pt>
                <c:pt idx="6">
                  <c:v>18</c:v>
                </c:pt>
                <c:pt idx="7">
                  <c:v>30</c:v>
                </c:pt>
                <c:pt idx="8">
                  <c:v>30</c:v>
                </c:pt>
                <c:pt idx="9">
                  <c:v>20</c:v>
                </c:pt>
                <c:pt idx="10">
                  <c:v>24</c:v>
                </c:pt>
                <c:pt idx="11">
                  <c:v>61</c:v>
                </c:pt>
              </c:numCache>
            </c:numRef>
          </c:val>
          <c:extLst>
            <c:ext xmlns:c16="http://schemas.microsoft.com/office/drawing/2014/chart" uri="{C3380CC4-5D6E-409C-BE32-E72D297353CC}">
              <c16:uniqueId val="{00000001-7928-4994-B24F-B61B7B238BC0}"/>
            </c:ext>
          </c:extLst>
        </c:ser>
        <c:dLbls>
          <c:showLegendKey val="0"/>
          <c:showVal val="0"/>
          <c:showCatName val="0"/>
          <c:showSerName val="0"/>
          <c:showPercent val="0"/>
          <c:showBubbleSize val="0"/>
        </c:dLbls>
        <c:gapWidth val="219"/>
        <c:overlap val="-27"/>
        <c:axId val="362622624"/>
        <c:axId val="362621664"/>
      </c:barChart>
      <c:catAx>
        <c:axId val="362622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f)</a:t>
                </a:r>
              </a:p>
            </c:rich>
          </c:tx>
          <c:layout>
            <c:manualLayout>
              <c:xMode val="edge"/>
              <c:yMode val="edge"/>
              <c:x val="2.677852041750595E-2"/>
              <c:y val="0.891760725726774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2621664"/>
        <c:crosses val="autoZero"/>
        <c:auto val="1"/>
        <c:lblAlgn val="ctr"/>
        <c:lblOffset val="100"/>
        <c:noMultiLvlLbl val="0"/>
      </c:catAx>
      <c:valAx>
        <c:axId val="36262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262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F09F1-2413-4564-9D3F-2264D188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2814</Words>
  <Characters>15740</Characters>
  <Application>Microsoft Office Word</Application>
  <DocSecurity>0</DocSecurity>
  <Lines>131</Lines>
  <Paragraphs>37</Paragraphs>
  <ScaleCrop>false</ScaleCrop>
  <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Estefany Santos</cp:lastModifiedBy>
  <cp:revision>29</cp:revision>
  <dcterms:created xsi:type="dcterms:W3CDTF">2025-12-03T15:28:00Z</dcterms:created>
  <dcterms:modified xsi:type="dcterms:W3CDTF">2025-12-03T16:23:00Z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8a2eb070-d417-43e3-9a2f-e38571b7ccbf</vt:lpwstr>
  </property>
</Properties>
</file>