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831" w:rsidRPr="00B94831" w:rsidRDefault="00B94831" w:rsidP="002F555B">
      <w:pPr>
        <w:pBdr>
          <w:bottom w:val="none" w:sz="0" w:space="8" w:color="000000"/>
        </w:pBdr>
        <w:shd w:val="clear" w:color="auto" w:fill="FFFFFF"/>
        <w:tabs>
          <w:tab w:val="left" w:pos="2500"/>
        </w:tabs>
        <w:autoSpaceDE w:val="0"/>
        <w:autoSpaceDN w:val="0"/>
        <w:jc w:val="center"/>
        <w:rPr>
          <w:b/>
          <w:sz w:val="24"/>
          <w:szCs w:val="24"/>
          <w:lang w:val="pt-PT" w:eastAsia="en-US"/>
        </w:rPr>
      </w:pPr>
      <w:r w:rsidRPr="00B94831">
        <w:rPr>
          <w:b/>
          <w:bCs/>
          <w:sz w:val="24"/>
          <w:szCs w:val="24"/>
          <w:lang w:val="pt-PT" w:eastAsia="en-US"/>
        </w:rPr>
        <w:t>ASSISTÊNCIA TÉCNICA E EXTENSÃO RURAL</w:t>
      </w:r>
      <w:r w:rsidRPr="00B94831">
        <w:rPr>
          <w:b/>
          <w:sz w:val="24"/>
          <w:szCs w:val="24"/>
          <w:lang w:val="pt-PT" w:eastAsia="en-US"/>
        </w:rPr>
        <w:t xml:space="preserve"> EM ITUPIRANGA/PA: RELATO DE EXPERIÊNCIA DO ESTÁGIO SUPERVISIONADO NA AGROVIDA</w:t>
      </w:r>
    </w:p>
    <w:p w:rsidR="00B94831" w:rsidRPr="00B94831" w:rsidRDefault="00B94831" w:rsidP="00B94831">
      <w:pPr>
        <w:pBdr>
          <w:bottom w:val="none" w:sz="0" w:space="8" w:color="000000"/>
        </w:pBdr>
        <w:shd w:val="clear" w:color="auto" w:fill="FFFFFF"/>
        <w:tabs>
          <w:tab w:val="left" w:pos="2500"/>
        </w:tabs>
        <w:autoSpaceDE w:val="0"/>
        <w:autoSpaceDN w:val="0"/>
        <w:jc w:val="center"/>
        <w:rPr>
          <w:b/>
          <w:sz w:val="24"/>
          <w:szCs w:val="24"/>
          <w:lang w:val="pt-PT" w:eastAsia="en-US"/>
        </w:rPr>
      </w:pPr>
    </w:p>
    <w:p w:rsidR="00B94831" w:rsidRPr="00B94831" w:rsidRDefault="00B94831" w:rsidP="00B94831">
      <w:pPr>
        <w:autoSpaceDE w:val="0"/>
        <w:autoSpaceDN w:val="0"/>
        <w:jc w:val="center"/>
        <w:rPr>
          <w:lang w:eastAsia="en-US"/>
        </w:rPr>
      </w:pPr>
      <w:r w:rsidRPr="00B94831">
        <w:rPr>
          <w:lang w:val="pt-PT" w:eastAsia="en-US"/>
        </w:rPr>
        <w:t>Macnadblay Silva Oliveira</w:t>
      </w:r>
      <w:r w:rsidRPr="00B94831">
        <w:rPr>
          <w:sz w:val="24"/>
          <w:szCs w:val="24"/>
          <w:vertAlign w:val="superscript"/>
          <w:lang w:val="pt-PT" w:eastAsia="en-US"/>
        </w:rPr>
        <w:t>1</w:t>
      </w:r>
      <w:r w:rsidRPr="00B94831">
        <w:rPr>
          <w:sz w:val="24"/>
          <w:szCs w:val="24"/>
          <w:lang w:val="pt-PT" w:eastAsia="en-US"/>
        </w:rPr>
        <w:t>; Amanda Karollyne Moraes da Silva</w:t>
      </w:r>
      <w:r w:rsidRPr="00B94831">
        <w:rPr>
          <w:sz w:val="24"/>
          <w:szCs w:val="24"/>
          <w:vertAlign w:val="superscript"/>
          <w:lang w:val="pt-PT" w:eastAsia="en-US"/>
        </w:rPr>
        <w:t>2</w:t>
      </w:r>
      <w:r w:rsidRPr="00B94831">
        <w:rPr>
          <w:sz w:val="24"/>
          <w:szCs w:val="24"/>
          <w:lang w:val="pt-PT" w:eastAsia="en-US"/>
        </w:rPr>
        <w:t>; Maria Isabele Tavares da Silva Araujo</w:t>
      </w:r>
      <w:r w:rsidRPr="00B94831">
        <w:rPr>
          <w:sz w:val="24"/>
          <w:szCs w:val="24"/>
          <w:vertAlign w:val="superscript"/>
          <w:lang w:val="pt-PT" w:eastAsia="en-US"/>
        </w:rPr>
        <w:t>3</w:t>
      </w:r>
      <w:r w:rsidRPr="00B94831">
        <w:rPr>
          <w:sz w:val="24"/>
          <w:szCs w:val="24"/>
          <w:lang w:val="pt-PT" w:eastAsia="en-US"/>
        </w:rPr>
        <w:t>; Iêdo Souza Santos</w:t>
      </w:r>
      <w:r w:rsidRPr="00B94831">
        <w:rPr>
          <w:sz w:val="24"/>
          <w:szCs w:val="24"/>
          <w:vertAlign w:val="superscript"/>
          <w:lang w:val="pt-PT" w:eastAsia="en-US"/>
        </w:rPr>
        <w:t>4</w:t>
      </w:r>
    </w:p>
    <w:p w:rsidR="00B94831" w:rsidRPr="00B94831" w:rsidRDefault="00B94831" w:rsidP="00B94831">
      <w:pPr>
        <w:shd w:val="clear" w:color="auto" w:fill="FFFFFF"/>
        <w:tabs>
          <w:tab w:val="left" w:pos="2500"/>
        </w:tabs>
        <w:autoSpaceDE w:val="0"/>
        <w:autoSpaceDN w:val="0"/>
        <w:jc w:val="center"/>
        <w:rPr>
          <w:b/>
          <w:color w:val="FF0000"/>
          <w:sz w:val="24"/>
          <w:szCs w:val="24"/>
          <w:lang w:val="pt-PT" w:eastAsia="en-US"/>
        </w:rPr>
      </w:pPr>
    </w:p>
    <w:p w:rsidR="00B94831" w:rsidRPr="00B94831" w:rsidRDefault="00B94831" w:rsidP="00B94831">
      <w:pPr>
        <w:autoSpaceDE w:val="0"/>
        <w:autoSpaceDN w:val="0"/>
        <w:jc w:val="center"/>
        <w:rPr>
          <w:lang w:eastAsia="en-US"/>
        </w:rPr>
      </w:pPr>
      <w:r w:rsidRPr="00B94831">
        <w:rPr>
          <w:vertAlign w:val="superscript"/>
          <w:lang w:val="pt-PT" w:eastAsia="en-US"/>
        </w:rPr>
        <w:t>1</w:t>
      </w:r>
      <w:r w:rsidRPr="00B94831">
        <w:rPr>
          <w:lang w:val="pt-PT" w:eastAsia="en-US"/>
        </w:rPr>
        <w:t>Engenheiro Florestal, Agência Zetta/UFLA, dblay98@gmail.com</w:t>
      </w:r>
    </w:p>
    <w:p w:rsidR="00B94831" w:rsidRPr="00B94831" w:rsidRDefault="00B94831" w:rsidP="00B94831">
      <w:pPr>
        <w:keepLines/>
        <w:shd w:val="clear" w:color="auto" w:fill="FFFFFF"/>
        <w:tabs>
          <w:tab w:val="left" w:pos="2500"/>
        </w:tabs>
        <w:autoSpaceDE w:val="0"/>
        <w:autoSpaceDN w:val="0"/>
        <w:jc w:val="center"/>
        <w:rPr>
          <w:sz w:val="24"/>
          <w:szCs w:val="24"/>
          <w:lang w:val="pt-PT" w:eastAsia="en-US"/>
        </w:rPr>
      </w:pPr>
      <w:r w:rsidRPr="00B94831">
        <w:rPr>
          <w:sz w:val="24"/>
          <w:szCs w:val="24"/>
          <w:vertAlign w:val="superscript"/>
          <w:lang w:val="pt-PT" w:eastAsia="en-US"/>
        </w:rPr>
        <w:t>2</w:t>
      </w:r>
      <w:r w:rsidRPr="00B94831">
        <w:rPr>
          <w:lang w:val="pt-PT" w:eastAsia="en-US"/>
        </w:rPr>
        <w:t>Mestranda do Programa de Pós-Graduação em Tecnologia, Recursos Naturais e Sustentabilidade na Amazônia. Universidade do Estado do Pará</w:t>
      </w:r>
      <w:r w:rsidRPr="00B94831">
        <w:rPr>
          <w:sz w:val="24"/>
          <w:szCs w:val="24"/>
          <w:lang w:val="pt-PT" w:eastAsia="en-US"/>
        </w:rPr>
        <w:t>, amanda1516moraes@gmail.com</w:t>
      </w:r>
    </w:p>
    <w:p w:rsidR="00B94831" w:rsidRPr="00B94831" w:rsidRDefault="00B94831" w:rsidP="00B94831">
      <w:pPr>
        <w:autoSpaceDE w:val="0"/>
        <w:autoSpaceDN w:val="0"/>
        <w:jc w:val="center"/>
        <w:rPr>
          <w:lang w:eastAsia="en-US"/>
        </w:rPr>
      </w:pPr>
      <w:r w:rsidRPr="00B94831">
        <w:rPr>
          <w:vertAlign w:val="superscript"/>
          <w:lang w:val="pt-PT" w:eastAsia="en-US"/>
        </w:rPr>
        <w:t>3</w:t>
      </w:r>
      <w:r w:rsidRPr="00B94831">
        <w:rPr>
          <w:lang w:val="pt-PT" w:eastAsia="en-US"/>
        </w:rPr>
        <w:t>Mestranda do Programa de Pós-Graduação em Tecnologia, Recursos Naturais e Sustentabilidade na Amazônia. Universidade do Estado do Pará, maria.iaraujo@aluno.uepa.br</w:t>
      </w:r>
    </w:p>
    <w:p w:rsidR="00B94831" w:rsidRPr="00B94831" w:rsidRDefault="00B94831" w:rsidP="00B94831">
      <w:pPr>
        <w:keepLines/>
        <w:shd w:val="clear" w:color="auto" w:fill="FFFFFF"/>
        <w:tabs>
          <w:tab w:val="left" w:pos="2500"/>
        </w:tabs>
        <w:autoSpaceDE w:val="0"/>
        <w:autoSpaceDN w:val="0"/>
        <w:jc w:val="center"/>
        <w:rPr>
          <w:sz w:val="24"/>
          <w:szCs w:val="24"/>
          <w:lang w:val="pt-PT" w:eastAsia="en-US"/>
        </w:rPr>
      </w:pPr>
      <w:r w:rsidRPr="00B94831">
        <w:rPr>
          <w:sz w:val="24"/>
          <w:szCs w:val="24"/>
          <w:vertAlign w:val="superscript"/>
          <w:lang w:val="pt-PT" w:eastAsia="en-US"/>
        </w:rPr>
        <w:t>4</w:t>
      </w:r>
      <w:r w:rsidRPr="00B94831">
        <w:rPr>
          <w:sz w:val="24"/>
          <w:szCs w:val="24"/>
          <w:lang w:val="pt-PT" w:eastAsia="en-US"/>
        </w:rPr>
        <w:t xml:space="preserve">Professor do Departamento de Ciências Florestais. </w:t>
      </w:r>
      <w:r w:rsidRPr="00B94831">
        <w:rPr>
          <w:lang w:val="pt-PT" w:eastAsia="en-US"/>
        </w:rPr>
        <w:t>Universidade do Estado do Pará</w:t>
      </w:r>
      <w:r w:rsidRPr="00B94831">
        <w:rPr>
          <w:sz w:val="24"/>
          <w:szCs w:val="24"/>
          <w:lang w:val="pt-PT" w:eastAsia="en-US"/>
        </w:rPr>
        <w:t xml:space="preserve">. iedo@uepa.br </w:t>
      </w:r>
    </w:p>
    <w:p w:rsidR="00B94831" w:rsidRPr="00B94831" w:rsidRDefault="00B94831" w:rsidP="00B94831">
      <w:pPr>
        <w:keepLines/>
        <w:pBdr>
          <w:bottom w:val="none" w:sz="0" w:space="8" w:color="000000"/>
        </w:pBdr>
        <w:shd w:val="clear" w:color="auto" w:fill="FFFFFF"/>
        <w:tabs>
          <w:tab w:val="left" w:pos="2500"/>
        </w:tabs>
        <w:autoSpaceDE w:val="0"/>
        <w:autoSpaceDN w:val="0"/>
        <w:spacing w:line="310" w:lineRule="auto"/>
        <w:jc w:val="center"/>
        <w:rPr>
          <w:sz w:val="24"/>
          <w:szCs w:val="24"/>
          <w:lang w:val="pt-PT" w:eastAsia="en-US"/>
        </w:rPr>
      </w:pPr>
    </w:p>
    <w:p w:rsidR="00B94831" w:rsidRPr="00B94831" w:rsidRDefault="00B94831" w:rsidP="00B94831">
      <w:pPr>
        <w:pBdr>
          <w:bottom w:val="none" w:sz="0" w:space="8" w:color="000000"/>
        </w:pBdr>
        <w:shd w:val="clear" w:color="auto" w:fill="FFFFFF"/>
        <w:tabs>
          <w:tab w:val="left" w:pos="2500"/>
        </w:tabs>
        <w:autoSpaceDE w:val="0"/>
        <w:autoSpaceDN w:val="0"/>
        <w:jc w:val="center"/>
        <w:rPr>
          <w:b/>
          <w:sz w:val="24"/>
          <w:szCs w:val="24"/>
          <w:u w:val="single"/>
          <w:lang w:val="pt-PT" w:eastAsia="en-US"/>
        </w:rPr>
      </w:pPr>
      <w:r w:rsidRPr="00B94831">
        <w:rPr>
          <w:b/>
          <w:sz w:val="24"/>
          <w:szCs w:val="24"/>
          <w:u w:val="single"/>
          <w:lang w:val="pt-PT" w:eastAsia="en-US"/>
        </w:rPr>
        <w:t>RESUMO</w:t>
      </w:r>
    </w:p>
    <w:p w:rsidR="00B94831" w:rsidRPr="00B94831" w:rsidRDefault="00B94831" w:rsidP="00B94831">
      <w:pPr>
        <w:shd w:val="clear" w:color="auto" w:fill="FFFFFF"/>
        <w:tabs>
          <w:tab w:val="left" w:pos="0"/>
          <w:tab w:val="left" w:pos="1875"/>
        </w:tabs>
        <w:autoSpaceDE w:val="0"/>
        <w:autoSpaceDN w:val="0"/>
        <w:jc w:val="both"/>
        <w:rPr>
          <w:sz w:val="24"/>
          <w:szCs w:val="24"/>
          <w:lang w:val="pt-PT" w:eastAsia="en-US"/>
        </w:rPr>
      </w:pPr>
      <w:r w:rsidRPr="00B94831">
        <w:rPr>
          <w:sz w:val="24"/>
          <w:szCs w:val="24"/>
          <w:lang w:val="pt-PT" w:eastAsia="en-US"/>
        </w:rPr>
        <w:t>O estágio supervisionado obrigatório constitui uma etapa importante na formação profissional, permitindo ao estudante integrar conhecimentos teóricos às práticas desenvolvidas no ambiente de trabalho. Nesse sentido, este trabalho apresenta os resultados das atividades executadas durante as atividades realizadas na empresa J A planejamentos e agroassistencia Ltda. ME (AGROVIDA), localizada no município de Itupiranga – PA. O estágio teve duração total de 240 horas, sendo realizado entre 28 de novembro de 2022 e 17 de fevereiro de 2023 , e proporcionou vivências práticas nas áreas de assistência técnica e extensão rural. A metodologia do estágio foi estruturada em atividades de campo e escritório, concentrando-se em quatro eixos temáticos: geoprocessamento, elaboração de mapas, elaboração de Cadastros Ambientais Rurais (CAR), georreferenciamento de imóveis rurais e procedimentos de supressão de vegetação secundária. As atividades de geoprocessamento e cartografia utilizaram o software QGIS e envolveram a criação de mapas temáticos, cartas imagem e mapas de cálculo de área. Para o CAR, foram coletadas coordenadas em 12 propriedades rurais utilizando aparelhos GPS portáteis , e o georreferenciamento foi realizado em 10 imóveis com receptores GNSS de alta precisão (Sokkia GNSS GSX2). Os resultados indicaram que a maior demanda de trabalho foi a elaboração de mapas, que representou 47% das atividades, seguida pela elaboração de CARs e georreferenciamento de imóveis rurais. A experiência prática permitiu observar a dinâmica de uma empresa de consultoria e os desafios enfrentados pelos produtores rurais. Em conclusão, o estágio evidenciou sua relevância como ferramenta indispensável para a formação profissional do engenheiro florestal, auxiliando no desenvolvimento de competências técnicas e éticas que promovem o desenvolvimento sustentável e a gestão ambiental na região.</w:t>
      </w:r>
    </w:p>
    <w:p w:rsidR="00B94831" w:rsidRPr="00B94831" w:rsidRDefault="00B94831" w:rsidP="00B94831">
      <w:pPr>
        <w:shd w:val="clear" w:color="auto" w:fill="FFFFFF"/>
        <w:tabs>
          <w:tab w:val="left" w:pos="0"/>
          <w:tab w:val="left" w:pos="1875"/>
        </w:tabs>
        <w:autoSpaceDE w:val="0"/>
        <w:autoSpaceDN w:val="0"/>
        <w:jc w:val="both"/>
        <w:rPr>
          <w:sz w:val="24"/>
          <w:szCs w:val="24"/>
          <w:lang w:val="pt-PT" w:eastAsia="en-US"/>
        </w:rPr>
      </w:pPr>
    </w:p>
    <w:p w:rsidR="00B94831" w:rsidRPr="00B94831" w:rsidRDefault="00B94831" w:rsidP="00B94831">
      <w:pPr>
        <w:shd w:val="clear" w:color="auto" w:fill="FFFFFF"/>
        <w:tabs>
          <w:tab w:val="left" w:pos="0"/>
          <w:tab w:val="left" w:pos="1875"/>
        </w:tabs>
        <w:autoSpaceDE w:val="0"/>
        <w:autoSpaceDN w:val="0"/>
        <w:jc w:val="both"/>
        <w:rPr>
          <w:sz w:val="24"/>
          <w:szCs w:val="24"/>
          <w:lang w:eastAsia="en-US"/>
        </w:rPr>
      </w:pPr>
      <w:r w:rsidRPr="00B94831">
        <w:rPr>
          <w:b/>
          <w:sz w:val="24"/>
          <w:szCs w:val="24"/>
          <w:lang w:val="pt-PT" w:eastAsia="en-US"/>
        </w:rPr>
        <w:t xml:space="preserve">Palavras-chave: </w:t>
      </w:r>
      <w:r w:rsidRPr="00B94831">
        <w:rPr>
          <w:sz w:val="24"/>
          <w:szCs w:val="24"/>
          <w:lang w:val="pt-PT" w:eastAsia="en-US"/>
        </w:rPr>
        <w:t>Licenciamento Ambiental, Geotecnologias, Agricultura Familiar.</w:t>
      </w:r>
    </w:p>
    <w:p w:rsidR="00B94831" w:rsidRPr="00B94831" w:rsidRDefault="00B94831" w:rsidP="00B94831">
      <w:pPr>
        <w:shd w:val="clear" w:color="auto" w:fill="FFFFFF"/>
        <w:tabs>
          <w:tab w:val="left" w:pos="2500"/>
        </w:tabs>
        <w:autoSpaceDE w:val="0"/>
        <w:autoSpaceDN w:val="0"/>
        <w:rPr>
          <w:sz w:val="24"/>
          <w:szCs w:val="24"/>
          <w:lang w:eastAsia="en-US"/>
        </w:rPr>
      </w:pPr>
    </w:p>
    <w:p w:rsidR="00B94831" w:rsidRPr="00B94831" w:rsidRDefault="00B94831" w:rsidP="00B94831">
      <w:pPr>
        <w:shd w:val="clear" w:color="auto" w:fill="FFFFFF"/>
        <w:tabs>
          <w:tab w:val="left" w:pos="2500"/>
        </w:tabs>
        <w:autoSpaceDE w:val="0"/>
        <w:autoSpaceDN w:val="0"/>
        <w:rPr>
          <w:b/>
          <w:color w:val="0000FF"/>
          <w:sz w:val="24"/>
          <w:szCs w:val="24"/>
          <w:u w:val="single"/>
          <w:lang w:val="pt-PT" w:eastAsia="en-US"/>
        </w:rPr>
      </w:pPr>
      <w:r w:rsidRPr="00B94831">
        <w:rPr>
          <w:b/>
          <w:sz w:val="24"/>
          <w:szCs w:val="24"/>
          <w:lang w:val="pt-PT" w:eastAsia="en-US"/>
        </w:rPr>
        <w:t>Área de Interesse do Simpósio</w:t>
      </w:r>
      <w:r w:rsidRPr="00B94831">
        <w:rPr>
          <w:sz w:val="24"/>
          <w:szCs w:val="24"/>
          <w:lang w:val="pt-PT" w:eastAsia="en-US"/>
        </w:rPr>
        <w:t>: Ciências Agrárias.</w:t>
      </w:r>
    </w:p>
    <w:p w:rsidR="00B94831" w:rsidRPr="00B94831" w:rsidRDefault="00B94831" w:rsidP="00B94831">
      <w:pPr>
        <w:pBdr>
          <w:bottom w:val="none" w:sz="0" w:space="8" w:color="000000"/>
        </w:pBdr>
        <w:shd w:val="clear" w:color="auto" w:fill="FFFFFF"/>
        <w:tabs>
          <w:tab w:val="left" w:pos="2500"/>
        </w:tabs>
        <w:autoSpaceDE w:val="0"/>
        <w:autoSpaceDN w:val="0"/>
        <w:rPr>
          <w:b/>
          <w:sz w:val="24"/>
          <w:szCs w:val="24"/>
          <w:lang w:val="pt-PT" w:eastAsia="en-US"/>
        </w:rPr>
      </w:pPr>
    </w:p>
    <w:p w:rsidR="00B94831" w:rsidRDefault="00B94831" w:rsidP="00B94831">
      <w:pPr>
        <w:pBdr>
          <w:bottom w:val="none" w:sz="0" w:space="8" w:color="000000"/>
        </w:pBdr>
        <w:shd w:val="clear" w:color="auto" w:fill="FFFFFF"/>
        <w:tabs>
          <w:tab w:val="left" w:pos="2500"/>
        </w:tabs>
        <w:autoSpaceDE w:val="0"/>
        <w:autoSpaceDN w:val="0"/>
        <w:rPr>
          <w:b/>
          <w:bCs/>
          <w:color w:val="FF0000"/>
          <w:sz w:val="28"/>
          <w:szCs w:val="28"/>
          <w:u w:val="single"/>
          <w:lang w:val="pt-PT" w:eastAsia="en-US"/>
        </w:rPr>
      </w:pPr>
    </w:p>
    <w:p w:rsidR="002F555B" w:rsidRPr="00B94831" w:rsidRDefault="002F555B" w:rsidP="00B94831">
      <w:pPr>
        <w:pBdr>
          <w:bottom w:val="none" w:sz="0" w:space="8" w:color="000000"/>
        </w:pBdr>
        <w:shd w:val="clear" w:color="auto" w:fill="FFFFFF"/>
        <w:tabs>
          <w:tab w:val="left" w:pos="2500"/>
        </w:tabs>
        <w:autoSpaceDE w:val="0"/>
        <w:autoSpaceDN w:val="0"/>
        <w:rPr>
          <w:sz w:val="24"/>
          <w:szCs w:val="24"/>
          <w:lang w:val="pt-PT" w:eastAsia="en-US"/>
        </w:rPr>
      </w:pPr>
    </w:p>
    <w:p w:rsidR="00B94831" w:rsidRPr="00B94831" w:rsidRDefault="00B94831" w:rsidP="00B94831">
      <w:pPr>
        <w:pBdr>
          <w:bottom w:val="none" w:sz="0" w:space="18" w:color="000000"/>
        </w:pBdr>
        <w:shd w:val="clear" w:color="auto" w:fill="FFFFFF"/>
        <w:tabs>
          <w:tab w:val="left" w:pos="2500"/>
        </w:tabs>
        <w:autoSpaceDE w:val="0"/>
        <w:autoSpaceDN w:val="0"/>
        <w:spacing w:line="360" w:lineRule="auto"/>
        <w:jc w:val="both"/>
        <w:rPr>
          <w:b/>
          <w:sz w:val="24"/>
          <w:szCs w:val="24"/>
          <w:lang w:val="pt-PT" w:eastAsia="en-US"/>
        </w:rPr>
      </w:pPr>
      <w:r w:rsidRPr="00B94831">
        <w:rPr>
          <w:b/>
          <w:sz w:val="24"/>
          <w:szCs w:val="24"/>
          <w:lang w:val="pt-PT" w:eastAsia="en-US"/>
        </w:rPr>
        <w:lastRenderedPageBreak/>
        <w:t>1. INTRODUÇÃO</w:t>
      </w: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sz w:val="24"/>
          <w:szCs w:val="24"/>
          <w:lang w:val="pt-PT" w:eastAsia="en-US"/>
        </w:rPr>
      </w:pPr>
      <w:r w:rsidRPr="00B94831">
        <w:rPr>
          <w:sz w:val="24"/>
          <w:szCs w:val="24"/>
          <w:lang w:val="pt-PT" w:eastAsia="en-US"/>
        </w:rPr>
        <w:tab/>
        <w:t>O estágio deve ser entendido como uma oportunidade de aprendizagem, desempenhando uma função formativa equivalente à das demais disciplinas acadêmicas, mesmo possuindo características distintas e exerce papel importante na formação dos estudantes de todas as engenharias, por integrar teoria e prática de maneira estruturada (Giorgio e Neto, 2021; Alencar e Sanches, 2022).</w:t>
      </w: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sz w:val="24"/>
          <w:szCs w:val="24"/>
          <w:lang w:val="pt-PT" w:eastAsia="en-US"/>
        </w:rPr>
      </w:pPr>
      <w:r w:rsidRPr="00B94831">
        <w:rPr>
          <w:sz w:val="24"/>
          <w:szCs w:val="24"/>
          <w:lang w:val="pt-PT" w:eastAsia="en-US"/>
        </w:rPr>
        <w:tab/>
        <w:t xml:space="preserve">As Diretrizes Curriculares Nacionais do curso de Engenharia Florestal, estabelecidas pela Resolução nº 3, de 2 de fevereiro de 2006, reforçam que o estágio supervisionado consiste em um conjunto de atividades de formação planejadas e acompanhadas diretamente por docentes da instituição, com o objetivo de garantir a consolidação e a articulação das competências previstas para a formação profissional (Brasil, 2006). </w:t>
      </w: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sz w:val="24"/>
          <w:szCs w:val="24"/>
          <w:lang w:val="pt-PT" w:eastAsia="en-US"/>
        </w:rPr>
      </w:pPr>
      <w:r w:rsidRPr="00B94831">
        <w:rPr>
          <w:sz w:val="24"/>
          <w:szCs w:val="24"/>
          <w:lang w:val="pt-PT" w:eastAsia="en-US"/>
        </w:rPr>
        <w:tab/>
        <w:t>Boness (2020) ressalta que o estágio possibilita ao discente aplicar, de forma efetiva, os conhecimentos construídos ao longo da graduação, integrando experiências teóricas com práticas profissionais. E a finalidade é promover o desenvolvimento de competências específicas da atividade profissional e proporcionar a contextualização curricular, contribuindo para a formação cidadã e a preparação do estudante para o mercado de trabalho (Brasil, 2008).</w:t>
      </w: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sz w:val="24"/>
          <w:szCs w:val="24"/>
          <w:lang w:val="pt-PT" w:eastAsia="en-US"/>
        </w:rPr>
      </w:pPr>
      <w:r w:rsidRPr="00B94831">
        <w:rPr>
          <w:sz w:val="24"/>
          <w:szCs w:val="24"/>
          <w:lang w:val="pt-PT" w:eastAsia="en-US"/>
        </w:rPr>
        <w:tab/>
        <w:t xml:space="preserve">No contexto da empresa concedente, observa-se que sua atuação é orientada para atender demandas diversas relacionadas ao setor agropecuário, o que exige que seus profissionais mantenham constante atualização técnica. Essa dinâmica favorece a oferta de serviços de qualidade e amplia as oportunidades de troca de experiências com: produtores rurais, extrativistas, agricultores familiares e povos originários. </w:t>
      </w: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sz w:val="24"/>
          <w:szCs w:val="24"/>
          <w:lang w:val="pt-PT" w:eastAsia="en-US"/>
        </w:rPr>
      </w:pPr>
      <w:r w:rsidRPr="00B94831">
        <w:rPr>
          <w:sz w:val="24"/>
          <w:szCs w:val="24"/>
          <w:lang w:val="pt-PT" w:eastAsia="en-US"/>
        </w:rPr>
        <w:tab/>
        <w:t>As atividades desenvolvidas pelos colaboradores envolvem tanto tarefas de escritório quanto ações de campo, além de deslocamentos para prospecção de novos clientes quando necessário. Essa estrutura operacional possibilita que a empresa atenda às demandas de diferentes municípios e em outros estados, não se restringindo apenas à sua sede, portanto,o objetivo principal do estágio foi integrar os conhecimentos técnicos adquiridos durante a formação acadêmica com as práticas profissionais realizadas em uma empresa AGROVIDA.</w:t>
      </w: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sz w:val="24"/>
          <w:szCs w:val="24"/>
          <w:lang w:val="pt-PT" w:eastAsia="en-US"/>
        </w:rPr>
      </w:pPr>
      <w:r w:rsidRPr="00B94831">
        <w:rPr>
          <w:sz w:val="24"/>
          <w:szCs w:val="24"/>
          <w:lang w:val="pt-PT" w:eastAsia="en-US"/>
        </w:rPr>
        <w:tab/>
        <w:t>As atividades desempenhadas incluíram tarefas administrativas e operacionais no escritório e em campo, devido ao termo de confidencialidade firmado entre a empresa e o estagiário, informações específicas sobre clientes não foram mencionadas neste relatório.</w:t>
      </w: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sz w:val="24"/>
          <w:szCs w:val="24"/>
          <w:lang w:val="pt-PT" w:eastAsia="en-US"/>
        </w:rPr>
      </w:pP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b/>
          <w:bCs/>
          <w:sz w:val="24"/>
          <w:szCs w:val="24"/>
          <w:lang w:val="pt-PT" w:eastAsia="en-US"/>
        </w:rPr>
      </w:pPr>
      <w:r w:rsidRPr="00B94831">
        <w:rPr>
          <w:b/>
          <w:bCs/>
          <w:sz w:val="24"/>
          <w:szCs w:val="24"/>
          <w:lang w:val="pt-PT" w:eastAsia="en-US"/>
        </w:rPr>
        <w:t>2. METODOLOGIA</w:t>
      </w:r>
    </w:p>
    <w:p w:rsidR="00B94831" w:rsidRDefault="00B94831" w:rsidP="00B94831">
      <w:pPr>
        <w:pBdr>
          <w:bottom w:val="none" w:sz="0" w:space="18" w:color="000000"/>
        </w:pBdr>
        <w:shd w:val="clear" w:color="auto" w:fill="FFFFFF"/>
        <w:tabs>
          <w:tab w:val="left" w:pos="0"/>
        </w:tabs>
        <w:autoSpaceDE w:val="0"/>
        <w:autoSpaceDN w:val="0"/>
        <w:spacing w:line="360" w:lineRule="auto"/>
        <w:jc w:val="both"/>
        <w:rPr>
          <w:sz w:val="24"/>
          <w:szCs w:val="24"/>
          <w:lang w:val="pt-PT" w:eastAsia="en-US"/>
        </w:rPr>
      </w:pPr>
      <w:r w:rsidRPr="00B94831">
        <w:rPr>
          <w:sz w:val="24"/>
          <w:szCs w:val="24"/>
          <w:lang w:val="pt-PT" w:eastAsia="en-US"/>
        </w:rPr>
        <w:tab/>
        <w:t>O estágio foi realizado entre 28 de novembro de 2022 e 17 de fevereiro de 2023 na empresa AGROVIDA, situada no município de Itupiranga, sudeste paraense totalizando 240 horas.  As atividades desenvolvidas incluíram:</w:t>
      </w:r>
    </w:p>
    <w:p w:rsidR="002F555B" w:rsidRPr="00B94831" w:rsidRDefault="002F555B" w:rsidP="00B94831">
      <w:pPr>
        <w:pBdr>
          <w:bottom w:val="none" w:sz="0" w:space="18" w:color="000000"/>
        </w:pBdr>
        <w:shd w:val="clear" w:color="auto" w:fill="FFFFFF"/>
        <w:tabs>
          <w:tab w:val="left" w:pos="0"/>
        </w:tabs>
        <w:autoSpaceDE w:val="0"/>
        <w:autoSpaceDN w:val="0"/>
        <w:spacing w:line="360" w:lineRule="auto"/>
        <w:jc w:val="both"/>
        <w:rPr>
          <w:sz w:val="24"/>
          <w:szCs w:val="24"/>
          <w:lang w:val="pt-PT" w:eastAsia="en-US"/>
        </w:rPr>
      </w:pP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b/>
          <w:bCs/>
          <w:sz w:val="24"/>
          <w:szCs w:val="24"/>
          <w:lang w:val="pt-PT" w:eastAsia="en-US"/>
        </w:rPr>
      </w:pPr>
      <w:r w:rsidRPr="00B94831">
        <w:rPr>
          <w:bCs/>
          <w:sz w:val="24"/>
          <w:szCs w:val="24"/>
          <w:lang w:val="pt-PT" w:eastAsia="en-US"/>
        </w:rPr>
        <w:t>2.1. ELABORAÇÃO DE CADASTRO AMBIENTAL RURAL (CAR)</w:t>
      </w: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b/>
          <w:bCs/>
          <w:sz w:val="24"/>
          <w:szCs w:val="24"/>
          <w:lang w:val="pt-PT" w:eastAsia="en-US"/>
        </w:rPr>
      </w:pPr>
      <w:r w:rsidRPr="00B94831">
        <w:rPr>
          <w:b/>
          <w:bCs/>
          <w:sz w:val="24"/>
          <w:szCs w:val="24"/>
          <w:lang w:val="pt-PT" w:eastAsia="en-US"/>
        </w:rPr>
        <w:tab/>
      </w:r>
      <w:r w:rsidRPr="00B94831">
        <w:rPr>
          <w:sz w:val="24"/>
          <w:szCs w:val="24"/>
          <w:lang w:val="pt-PT" w:eastAsia="en-US"/>
        </w:rPr>
        <w:t>Foram realizadas visitas a propriedades rurais para coleta de coordenadas geográficas com intuito de se realizar o Cadastro Ambiental Rural dos imóveis foram utilizados aparelhos GPS Portátil Gpsmap</w:t>
      </w:r>
      <w:r w:rsidRPr="00B94831">
        <w:rPr>
          <w:sz w:val="24"/>
          <w:szCs w:val="24"/>
          <w:vertAlign w:val="superscript"/>
          <w:lang w:val="pt-PT" w:eastAsia="en-US"/>
        </w:rPr>
        <w:t>®</w:t>
      </w:r>
      <w:r w:rsidRPr="00B94831">
        <w:rPr>
          <w:sz w:val="24"/>
          <w:szCs w:val="24"/>
          <w:lang w:val="pt-PT" w:eastAsia="en-US"/>
        </w:rPr>
        <w:t xml:space="preserve"> 78s Garmin e Garmin eTrex 22x, para mapeamento das áreas. Após a coleta em campo, os dados foram processados com auxilio de SIGs, utilizando o software QGIS para a identificação e vetorização das tipologias ambientais, conforme estabelecido pelas diretrizes do Sistema de Cadastro Ambiental Rural (Brasil, 2014).</w:t>
      </w: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bCs/>
          <w:sz w:val="24"/>
          <w:szCs w:val="24"/>
          <w:lang w:val="pt-PT" w:eastAsia="en-US"/>
        </w:rPr>
      </w:pP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b/>
          <w:bCs/>
          <w:sz w:val="24"/>
          <w:szCs w:val="24"/>
          <w:lang w:val="pt-PT" w:eastAsia="en-US"/>
        </w:rPr>
      </w:pPr>
      <w:r w:rsidRPr="00B94831">
        <w:rPr>
          <w:bCs/>
          <w:sz w:val="24"/>
          <w:szCs w:val="24"/>
          <w:lang w:val="pt-PT" w:eastAsia="en-US"/>
        </w:rPr>
        <w:t>2.2. ELABORAÇÃO DE MAPAS E CROQUIS</w:t>
      </w: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sz w:val="24"/>
          <w:szCs w:val="24"/>
          <w:lang w:val="pt-PT" w:eastAsia="en-US"/>
        </w:rPr>
      </w:pPr>
      <w:r w:rsidRPr="00B94831">
        <w:rPr>
          <w:sz w:val="24"/>
          <w:szCs w:val="24"/>
          <w:lang w:val="pt-PT" w:eastAsia="en-US"/>
        </w:rPr>
        <w:tab/>
        <w:t>Foram produzidos mapas temáticos, cartas imagem, mapas de cálculo de área e materiais técnicos para compor laudos e relatórios ambientais. Todas as etapas foram executadas utilizando o software QGIS, seguindo as normas da cartografia nacional (Brasil, 1984).</w:t>
      </w: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b/>
          <w:bCs/>
          <w:sz w:val="24"/>
          <w:szCs w:val="24"/>
          <w:lang w:val="pt-PT" w:eastAsia="en-US"/>
        </w:rPr>
      </w:pP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b/>
          <w:bCs/>
          <w:sz w:val="24"/>
          <w:szCs w:val="24"/>
          <w:lang w:val="pt-PT" w:eastAsia="en-US"/>
        </w:rPr>
      </w:pPr>
      <w:r w:rsidRPr="00B94831">
        <w:rPr>
          <w:bCs/>
          <w:sz w:val="24"/>
          <w:szCs w:val="24"/>
          <w:lang w:val="pt-PT" w:eastAsia="en-US"/>
        </w:rPr>
        <w:t>2.3. GEORREFERENCIAMENTO DE IMÓVEIS RURAIS</w:t>
      </w:r>
    </w:p>
    <w:p w:rsidR="00B94831" w:rsidRPr="00B94831" w:rsidRDefault="00B94831" w:rsidP="00B94831">
      <w:pPr>
        <w:pBdr>
          <w:bottom w:val="none" w:sz="0" w:space="18" w:color="000000"/>
        </w:pBdr>
        <w:shd w:val="clear" w:color="auto" w:fill="FFFFFF"/>
        <w:tabs>
          <w:tab w:val="left" w:pos="0"/>
        </w:tabs>
        <w:autoSpaceDE w:val="0"/>
        <w:autoSpaceDN w:val="0"/>
        <w:spacing w:line="360" w:lineRule="auto"/>
        <w:jc w:val="both"/>
        <w:rPr>
          <w:b/>
          <w:bCs/>
          <w:sz w:val="24"/>
          <w:szCs w:val="24"/>
          <w:lang w:val="pt-PT" w:eastAsia="en-US"/>
        </w:rPr>
      </w:pPr>
      <w:r w:rsidRPr="00B94831">
        <w:rPr>
          <w:b/>
          <w:bCs/>
          <w:sz w:val="24"/>
          <w:szCs w:val="24"/>
          <w:lang w:val="pt-PT" w:eastAsia="en-US"/>
        </w:rPr>
        <w:tab/>
      </w:r>
      <w:r w:rsidRPr="00B94831">
        <w:rPr>
          <w:sz w:val="24"/>
          <w:szCs w:val="24"/>
          <w:lang w:val="pt-PT" w:eastAsia="en-US"/>
        </w:rPr>
        <w:t>As atividades envolveram levantamento planialtimétrico dos vértices dos imóveis com uso de aparelhos GPS Sokkia GNSS GSX2, conforme normas do INCRA (2013). As coordenadas coletadas serviram de base para futuros processos de certificação.</w:t>
      </w:r>
    </w:p>
    <w:p w:rsidR="00B94831" w:rsidRPr="00B94831" w:rsidRDefault="00B94831" w:rsidP="00B94831">
      <w:pPr>
        <w:shd w:val="clear" w:color="auto" w:fill="FFFFFF"/>
        <w:tabs>
          <w:tab w:val="left" w:pos="0"/>
          <w:tab w:val="left" w:pos="1875"/>
        </w:tabs>
        <w:autoSpaceDE w:val="0"/>
        <w:autoSpaceDN w:val="0"/>
        <w:spacing w:before="240" w:line="360" w:lineRule="auto"/>
        <w:jc w:val="both"/>
        <w:rPr>
          <w:bCs/>
          <w:sz w:val="24"/>
          <w:szCs w:val="24"/>
          <w:lang w:val="pt-PT" w:eastAsia="en-US"/>
        </w:rPr>
      </w:pPr>
      <w:r w:rsidRPr="00B94831">
        <w:rPr>
          <w:bCs/>
          <w:sz w:val="24"/>
          <w:szCs w:val="24"/>
          <w:lang w:val="pt-PT" w:eastAsia="en-US"/>
        </w:rPr>
        <w:t>2.4. ATIVIDADES DE SUPRESSÃO DE VEGETAÇÃO SECUNDÁRIA</w:t>
      </w:r>
    </w:p>
    <w:p w:rsidR="00B94831" w:rsidRPr="00B94831" w:rsidRDefault="00B94831" w:rsidP="00B94831">
      <w:pPr>
        <w:autoSpaceDE w:val="0"/>
        <w:autoSpaceDN w:val="0"/>
        <w:spacing w:line="360" w:lineRule="auto"/>
        <w:ind w:firstLine="720"/>
        <w:jc w:val="both"/>
        <w:rPr>
          <w:sz w:val="24"/>
          <w:szCs w:val="24"/>
          <w:lang w:val="pt-PT" w:eastAsia="en-US"/>
        </w:rPr>
      </w:pPr>
      <w:r w:rsidRPr="00B94831">
        <w:rPr>
          <w:sz w:val="24"/>
          <w:szCs w:val="24"/>
          <w:lang w:val="pt-PT" w:eastAsia="en-US"/>
        </w:rPr>
        <w:t xml:space="preserve">Foram realizadas avaliações de campo em áreas destinadas à supressão de vegetação secundária, conforme a Instrução Normativa SEMAS nº 08/2015. As atividades incluíram abertura de parcelas, mensuração de árvores e caracterização da vegetação. Todos os dados </w:t>
      </w:r>
      <w:r w:rsidRPr="00B94831">
        <w:rPr>
          <w:sz w:val="24"/>
          <w:szCs w:val="24"/>
          <w:lang w:val="pt-PT" w:eastAsia="en-US"/>
        </w:rPr>
        <w:lastRenderedPageBreak/>
        <w:t>coletados foram organizados e analisados no escritório da empresa, utilizando planilhas e softwares SIG.</w:t>
      </w:r>
    </w:p>
    <w:p w:rsidR="00B94831" w:rsidRPr="00B94831" w:rsidRDefault="00B94831" w:rsidP="00B94831">
      <w:pPr>
        <w:shd w:val="clear" w:color="auto" w:fill="FFFFFF"/>
        <w:tabs>
          <w:tab w:val="left" w:pos="0"/>
          <w:tab w:val="left" w:pos="1875"/>
        </w:tabs>
        <w:autoSpaceDE w:val="0"/>
        <w:autoSpaceDN w:val="0"/>
        <w:spacing w:before="240" w:line="310" w:lineRule="auto"/>
        <w:jc w:val="both"/>
        <w:rPr>
          <w:color w:val="FF0000"/>
          <w:sz w:val="24"/>
          <w:szCs w:val="24"/>
          <w:lang w:val="pt-PT" w:eastAsia="en-US"/>
        </w:rPr>
      </w:pPr>
      <w:r w:rsidRPr="00B94831">
        <w:rPr>
          <w:b/>
          <w:bCs/>
          <w:sz w:val="24"/>
          <w:szCs w:val="24"/>
          <w:lang w:val="pt-PT" w:eastAsia="en-US"/>
        </w:rPr>
        <w:t xml:space="preserve">3. RESULTADOS E DISCUSSÃO </w:t>
      </w:r>
    </w:p>
    <w:p w:rsidR="00B94831" w:rsidRPr="00B94831" w:rsidRDefault="00B94831" w:rsidP="00B94831">
      <w:pPr>
        <w:autoSpaceDE w:val="0"/>
        <w:autoSpaceDN w:val="0"/>
        <w:spacing w:line="360" w:lineRule="auto"/>
        <w:ind w:firstLine="720"/>
        <w:jc w:val="both"/>
        <w:rPr>
          <w:color w:val="FF0000"/>
          <w:lang w:eastAsia="en-US"/>
        </w:rPr>
      </w:pPr>
      <w:r w:rsidRPr="00B94831">
        <w:rPr>
          <w:sz w:val="24"/>
          <w:szCs w:val="24"/>
          <w:lang w:val="pt-PT" w:eastAsia="en-US"/>
        </w:rPr>
        <w:t>Ao longo do período de estágio, foram executadas 45 atividades relacionadas às diversas áreas de atuação de uma consultoria agropecuária, abrangendo geoprocessamento, regularização ambiental e manejo de vegetação, distribuídas conforme demanda da empresa (Figura 1)</w:t>
      </w:r>
      <w:r w:rsidRPr="00B94831">
        <w:rPr>
          <w:lang w:val="pt-PT" w:eastAsia="en-US"/>
        </w:rPr>
        <w:t>.</w:t>
      </w:r>
    </w:p>
    <w:p w:rsidR="00B94831" w:rsidRPr="00B94831" w:rsidRDefault="00B94831" w:rsidP="00B94831">
      <w:pPr>
        <w:shd w:val="clear" w:color="auto" w:fill="FFFFFF"/>
        <w:tabs>
          <w:tab w:val="left" w:pos="0"/>
          <w:tab w:val="left" w:pos="1875"/>
        </w:tabs>
        <w:autoSpaceDE w:val="0"/>
        <w:autoSpaceDN w:val="0"/>
        <w:jc w:val="center"/>
        <w:rPr>
          <w:bCs/>
          <w:color w:val="000000"/>
          <w:lang w:eastAsia="en-US"/>
        </w:rPr>
      </w:pPr>
    </w:p>
    <w:p w:rsidR="00B94831" w:rsidRPr="00B94831" w:rsidRDefault="00B94831" w:rsidP="00B94831">
      <w:pPr>
        <w:shd w:val="clear" w:color="auto" w:fill="FFFFFF"/>
        <w:tabs>
          <w:tab w:val="left" w:pos="0"/>
          <w:tab w:val="left" w:pos="1875"/>
        </w:tabs>
        <w:autoSpaceDE w:val="0"/>
        <w:autoSpaceDN w:val="0"/>
        <w:jc w:val="center"/>
        <w:rPr>
          <w:lang w:val="pt-PT" w:eastAsia="en-US"/>
        </w:rPr>
      </w:pPr>
      <w:r w:rsidRPr="00B94831">
        <w:rPr>
          <w:noProof/>
        </w:rPr>
        <w:drawing>
          <wp:anchor distT="0" distB="0" distL="114300" distR="114300" simplePos="0" relativeHeight="251659264" behindDoc="0" locked="0" layoutInCell="1" allowOverlap="1" wp14:anchorId="1D1E0EB0" wp14:editId="252647B0">
            <wp:simplePos x="0" y="0"/>
            <wp:positionH relativeFrom="margin">
              <wp:posOffset>183515</wp:posOffset>
            </wp:positionH>
            <wp:positionV relativeFrom="paragraph">
              <wp:posOffset>280670</wp:posOffset>
            </wp:positionV>
            <wp:extent cx="5328000" cy="2196000"/>
            <wp:effectExtent l="0" t="0" r="6350" b="0"/>
            <wp:wrapTopAndBottom/>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sidRPr="00B94831">
        <w:rPr>
          <w:bCs/>
          <w:color w:val="000000"/>
          <w:lang w:val="pt-PT" w:eastAsia="en-US"/>
        </w:rPr>
        <w:t>Figura 1</w:t>
      </w:r>
      <w:r w:rsidRPr="00B94831">
        <w:rPr>
          <w:b/>
          <w:color w:val="000000"/>
          <w:lang w:val="pt-PT" w:eastAsia="en-US"/>
        </w:rPr>
        <w:t>-</w:t>
      </w:r>
      <w:r w:rsidRPr="00B94831">
        <w:rPr>
          <w:color w:val="000000"/>
          <w:lang w:val="pt-PT" w:eastAsia="en-US"/>
        </w:rPr>
        <w:t xml:space="preserve"> Atividades realizadas durante o estágio supervisionado na empresa AGROVIDA</w:t>
      </w:r>
    </w:p>
    <w:p w:rsidR="00B94831" w:rsidRPr="00B94831" w:rsidRDefault="00B94831" w:rsidP="00B94831">
      <w:pPr>
        <w:autoSpaceDE w:val="0"/>
        <w:autoSpaceDN w:val="0"/>
        <w:jc w:val="center"/>
        <w:rPr>
          <w:lang w:val="pt-PT" w:eastAsia="en-US"/>
        </w:rPr>
      </w:pPr>
      <w:r w:rsidRPr="00B94831">
        <w:rPr>
          <w:lang w:val="pt-PT" w:eastAsia="en-US"/>
        </w:rPr>
        <w:t>Fonte: Autores, 2025.</w:t>
      </w:r>
    </w:p>
    <w:p w:rsidR="00B94831" w:rsidRPr="00B94831" w:rsidRDefault="00B94831" w:rsidP="00B94831">
      <w:pPr>
        <w:autoSpaceDE w:val="0"/>
        <w:autoSpaceDN w:val="0"/>
        <w:spacing w:line="360" w:lineRule="auto"/>
        <w:ind w:firstLine="720"/>
        <w:jc w:val="both"/>
        <w:rPr>
          <w:sz w:val="24"/>
          <w:szCs w:val="24"/>
          <w:lang w:val="pt-PT" w:eastAsia="en-US"/>
        </w:rPr>
      </w:pPr>
    </w:p>
    <w:p w:rsidR="00B94831" w:rsidRPr="00B94831" w:rsidRDefault="00B94831" w:rsidP="00B94831">
      <w:pPr>
        <w:autoSpaceDE w:val="0"/>
        <w:autoSpaceDN w:val="0"/>
        <w:spacing w:line="360" w:lineRule="auto"/>
        <w:ind w:firstLine="720"/>
        <w:jc w:val="both"/>
        <w:rPr>
          <w:sz w:val="24"/>
          <w:szCs w:val="24"/>
          <w:lang w:val="pt-PT" w:eastAsia="en-US"/>
        </w:rPr>
      </w:pPr>
      <w:r w:rsidRPr="00B94831">
        <w:rPr>
          <w:sz w:val="24"/>
          <w:szCs w:val="24"/>
          <w:lang w:val="pt-PT" w:eastAsia="en-US"/>
        </w:rPr>
        <w:t>A maior parte dessas demandas esteve concentrada na elaboração de mapas, que representou 42% das atividades desenvolvidas. Essa predominância se justifica pela relevância do geoprocessamento no contexto da assessoria rural, uma vez que ele oferece suporte essencial ao planejamento agropecuário, à produção de laudos ambientais e aos processos de regularização fundiária.</w:t>
      </w:r>
    </w:p>
    <w:p w:rsidR="00B94831" w:rsidRPr="00B94831" w:rsidRDefault="00B94831" w:rsidP="00B94831">
      <w:pPr>
        <w:autoSpaceDE w:val="0"/>
        <w:autoSpaceDN w:val="0"/>
        <w:spacing w:line="360" w:lineRule="auto"/>
        <w:ind w:firstLine="720"/>
        <w:jc w:val="both"/>
        <w:rPr>
          <w:sz w:val="24"/>
          <w:szCs w:val="24"/>
          <w:lang w:val="pt-PT" w:eastAsia="en-US"/>
        </w:rPr>
      </w:pPr>
      <w:r w:rsidRPr="00B94831">
        <w:rPr>
          <w:sz w:val="24"/>
          <w:szCs w:val="24"/>
          <w:lang w:val="pt-PT" w:eastAsia="en-US"/>
        </w:rPr>
        <w:t xml:space="preserve">Os mapas produzidos ao longo do estágio desempenharam papel fundamental nos procedimentos exigidos para a elaboração de laudos referentes à supressão de vegetação secundária em áreas de uso consolidado, além de contribuírem para a caracterização de parcelas, localização geográfica de espécimes florestais e identificação de tipologias ambientais. </w:t>
      </w:r>
    </w:p>
    <w:p w:rsidR="00B94831" w:rsidRPr="00B94831" w:rsidRDefault="00B94831" w:rsidP="00B94831">
      <w:pPr>
        <w:autoSpaceDE w:val="0"/>
        <w:autoSpaceDN w:val="0"/>
        <w:spacing w:after="100" w:afterAutospacing="1" w:line="360" w:lineRule="auto"/>
        <w:ind w:firstLine="720"/>
        <w:jc w:val="both"/>
        <w:rPr>
          <w:sz w:val="24"/>
          <w:szCs w:val="24"/>
          <w:lang w:val="pt-PT" w:eastAsia="en-US"/>
        </w:rPr>
      </w:pPr>
      <w:r w:rsidRPr="00B94831">
        <w:rPr>
          <w:sz w:val="24"/>
          <w:szCs w:val="24"/>
          <w:lang w:val="pt-PT" w:eastAsia="en-US"/>
        </w:rPr>
        <w:t xml:space="preserve">Esses produtos cartográficos permitiram uma representação espacial precisa das áreas avaliadas, assegurando que os processos atendessem às diretrizes técnicas estabelecidas pela </w:t>
      </w:r>
      <w:r w:rsidRPr="00B94831">
        <w:rPr>
          <w:sz w:val="24"/>
          <w:szCs w:val="24"/>
          <w:lang w:val="pt-PT" w:eastAsia="en-US"/>
        </w:rPr>
        <w:lastRenderedPageBreak/>
        <w:t>Instrução Normativa SEMAS nº 08/2015. As atividades relacionadas à elaboração de mapas estão detalhadas na Tabela 1.</w:t>
      </w:r>
    </w:p>
    <w:p w:rsidR="00B94831" w:rsidRPr="00B94831" w:rsidRDefault="00B94831" w:rsidP="00B94831">
      <w:pPr>
        <w:autoSpaceDE w:val="0"/>
        <w:autoSpaceDN w:val="0"/>
        <w:jc w:val="center"/>
        <w:rPr>
          <w:lang w:eastAsia="en-US"/>
        </w:rPr>
      </w:pPr>
      <w:r w:rsidRPr="00B94831">
        <w:rPr>
          <w:lang w:val="pt-PT" w:eastAsia="en-US"/>
        </w:rPr>
        <w:t xml:space="preserve">Tabela 1 - Mapas elaborados durante o </w:t>
      </w:r>
      <w:r w:rsidRPr="00B94831">
        <w:rPr>
          <w:bCs/>
          <w:color w:val="000000"/>
          <w:lang w:val="pt-PT" w:eastAsia="en-US"/>
        </w:rPr>
        <w:t>estágio supervisionado</w:t>
      </w:r>
      <w:r w:rsidRPr="00B94831">
        <w:rPr>
          <w:lang w:val="pt-PT" w:eastAsia="en-US"/>
        </w:rPr>
        <w:t xml:space="preserve"> na empresa AGROVIDA</w:t>
      </w:r>
    </w:p>
    <w:tbl>
      <w:tblPr>
        <w:tblStyle w:val="Style12"/>
        <w:tblpPr w:leftFromText="141" w:rightFromText="141" w:vertAnchor="text" w:horzAnchor="margin" w:tblpXSpec="center" w:tblpY="117"/>
        <w:tblW w:w="5000" w:type="pct"/>
        <w:tblCellMar>
          <w:top w:w="15" w:type="dxa"/>
          <w:left w:w="15" w:type="dxa"/>
          <w:bottom w:w="15" w:type="dxa"/>
          <w:right w:w="15" w:type="dxa"/>
        </w:tblCellMar>
        <w:tblLook w:val="04A0" w:firstRow="1" w:lastRow="0" w:firstColumn="1" w:lastColumn="0" w:noHBand="0" w:noVBand="1"/>
      </w:tblPr>
      <w:tblGrid>
        <w:gridCol w:w="5788"/>
        <w:gridCol w:w="3287"/>
      </w:tblGrid>
      <w:tr w:rsidR="00B94831" w:rsidRPr="00B94831" w:rsidTr="00F95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pct"/>
            <w:tcBorders>
              <w:top w:val="outset" w:sz="6" w:space="0" w:color="auto"/>
              <w:left w:val="nil"/>
              <w:bottom w:val="outset" w:sz="6" w:space="0" w:color="auto"/>
              <w:right w:val="nil"/>
            </w:tcBorders>
            <w:hideMark/>
          </w:tcPr>
          <w:p w:rsidR="00B94831" w:rsidRPr="00B94831" w:rsidRDefault="00B94831" w:rsidP="00B94831">
            <w:pPr>
              <w:jc w:val="center"/>
              <w:rPr>
                <w:sz w:val="22"/>
                <w:szCs w:val="22"/>
              </w:rPr>
            </w:pPr>
            <w:r w:rsidRPr="00B94831">
              <w:rPr>
                <w:sz w:val="22"/>
                <w:szCs w:val="22"/>
                <w:lang w:val="pt-PT"/>
              </w:rPr>
              <w:t>Atividade</w:t>
            </w:r>
          </w:p>
        </w:tc>
        <w:tc>
          <w:tcPr>
            <w:tcW w:w="1811" w:type="pct"/>
            <w:tcBorders>
              <w:top w:val="outset" w:sz="6" w:space="0" w:color="auto"/>
              <w:left w:val="nil"/>
              <w:bottom w:val="outset" w:sz="6" w:space="0" w:color="auto"/>
              <w:right w:val="nil"/>
            </w:tcBorders>
            <w:hideMark/>
          </w:tcPr>
          <w:p w:rsidR="00B94831" w:rsidRPr="00B94831" w:rsidRDefault="00B94831" w:rsidP="00B94831">
            <w:pPr>
              <w:jc w:val="center"/>
              <w:cnfStyle w:val="100000000000" w:firstRow="1"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Quantidade</w:t>
            </w:r>
          </w:p>
        </w:tc>
      </w:tr>
      <w:tr w:rsidR="00B94831" w:rsidRPr="00B94831" w:rsidTr="00F958AB">
        <w:tc>
          <w:tcPr>
            <w:cnfStyle w:val="001000000000" w:firstRow="0" w:lastRow="0" w:firstColumn="1" w:lastColumn="0" w:oddVBand="0" w:evenVBand="0" w:oddHBand="0" w:evenHBand="0" w:firstRowFirstColumn="0" w:firstRowLastColumn="0" w:lastRowFirstColumn="0" w:lastRowLastColumn="0"/>
            <w:tcW w:w="3189"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Mapa de distribuição de parcela</w:t>
            </w:r>
          </w:p>
        </w:tc>
        <w:tc>
          <w:tcPr>
            <w:tcW w:w="1811"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4</w:t>
            </w:r>
          </w:p>
        </w:tc>
      </w:tr>
      <w:tr w:rsidR="00B94831" w:rsidRPr="00B94831" w:rsidTr="00F958AB">
        <w:tc>
          <w:tcPr>
            <w:cnfStyle w:val="001000000000" w:firstRow="0" w:lastRow="0" w:firstColumn="1" w:lastColumn="0" w:oddVBand="0" w:evenVBand="0" w:oddHBand="0" w:evenHBand="0" w:firstRowFirstColumn="0" w:firstRowLastColumn="0" w:lastRowFirstColumn="0" w:lastRowLastColumn="0"/>
            <w:tcW w:w="3189"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Carta imagem</w:t>
            </w:r>
          </w:p>
        </w:tc>
        <w:tc>
          <w:tcPr>
            <w:tcW w:w="1811"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4</w:t>
            </w:r>
          </w:p>
        </w:tc>
      </w:tr>
      <w:tr w:rsidR="00B94831" w:rsidRPr="00B94831" w:rsidTr="00F958AB">
        <w:tc>
          <w:tcPr>
            <w:cnfStyle w:val="001000000000" w:firstRow="0" w:lastRow="0" w:firstColumn="1" w:lastColumn="0" w:oddVBand="0" w:evenVBand="0" w:oddHBand="0" w:evenHBand="0" w:firstRowFirstColumn="0" w:firstRowLastColumn="0" w:lastRowFirstColumn="0" w:lastRowLastColumn="0"/>
            <w:tcW w:w="3189"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Mapa Área exata</w:t>
            </w:r>
          </w:p>
        </w:tc>
        <w:tc>
          <w:tcPr>
            <w:tcW w:w="1811"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4</w:t>
            </w:r>
          </w:p>
        </w:tc>
      </w:tr>
      <w:tr w:rsidR="00B94831" w:rsidRPr="00B94831" w:rsidTr="00F958AB">
        <w:tc>
          <w:tcPr>
            <w:cnfStyle w:val="001000000000" w:firstRow="0" w:lastRow="0" w:firstColumn="1" w:lastColumn="0" w:oddVBand="0" w:evenVBand="0" w:oddHBand="0" w:evenHBand="0" w:firstRowFirstColumn="0" w:firstRowLastColumn="0" w:lastRowFirstColumn="0" w:lastRowLastColumn="0"/>
            <w:tcW w:w="3189"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Mapa da indicação PRODES</w:t>
            </w:r>
            <w:r w:rsidRPr="002F555B">
              <w:rPr>
                <w:b w:val="0"/>
                <w:sz w:val="22"/>
                <w:szCs w:val="22"/>
                <w:vertAlign w:val="superscript"/>
                <w:lang w:val="pt-PT"/>
              </w:rPr>
              <w:footnoteReference w:id="1"/>
            </w:r>
          </w:p>
        </w:tc>
        <w:tc>
          <w:tcPr>
            <w:tcW w:w="1811"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4</w:t>
            </w:r>
          </w:p>
        </w:tc>
      </w:tr>
      <w:tr w:rsidR="00B94831" w:rsidRPr="00B94831" w:rsidTr="00F958AB">
        <w:tc>
          <w:tcPr>
            <w:cnfStyle w:val="001000000000" w:firstRow="0" w:lastRow="0" w:firstColumn="1" w:lastColumn="0" w:oddVBand="0" w:evenVBand="0" w:oddHBand="0" w:evenHBand="0" w:firstRowFirstColumn="0" w:firstRowLastColumn="0" w:lastRowFirstColumn="0" w:lastRowLastColumn="0"/>
            <w:tcW w:w="3189" w:type="pct"/>
            <w:tcBorders>
              <w:top w:val="nil"/>
              <w:left w:val="nil"/>
              <w:bottom w:val="single" w:sz="4" w:space="0" w:color="auto"/>
              <w:right w:val="nil"/>
            </w:tcBorders>
            <w:hideMark/>
          </w:tcPr>
          <w:p w:rsidR="00B94831" w:rsidRPr="00B94831" w:rsidRDefault="00B94831" w:rsidP="00B94831">
            <w:pPr>
              <w:jc w:val="center"/>
              <w:rPr>
                <w:b w:val="0"/>
                <w:sz w:val="22"/>
                <w:szCs w:val="22"/>
                <w:lang w:val="pt-PT"/>
              </w:rPr>
            </w:pPr>
            <w:r w:rsidRPr="00B94831">
              <w:rPr>
                <w:b w:val="0"/>
                <w:sz w:val="22"/>
                <w:szCs w:val="22"/>
                <w:lang w:val="pt-PT"/>
              </w:rPr>
              <w:t>Mapa de Cálculo de áreas</w:t>
            </w:r>
          </w:p>
        </w:tc>
        <w:tc>
          <w:tcPr>
            <w:tcW w:w="1811" w:type="pct"/>
            <w:tcBorders>
              <w:top w:val="nil"/>
              <w:left w:val="nil"/>
              <w:bottom w:val="single" w:sz="4" w:space="0" w:color="auto"/>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3</w:t>
            </w:r>
          </w:p>
        </w:tc>
      </w:tr>
      <w:tr w:rsidR="00B94831" w:rsidRPr="00B94831" w:rsidTr="00F958AB">
        <w:tc>
          <w:tcPr>
            <w:cnfStyle w:val="001000000000" w:firstRow="0" w:lastRow="0" w:firstColumn="1" w:lastColumn="0" w:oddVBand="0" w:evenVBand="0" w:oddHBand="0" w:evenHBand="0" w:firstRowFirstColumn="0" w:firstRowLastColumn="0" w:lastRowFirstColumn="0" w:lastRowLastColumn="0"/>
            <w:tcW w:w="3189" w:type="pct"/>
            <w:tcBorders>
              <w:top w:val="single" w:sz="4" w:space="0" w:color="auto"/>
              <w:left w:val="nil"/>
              <w:bottom w:val="outset" w:sz="6" w:space="0" w:color="auto"/>
              <w:right w:val="nil"/>
            </w:tcBorders>
            <w:hideMark/>
          </w:tcPr>
          <w:p w:rsidR="00B94831" w:rsidRPr="00B94831" w:rsidRDefault="00B94831" w:rsidP="00B94831">
            <w:pPr>
              <w:jc w:val="center"/>
              <w:rPr>
                <w:sz w:val="22"/>
                <w:szCs w:val="22"/>
                <w:lang w:val="pt-PT"/>
              </w:rPr>
            </w:pPr>
            <w:r w:rsidRPr="00B94831">
              <w:rPr>
                <w:sz w:val="22"/>
                <w:szCs w:val="22"/>
                <w:lang w:val="pt-PT"/>
              </w:rPr>
              <w:t>Total</w:t>
            </w:r>
          </w:p>
        </w:tc>
        <w:tc>
          <w:tcPr>
            <w:tcW w:w="1811" w:type="pct"/>
            <w:tcBorders>
              <w:top w:val="single" w:sz="4" w:space="0" w:color="auto"/>
              <w:left w:val="nil"/>
              <w:bottom w:val="outset" w:sz="6" w:space="0" w:color="auto"/>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b/>
                <w:bCs/>
                <w:sz w:val="22"/>
                <w:szCs w:val="22"/>
                <w:lang w:val="pt-PT"/>
              </w:rPr>
            </w:pPr>
            <w:r w:rsidRPr="00B94831">
              <w:rPr>
                <w:b/>
                <w:bCs/>
                <w:sz w:val="22"/>
                <w:szCs w:val="22"/>
                <w:lang w:val="pt-PT"/>
              </w:rPr>
              <w:t>19</w:t>
            </w:r>
          </w:p>
        </w:tc>
      </w:tr>
    </w:tbl>
    <w:p w:rsidR="00B94831" w:rsidRPr="00B94831" w:rsidRDefault="00B94831" w:rsidP="00B94831">
      <w:pPr>
        <w:autoSpaceDE w:val="0"/>
        <w:autoSpaceDN w:val="0"/>
        <w:jc w:val="center"/>
        <w:rPr>
          <w:lang w:val="pt-PT" w:eastAsia="en-US"/>
        </w:rPr>
      </w:pPr>
      <w:r w:rsidRPr="00B94831">
        <w:rPr>
          <w:lang w:val="pt-PT" w:eastAsia="en-US"/>
        </w:rPr>
        <w:t>Fonte: Autores, 2025.</w:t>
      </w:r>
    </w:p>
    <w:p w:rsidR="00B94831" w:rsidRPr="00B94831" w:rsidRDefault="00B94831" w:rsidP="00B94831">
      <w:pPr>
        <w:autoSpaceDE w:val="0"/>
        <w:autoSpaceDN w:val="0"/>
        <w:jc w:val="center"/>
        <w:rPr>
          <w:lang w:val="pt-PT" w:eastAsia="en-US"/>
        </w:rPr>
      </w:pPr>
    </w:p>
    <w:p w:rsidR="00B94831" w:rsidRPr="00B94831" w:rsidRDefault="00B94831" w:rsidP="00B94831">
      <w:pPr>
        <w:autoSpaceDE w:val="0"/>
        <w:autoSpaceDN w:val="0"/>
        <w:spacing w:line="360" w:lineRule="auto"/>
        <w:ind w:firstLine="720"/>
        <w:jc w:val="both"/>
        <w:rPr>
          <w:sz w:val="24"/>
          <w:szCs w:val="24"/>
          <w:lang w:val="pt-PT" w:eastAsia="en-US"/>
        </w:rPr>
      </w:pPr>
      <w:r w:rsidRPr="00B94831">
        <w:rPr>
          <w:sz w:val="24"/>
          <w:szCs w:val="24"/>
          <w:lang w:val="pt-PT" w:eastAsia="en-US"/>
        </w:rPr>
        <w:t>As atividades relacionadas à elaboração dos CARs representaram 27% dos trabalhos realizados durante o período de estágio. Conforme o Serviço Florestal Brasileiro (2016), o CAR consiste no registro georreferenciado dos limites e das tipologias do imóvel rural, incluindo remanescentes de vegetação nativa, reserva legal, áreas de preservação permanente, áreas de uso restrito e áreas consolidadas. Esse cadastro é realizado via internet e pode ser efetuado pelos órgãos ambientais estaduais, pelo Distrito Federal, por empresas de consultoria ou pelos próprios produtores rurais. A Tabela 2 apresenta a quantidade de CARs protocolados durante o período de atuação na empresa, enquanto a Figura 2 ilustra a localização geográfica dos imóveis cadastrados.</w:t>
      </w:r>
    </w:p>
    <w:p w:rsidR="00B94831" w:rsidRPr="00B94831" w:rsidRDefault="00B94831" w:rsidP="00B94831">
      <w:pPr>
        <w:autoSpaceDE w:val="0"/>
        <w:autoSpaceDN w:val="0"/>
        <w:jc w:val="center"/>
        <w:rPr>
          <w:lang w:val="pt-PT" w:eastAsia="en-US"/>
        </w:rPr>
      </w:pPr>
    </w:p>
    <w:p w:rsidR="00B94831" w:rsidRPr="00B94831" w:rsidRDefault="00B94831" w:rsidP="00B94831">
      <w:pPr>
        <w:autoSpaceDE w:val="0"/>
        <w:autoSpaceDN w:val="0"/>
        <w:jc w:val="center"/>
        <w:rPr>
          <w:lang w:val="pt-PT" w:eastAsia="en-US"/>
        </w:rPr>
      </w:pPr>
      <w:r w:rsidRPr="00B94831">
        <w:rPr>
          <w:lang w:val="pt-PT" w:eastAsia="en-US"/>
        </w:rPr>
        <w:t>Tabela 2- Cadastro ambientais rurais feitos durante o estágio supervisionado na empresa AGROVIDA.</w:t>
      </w:r>
    </w:p>
    <w:tbl>
      <w:tblPr>
        <w:tblStyle w:val="Style12"/>
        <w:tblW w:w="5000" w:type="pct"/>
        <w:jc w:val="center"/>
        <w:tblCellMar>
          <w:top w:w="15" w:type="dxa"/>
          <w:left w:w="15" w:type="dxa"/>
          <w:bottom w:w="15" w:type="dxa"/>
          <w:right w:w="15" w:type="dxa"/>
        </w:tblCellMar>
        <w:tblLook w:val="04A0" w:firstRow="1" w:lastRow="0" w:firstColumn="1" w:lastColumn="0" w:noHBand="0" w:noVBand="1"/>
      </w:tblPr>
      <w:tblGrid>
        <w:gridCol w:w="4251"/>
        <w:gridCol w:w="2412"/>
        <w:gridCol w:w="2412"/>
      </w:tblGrid>
      <w:tr w:rsidR="00B94831" w:rsidRPr="00B94831" w:rsidTr="00F958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2" w:type="pct"/>
            <w:tcBorders>
              <w:top w:val="outset" w:sz="6" w:space="0" w:color="auto"/>
              <w:left w:val="nil"/>
              <w:bottom w:val="outset" w:sz="6" w:space="0" w:color="auto"/>
              <w:right w:val="nil"/>
            </w:tcBorders>
            <w:hideMark/>
          </w:tcPr>
          <w:p w:rsidR="00B94831" w:rsidRPr="00B94831" w:rsidRDefault="00B94831" w:rsidP="00B94831">
            <w:pPr>
              <w:jc w:val="center"/>
              <w:rPr>
                <w:sz w:val="22"/>
                <w:szCs w:val="22"/>
              </w:rPr>
            </w:pPr>
            <w:r w:rsidRPr="00B94831">
              <w:rPr>
                <w:sz w:val="22"/>
                <w:szCs w:val="22"/>
                <w:lang w:val="pt-PT"/>
              </w:rPr>
              <w:t>Propriedade</w:t>
            </w:r>
          </w:p>
        </w:tc>
        <w:tc>
          <w:tcPr>
            <w:tcW w:w="1329" w:type="pct"/>
            <w:tcBorders>
              <w:top w:val="outset" w:sz="6" w:space="0" w:color="auto"/>
              <w:left w:val="nil"/>
              <w:bottom w:val="outset" w:sz="6" w:space="0" w:color="auto"/>
              <w:right w:val="nil"/>
            </w:tcBorders>
            <w:hideMark/>
          </w:tcPr>
          <w:p w:rsidR="00B94831" w:rsidRPr="00B94831" w:rsidRDefault="00B94831" w:rsidP="00B94831">
            <w:pPr>
              <w:jc w:val="center"/>
              <w:cnfStyle w:val="100000000000" w:firstRow="1"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Município/UF</w:t>
            </w:r>
          </w:p>
        </w:tc>
        <w:tc>
          <w:tcPr>
            <w:tcW w:w="1329" w:type="pct"/>
            <w:tcBorders>
              <w:top w:val="outset" w:sz="6" w:space="0" w:color="auto"/>
              <w:left w:val="nil"/>
              <w:bottom w:val="outset" w:sz="6" w:space="0" w:color="auto"/>
              <w:right w:val="nil"/>
            </w:tcBorders>
            <w:hideMark/>
          </w:tcPr>
          <w:p w:rsidR="00B94831" w:rsidRPr="00B94831" w:rsidRDefault="00B94831" w:rsidP="00B94831">
            <w:pPr>
              <w:jc w:val="center"/>
              <w:cnfStyle w:val="100000000000" w:firstRow="1"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Data</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Segredo</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29/11/2022</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São Miguel</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02/12/2022</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São Francisco</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07/12/2022</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3A-1</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16/01/2023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3A-2</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16/01/2023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Pico de jaca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17/01/2023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Laço Comprido</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03/02/2023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Sitio Bom Sossego</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06/02/2023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Sítio Três Irmãos</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06/02/2023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Sítio Novo Carajás II Parte Lote 440</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09/02/2023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Lote 441</w:t>
            </w:r>
          </w:p>
        </w:tc>
        <w:tc>
          <w:tcPr>
            <w:tcW w:w="1329" w:type="pct"/>
            <w:tcBorders>
              <w:top w:val="nil"/>
              <w:left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09/02/2023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single" w:sz="4" w:space="0" w:color="auto"/>
              <w:right w:val="nil"/>
            </w:tcBorders>
            <w:hideMark/>
          </w:tcPr>
          <w:p w:rsidR="00B94831" w:rsidRPr="00B94831" w:rsidRDefault="00B94831" w:rsidP="00B94831">
            <w:pPr>
              <w:jc w:val="center"/>
              <w:rPr>
                <w:b w:val="0"/>
                <w:sz w:val="22"/>
                <w:szCs w:val="22"/>
                <w:lang w:val="pt-PT"/>
              </w:rPr>
            </w:pPr>
            <w:r w:rsidRPr="00B94831">
              <w:rPr>
                <w:b w:val="0"/>
                <w:sz w:val="22"/>
                <w:szCs w:val="22"/>
                <w:lang w:val="pt-PT"/>
              </w:rPr>
              <w:t>Sítio Santa Fé</w:t>
            </w:r>
          </w:p>
        </w:tc>
        <w:tc>
          <w:tcPr>
            <w:tcW w:w="1329" w:type="pct"/>
            <w:tcBorders>
              <w:top w:val="nil"/>
              <w:left w:val="nil"/>
              <w:bottom w:val="single" w:sz="4" w:space="0" w:color="auto"/>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single" w:sz="4" w:space="0" w:color="auto"/>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09/02/2023</w:t>
            </w:r>
          </w:p>
        </w:tc>
      </w:tr>
    </w:tbl>
    <w:p w:rsidR="00B94831" w:rsidRPr="00B94831" w:rsidRDefault="00B94831" w:rsidP="00B94831">
      <w:pPr>
        <w:widowControl/>
        <w:autoSpaceDE w:val="0"/>
        <w:autoSpaceDN w:val="0"/>
        <w:jc w:val="center"/>
        <w:rPr>
          <w:lang w:val="pt-PT" w:eastAsia="en-US"/>
        </w:rPr>
      </w:pPr>
      <w:r w:rsidRPr="00B94831">
        <w:rPr>
          <w:lang w:val="pt-PT" w:eastAsia="en-US"/>
        </w:rPr>
        <w:lastRenderedPageBreak/>
        <w:t>Fonte: Autores (2025).</w:t>
      </w:r>
    </w:p>
    <w:p w:rsidR="00B94831" w:rsidRPr="00B94831" w:rsidRDefault="00B94831" w:rsidP="00B94831">
      <w:pPr>
        <w:widowControl/>
        <w:autoSpaceDE w:val="0"/>
        <w:autoSpaceDN w:val="0"/>
        <w:jc w:val="center"/>
        <w:rPr>
          <w:lang w:val="pt-PT" w:eastAsia="en-US"/>
        </w:rPr>
      </w:pPr>
    </w:p>
    <w:p w:rsidR="00B94831" w:rsidRPr="00B94831" w:rsidRDefault="00B94831" w:rsidP="00B94831">
      <w:pPr>
        <w:widowControl/>
        <w:autoSpaceDE w:val="0"/>
        <w:autoSpaceDN w:val="0"/>
        <w:spacing w:line="360" w:lineRule="auto"/>
        <w:ind w:firstLine="720"/>
        <w:jc w:val="both"/>
        <w:rPr>
          <w:sz w:val="24"/>
          <w:szCs w:val="24"/>
          <w:lang w:val="pt-PT" w:eastAsia="en-US"/>
        </w:rPr>
      </w:pPr>
      <w:r w:rsidRPr="00B94831">
        <w:rPr>
          <w:sz w:val="24"/>
          <w:szCs w:val="24"/>
          <w:lang w:val="pt-PT" w:eastAsia="en-US"/>
        </w:rPr>
        <w:t xml:space="preserve">Ademais, o georreferenciamento de imóveis rurais consiste no levantamento </w:t>
      </w:r>
      <w:r w:rsidRPr="00B94831">
        <w:rPr>
          <w:i/>
          <w:iCs/>
          <w:sz w:val="24"/>
          <w:szCs w:val="24"/>
          <w:lang w:val="pt-PT" w:eastAsia="en-US"/>
        </w:rPr>
        <w:t>in loco</w:t>
      </w:r>
      <w:r w:rsidRPr="00B94831">
        <w:rPr>
          <w:sz w:val="24"/>
          <w:szCs w:val="24"/>
          <w:lang w:val="pt-PT" w:eastAsia="en-US"/>
        </w:rPr>
        <w:t xml:space="preserve"> das coordenadas geográficas dos vértices do imóvel, utilizando aparelhos de GPS de alta precisão, sendo o método RTK (Real Time Kinematic) o mais empregado, conforme estabelecido no Manual Técnico de Georreferenciamento de Imóveis Rurais do INCRA (2013). Esse procedimento garante maior acurácia na definição dos limites da propriedade, tornando-se essencial para processos de regularização fundiária e certificação. A Figura 2 apresenta o mapa de localização dos CARs elaborados ao longo do estágio.</w:t>
      </w:r>
    </w:p>
    <w:p w:rsidR="00B94831" w:rsidRPr="00B94831" w:rsidRDefault="00B94831" w:rsidP="00B94831">
      <w:pPr>
        <w:widowControl/>
        <w:autoSpaceDE w:val="0"/>
        <w:autoSpaceDN w:val="0"/>
        <w:spacing w:line="256" w:lineRule="auto"/>
        <w:jc w:val="center"/>
        <w:rPr>
          <w:lang w:val="pt-PT" w:eastAsia="en-US"/>
        </w:rPr>
      </w:pPr>
      <w:r w:rsidRPr="00B94831">
        <w:rPr>
          <w:lang w:val="pt-PT" w:eastAsia="en-US"/>
        </w:rPr>
        <w:t>Figura 2 – Mapa de Localização dos CARs elaborados.</w:t>
      </w:r>
    </w:p>
    <w:p w:rsidR="00B94831" w:rsidRPr="00B94831" w:rsidRDefault="00B94831" w:rsidP="00B94831">
      <w:pPr>
        <w:widowControl/>
        <w:autoSpaceDE w:val="0"/>
        <w:autoSpaceDN w:val="0"/>
        <w:spacing w:line="256" w:lineRule="auto"/>
        <w:jc w:val="both"/>
        <w:rPr>
          <w:lang w:val="pt-PT" w:eastAsia="en-US"/>
        </w:rPr>
      </w:pPr>
      <w:r w:rsidRPr="00B94831">
        <w:rPr>
          <w:noProof/>
        </w:rPr>
        <w:drawing>
          <wp:inline distT="0" distB="0" distL="0" distR="0" wp14:anchorId="4898E4EF" wp14:editId="2C936EEE">
            <wp:extent cx="5781675" cy="4095750"/>
            <wp:effectExtent l="0" t="0" r="9525" b="0"/>
            <wp:docPr id="10" name="Imagem 10" descr="C:\Users\pc\AppData\Local\Temp\ksohtml34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ksohtml3428\wp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1675" cy="4095750"/>
                    </a:xfrm>
                    <a:prstGeom prst="rect">
                      <a:avLst/>
                    </a:prstGeom>
                    <a:noFill/>
                    <a:ln>
                      <a:noFill/>
                    </a:ln>
                  </pic:spPr>
                </pic:pic>
              </a:graphicData>
            </a:graphic>
          </wp:inline>
        </w:drawing>
      </w:r>
      <w:r w:rsidRPr="00B94831">
        <w:rPr>
          <w:lang w:val="pt-PT" w:eastAsia="en-US"/>
        </w:rPr>
        <w:t xml:space="preserve"> </w:t>
      </w:r>
    </w:p>
    <w:p w:rsidR="00B94831" w:rsidRPr="00B94831" w:rsidRDefault="00B94831" w:rsidP="00B94831">
      <w:pPr>
        <w:autoSpaceDE w:val="0"/>
        <w:autoSpaceDN w:val="0"/>
        <w:jc w:val="center"/>
        <w:rPr>
          <w:lang w:val="pt-PT" w:eastAsia="en-US"/>
        </w:rPr>
      </w:pPr>
      <w:r w:rsidRPr="00B94831">
        <w:rPr>
          <w:lang w:val="pt-PT" w:eastAsia="en-US"/>
        </w:rPr>
        <w:t>Fonte: Autores (2023).</w:t>
      </w:r>
    </w:p>
    <w:p w:rsidR="00B94831" w:rsidRPr="00B94831" w:rsidRDefault="00B94831" w:rsidP="00B94831">
      <w:pPr>
        <w:autoSpaceDE w:val="0"/>
        <w:autoSpaceDN w:val="0"/>
        <w:rPr>
          <w:lang w:val="pt-PT" w:eastAsia="en-US"/>
        </w:rPr>
      </w:pPr>
    </w:p>
    <w:p w:rsidR="00B94831" w:rsidRPr="00B94831" w:rsidRDefault="00B94831" w:rsidP="00B94831">
      <w:pPr>
        <w:widowControl/>
        <w:spacing w:line="360" w:lineRule="auto"/>
        <w:ind w:firstLine="720"/>
        <w:jc w:val="both"/>
        <w:rPr>
          <w:sz w:val="24"/>
          <w:szCs w:val="24"/>
        </w:rPr>
      </w:pPr>
      <w:r w:rsidRPr="00B94831">
        <w:rPr>
          <w:sz w:val="24"/>
          <w:szCs w:val="24"/>
        </w:rPr>
        <w:t>Segundo o INCRA (2013), o posicionamento por RTK fundamenta-se na transferência síncrona de dados entre os satélites e o receptor instalado na base de referência para o receptor posicionado nos vértices de interesse. Esse método permite obter coordenadas de alta precisão, tornando-se indispensável para levantamentos fundiários confiáveis.</w:t>
      </w:r>
    </w:p>
    <w:p w:rsidR="00B94831" w:rsidRPr="00B94831" w:rsidRDefault="00B94831" w:rsidP="00B94831">
      <w:pPr>
        <w:widowControl/>
        <w:spacing w:line="360" w:lineRule="auto"/>
        <w:ind w:firstLine="720"/>
        <w:jc w:val="both"/>
        <w:rPr>
          <w:sz w:val="24"/>
          <w:szCs w:val="24"/>
        </w:rPr>
      </w:pPr>
      <w:r w:rsidRPr="00B94831">
        <w:rPr>
          <w:sz w:val="24"/>
          <w:szCs w:val="24"/>
        </w:rPr>
        <w:lastRenderedPageBreak/>
        <w:t xml:space="preserve">O georreferenciamento de imóveis rurais representou 22% das atividades executadas durante o estágio, destacando-se das demais pela necessidade de rigor técnico tanto na coleta das coordenadas geográficas, realizada com receptores GNSS de alta precisão, quanto no posterior processamento e envio dessas informações ao Sistema de Gestão Fundiária (SIGEF). Esse procedimento é essencial para assegurar a regularização fundiária, garantindo a correta delimitação das propriedades e evitando sobreposições entre áreas, sempre em conformidade com as normas estabelecidas pelo INCRA. </w:t>
      </w:r>
    </w:p>
    <w:p w:rsidR="00B94831" w:rsidRPr="00B94831" w:rsidRDefault="00B94831" w:rsidP="00B94831">
      <w:pPr>
        <w:widowControl/>
        <w:spacing w:line="360" w:lineRule="auto"/>
        <w:ind w:firstLine="720"/>
        <w:jc w:val="both"/>
        <w:rPr>
          <w:sz w:val="24"/>
          <w:szCs w:val="24"/>
        </w:rPr>
      </w:pPr>
    </w:p>
    <w:p w:rsidR="00B94831" w:rsidRPr="00B94831" w:rsidRDefault="00B94831" w:rsidP="00B94831">
      <w:pPr>
        <w:widowControl/>
        <w:autoSpaceDE w:val="0"/>
        <w:autoSpaceDN w:val="0"/>
        <w:spacing w:line="360" w:lineRule="auto"/>
        <w:jc w:val="center"/>
        <w:rPr>
          <w:lang w:eastAsia="en-US"/>
        </w:rPr>
      </w:pPr>
      <w:r w:rsidRPr="00B94831">
        <w:rPr>
          <w:lang w:val="pt-PT" w:eastAsia="en-US"/>
        </w:rPr>
        <w:t>Tabela 3 - Georreferenciamentos feitos durante o estágio supervisionado na empresa AGROVIDA</w:t>
      </w:r>
    </w:p>
    <w:tbl>
      <w:tblPr>
        <w:tblStyle w:val="Style12"/>
        <w:tblW w:w="5000" w:type="pct"/>
        <w:jc w:val="center"/>
        <w:tblCellMar>
          <w:top w:w="15" w:type="dxa"/>
          <w:left w:w="15" w:type="dxa"/>
          <w:bottom w:w="15" w:type="dxa"/>
          <w:right w:w="15" w:type="dxa"/>
        </w:tblCellMar>
        <w:tblLook w:val="04A0" w:firstRow="1" w:lastRow="0" w:firstColumn="1" w:lastColumn="0" w:noHBand="0" w:noVBand="1"/>
      </w:tblPr>
      <w:tblGrid>
        <w:gridCol w:w="4251"/>
        <w:gridCol w:w="2412"/>
        <w:gridCol w:w="2412"/>
      </w:tblGrid>
      <w:tr w:rsidR="00B94831" w:rsidRPr="00B94831" w:rsidTr="00F958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2" w:type="pct"/>
            <w:tcBorders>
              <w:top w:val="outset" w:sz="6" w:space="0" w:color="auto"/>
              <w:left w:val="nil"/>
              <w:bottom w:val="outset" w:sz="6" w:space="0" w:color="auto"/>
              <w:right w:val="nil"/>
            </w:tcBorders>
            <w:hideMark/>
          </w:tcPr>
          <w:p w:rsidR="00B94831" w:rsidRPr="00B94831" w:rsidRDefault="00B94831" w:rsidP="00B94831">
            <w:pPr>
              <w:jc w:val="center"/>
              <w:rPr>
                <w:sz w:val="22"/>
                <w:szCs w:val="22"/>
                <w:lang w:val="pt-PT"/>
              </w:rPr>
            </w:pPr>
            <w:r w:rsidRPr="00B94831">
              <w:rPr>
                <w:sz w:val="22"/>
                <w:szCs w:val="22"/>
                <w:lang w:val="pt-PT"/>
              </w:rPr>
              <w:t>Propriedade</w:t>
            </w:r>
          </w:p>
        </w:tc>
        <w:tc>
          <w:tcPr>
            <w:tcW w:w="1329" w:type="pct"/>
            <w:tcBorders>
              <w:top w:val="outset" w:sz="6" w:space="0" w:color="auto"/>
              <w:left w:val="nil"/>
              <w:bottom w:val="outset" w:sz="6" w:space="0" w:color="auto"/>
              <w:right w:val="nil"/>
            </w:tcBorders>
            <w:hideMark/>
          </w:tcPr>
          <w:p w:rsidR="00B94831" w:rsidRPr="00B94831" w:rsidRDefault="00B94831" w:rsidP="00B94831">
            <w:pPr>
              <w:jc w:val="center"/>
              <w:cnfStyle w:val="100000000000" w:firstRow="1"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Município/UF</w:t>
            </w:r>
          </w:p>
        </w:tc>
        <w:tc>
          <w:tcPr>
            <w:tcW w:w="1329" w:type="pct"/>
            <w:tcBorders>
              <w:top w:val="outset" w:sz="6" w:space="0" w:color="auto"/>
              <w:left w:val="nil"/>
              <w:bottom w:val="outset" w:sz="6" w:space="0" w:color="auto"/>
              <w:right w:val="nil"/>
            </w:tcBorders>
            <w:hideMark/>
          </w:tcPr>
          <w:p w:rsidR="00B94831" w:rsidRPr="00B94831" w:rsidRDefault="00B94831" w:rsidP="00B94831">
            <w:pPr>
              <w:jc w:val="center"/>
              <w:cnfStyle w:val="100000000000" w:firstRow="1"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Data</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outset" w:sz="6" w:space="0" w:color="auto"/>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São Miguel</w:t>
            </w:r>
          </w:p>
        </w:tc>
        <w:tc>
          <w:tcPr>
            <w:tcW w:w="1329" w:type="pct"/>
            <w:tcBorders>
              <w:top w:val="outset" w:sz="6" w:space="0" w:color="auto"/>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outset" w:sz="6" w:space="0" w:color="auto"/>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02/12/2022</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Cai Na taca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12/01/2023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Ipixuna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Ipixuna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13/12/2022</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Ronaldo</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10/01/2023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Briochi</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11/01/2023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Belo Monte</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13/01/2023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Santo Antônio</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20/01/2023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Caracu</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18/01/2023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Laço Comprido</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01/02/2023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single" w:sz="4" w:space="0" w:color="auto"/>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Milesi</w:t>
            </w:r>
          </w:p>
        </w:tc>
        <w:tc>
          <w:tcPr>
            <w:tcW w:w="1329" w:type="pct"/>
            <w:tcBorders>
              <w:top w:val="nil"/>
              <w:left w:val="nil"/>
              <w:bottom w:val="single" w:sz="4" w:space="0" w:color="auto"/>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single" w:sz="4" w:space="0" w:color="auto"/>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03/02/2023</w:t>
            </w:r>
          </w:p>
        </w:tc>
      </w:tr>
    </w:tbl>
    <w:p w:rsidR="00B94831" w:rsidRPr="002F555B" w:rsidRDefault="00B94831" w:rsidP="00B94831">
      <w:pPr>
        <w:widowControl/>
        <w:autoSpaceDE w:val="0"/>
        <w:autoSpaceDN w:val="0"/>
        <w:spacing w:line="360" w:lineRule="auto"/>
        <w:jc w:val="center"/>
        <w:rPr>
          <w:color w:val="000000"/>
          <w:lang w:val="pt-PT" w:eastAsia="en-US"/>
        </w:rPr>
      </w:pPr>
      <w:r w:rsidRPr="002F555B">
        <w:rPr>
          <w:color w:val="000000"/>
          <w:lang w:val="pt-PT" w:eastAsia="en-US"/>
        </w:rPr>
        <w:t>Fonte: Autores (2023).</w:t>
      </w:r>
    </w:p>
    <w:p w:rsidR="00B94831" w:rsidRPr="00B94831" w:rsidRDefault="00B94831" w:rsidP="00B94831">
      <w:pPr>
        <w:widowControl/>
        <w:autoSpaceDE w:val="0"/>
        <w:autoSpaceDN w:val="0"/>
        <w:spacing w:line="360" w:lineRule="auto"/>
        <w:jc w:val="center"/>
        <w:rPr>
          <w:color w:val="000000"/>
          <w:lang w:val="pt-PT" w:eastAsia="en-US"/>
        </w:rPr>
      </w:pPr>
    </w:p>
    <w:p w:rsidR="00B94831" w:rsidRPr="00B94831" w:rsidRDefault="00B94831" w:rsidP="00B94831">
      <w:pPr>
        <w:widowControl/>
        <w:autoSpaceDE w:val="0"/>
        <w:autoSpaceDN w:val="0"/>
        <w:spacing w:line="360" w:lineRule="auto"/>
        <w:ind w:firstLine="720"/>
        <w:jc w:val="both"/>
        <w:rPr>
          <w:bCs/>
          <w:color w:val="000000"/>
          <w:sz w:val="24"/>
          <w:szCs w:val="24"/>
          <w:lang w:val="pt-PT" w:eastAsia="en-US"/>
        </w:rPr>
      </w:pPr>
      <w:r w:rsidRPr="00B94831">
        <w:rPr>
          <w:sz w:val="24"/>
          <w:szCs w:val="24"/>
          <w:lang w:val="pt-PT" w:eastAsia="en-US"/>
        </w:rPr>
        <w:t xml:space="preserve">As atividades relacionadas à supressão de vegetação secundária, embora representassem 9% das demandas, foram significativas por proporcionar contato direto com técnicas de campo utilizadas para avaliação da vegetação secundária. A abertura de parcelas, mensuração de árvores e caracterização da vegetação conforme a Instrução Normativa SEMAS nº 08/2015 permitiram compreender a complexidade do manejo de áreas alteradas e a importância da análise técnica para fins de autorização de supressão. Estudos como o de Coimbra et al. (2023) reforçam que </w:t>
      </w:r>
      <w:r w:rsidRPr="00B94831">
        <w:rPr>
          <w:bCs/>
          <w:color w:val="000000"/>
          <w:sz w:val="24"/>
          <w:szCs w:val="24"/>
          <w:lang w:val="pt-PT" w:eastAsia="en-US"/>
        </w:rPr>
        <w:t>as florestas secundárias ou capoeiras são aquelas originadas a partir da regeneração natural da vegetação, em parcelas que no passado houve exploração da floresta primária e que agora se encontram em estágios de desenvolvimento.</w:t>
      </w:r>
      <w:r w:rsidRPr="00B94831">
        <w:rPr>
          <w:sz w:val="24"/>
          <w:szCs w:val="24"/>
          <w:lang w:val="pt-PT" w:eastAsia="en-US"/>
        </w:rPr>
        <w:t xml:space="preserve"> </w:t>
      </w:r>
      <w:r w:rsidRPr="00B94831">
        <w:rPr>
          <w:bCs/>
          <w:color w:val="000000"/>
          <w:sz w:val="24"/>
          <w:szCs w:val="24"/>
          <w:lang w:val="pt-PT" w:eastAsia="en-US"/>
        </w:rPr>
        <w:t>Como descrito na tabela 4 foram realizadas atividades em 4 propriedades rurais que resultaram em dados para a realização de procedimentos de supressão vegetal.</w:t>
      </w:r>
    </w:p>
    <w:p w:rsidR="00B94831" w:rsidRPr="00B94831" w:rsidRDefault="00B94831" w:rsidP="00B94831">
      <w:pPr>
        <w:widowControl/>
        <w:autoSpaceDE w:val="0"/>
        <w:autoSpaceDN w:val="0"/>
        <w:spacing w:line="360" w:lineRule="auto"/>
        <w:ind w:firstLine="720"/>
        <w:jc w:val="both"/>
        <w:rPr>
          <w:bCs/>
          <w:color w:val="000000"/>
          <w:lang w:val="pt-PT" w:eastAsia="en-US"/>
        </w:rPr>
      </w:pPr>
    </w:p>
    <w:p w:rsidR="00B94831" w:rsidRPr="00B94831" w:rsidRDefault="00B94831" w:rsidP="00B94831">
      <w:pPr>
        <w:widowControl/>
        <w:autoSpaceDE w:val="0"/>
        <w:autoSpaceDN w:val="0"/>
        <w:spacing w:line="360" w:lineRule="auto"/>
        <w:jc w:val="center"/>
        <w:rPr>
          <w:lang w:val="pt-PT" w:eastAsia="en-US"/>
        </w:rPr>
      </w:pPr>
    </w:p>
    <w:p w:rsidR="00B94831" w:rsidRPr="00B94831" w:rsidRDefault="00B94831" w:rsidP="00B94831">
      <w:pPr>
        <w:widowControl/>
        <w:autoSpaceDE w:val="0"/>
        <w:autoSpaceDN w:val="0"/>
        <w:spacing w:line="360" w:lineRule="auto"/>
        <w:jc w:val="center"/>
        <w:rPr>
          <w:lang w:val="pt-PT" w:eastAsia="en-US"/>
        </w:rPr>
      </w:pPr>
    </w:p>
    <w:p w:rsidR="00B94831" w:rsidRPr="002F555B" w:rsidRDefault="00B94831" w:rsidP="00B94831">
      <w:pPr>
        <w:widowControl/>
        <w:autoSpaceDE w:val="0"/>
        <w:autoSpaceDN w:val="0"/>
        <w:spacing w:line="360" w:lineRule="auto"/>
        <w:jc w:val="center"/>
        <w:rPr>
          <w:color w:val="000000"/>
          <w:lang w:val="pt-PT" w:eastAsia="en-US"/>
        </w:rPr>
      </w:pPr>
      <w:r w:rsidRPr="00B94831">
        <w:rPr>
          <w:lang w:val="pt-PT" w:eastAsia="en-US"/>
        </w:rPr>
        <w:t>Tabela 4 - Georreferenciamentos feitos durante o estágio supervisionado na empresa AGROVIDA</w:t>
      </w:r>
    </w:p>
    <w:tbl>
      <w:tblPr>
        <w:tblStyle w:val="Style12"/>
        <w:tblW w:w="5000" w:type="pct"/>
        <w:jc w:val="center"/>
        <w:tblCellMar>
          <w:top w:w="15" w:type="dxa"/>
          <w:left w:w="15" w:type="dxa"/>
          <w:bottom w:w="15" w:type="dxa"/>
          <w:right w:w="15" w:type="dxa"/>
        </w:tblCellMar>
        <w:tblLook w:val="04A0" w:firstRow="1" w:lastRow="0" w:firstColumn="1" w:lastColumn="0" w:noHBand="0" w:noVBand="1"/>
      </w:tblPr>
      <w:tblGrid>
        <w:gridCol w:w="4251"/>
        <w:gridCol w:w="2412"/>
        <w:gridCol w:w="2412"/>
      </w:tblGrid>
      <w:tr w:rsidR="00B94831" w:rsidRPr="00B94831" w:rsidTr="00F958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2" w:type="pct"/>
            <w:tcBorders>
              <w:top w:val="outset" w:sz="6" w:space="0" w:color="auto"/>
              <w:left w:val="nil"/>
              <w:bottom w:val="outset" w:sz="6" w:space="0" w:color="auto"/>
              <w:right w:val="nil"/>
            </w:tcBorders>
            <w:hideMark/>
          </w:tcPr>
          <w:p w:rsidR="00B94831" w:rsidRPr="00B94831" w:rsidRDefault="00B94831" w:rsidP="00B94831">
            <w:pPr>
              <w:jc w:val="center"/>
              <w:rPr>
                <w:sz w:val="22"/>
                <w:szCs w:val="22"/>
                <w:lang w:val="pt-PT"/>
              </w:rPr>
            </w:pPr>
            <w:r w:rsidRPr="00B94831">
              <w:rPr>
                <w:sz w:val="22"/>
                <w:szCs w:val="22"/>
                <w:lang w:val="pt-PT"/>
              </w:rPr>
              <w:t>Propriedade</w:t>
            </w:r>
          </w:p>
        </w:tc>
        <w:tc>
          <w:tcPr>
            <w:tcW w:w="1329" w:type="pct"/>
            <w:tcBorders>
              <w:top w:val="outset" w:sz="6" w:space="0" w:color="auto"/>
              <w:left w:val="nil"/>
              <w:bottom w:val="outset" w:sz="6" w:space="0" w:color="auto"/>
              <w:right w:val="nil"/>
            </w:tcBorders>
            <w:hideMark/>
          </w:tcPr>
          <w:p w:rsidR="00B94831" w:rsidRPr="00B94831" w:rsidRDefault="00B94831" w:rsidP="00B94831">
            <w:pPr>
              <w:jc w:val="center"/>
              <w:cnfStyle w:val="100000000000" w:firstRow="1"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Município/UF</w:t>
            </w:r>
          </w:p>
        </w:tc>
        <w:tc>
          <w:tcPr>
            <w:tcW w:w="1329" w:type="pct"/>
            <w:tcBorders>
              <w:top w:val="outset" w:sz="6" w:space="0" w:color="auto"/>
              <w:left w:val="nil"/>
              <w:bottom w:val="outset" w:sz="6" w:space="0" w:color="auto"/>
              <w:right w:val="nil"/>
            </w:tcBorders>
            <w:hideMark/>
          </w:tcPr>
          <w:p w:rsidR="00B94831" w:rsidRPr="00B94831" w:rsidRDefault="00B94831" w:rsidP="00B94831">
            <w:pPr>
              <w:jc w:val="center"/>
              <w:cnfStyle w:val="100000000000" w:firstRow="1"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Data</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São Miguel</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02/12/2022</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Cai Na taca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12/01/2023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Belo Monte</w:t>
            </w:r>
          </w:p>
        </w:tc>
        <w:tc>
          <w:tcPr>
            <w:tcW w:w="1329" w:type="pct"/>
            <w:tcBorders>
              <w:top w:val="nil"/>
              <w:left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13/01/2023</w:t>
            </w:r>
          </w:p>
        </w:tc>
      </w:tr>
      <w:tr w:rsidR="00B94831" w:rsidRPr="00B94831" w:rsidTr="00F958AB">
        <w:trPr>
          <w:jc w:val="center"/>
        </w:trPr>
        <w:tc>
          <w:tcPr>
            <w:cnfStyle w:val="001000000000" w:firstRow="0" w:lastRow="0" w:firstColumn="1" w:lastColumn="0" w:oddVBand="0" w:evenVBand="0" w:oddHBand="0" w:evenHBand="0" w:firstRowFirstColumn="0" w:firstRowLastColumn="0" w:lastRowFirstColumn="0" w:lastRowLastColumn="0"/>
            <w:tcW w:w="2342" w:type="pct"/>
            <w:tcBorders>
              <w:top w:val="nil"/>
              <w:left w:val="nil"/>
              <w:bottom w:val="single" w:sz="4" w:space="0" w:color="auto"/>
              <w:right w:val="nil"/>
            </w:tcBorders>
            <w:hideMark/>
          </w:tcPr>
          <w:p w:rsidR="00B94831" w:rsidRPr="00B94831" w:rsidRDefault="00B94831" w:rsidP="00B94831">
            <w:pPr>
              <w:jc w:val="center"/>
              <w:rPr>
                <w:b w:val="0"/>
                <w:sz w:val="22"/>
                <w:szCs w:val="22"/>
                <w:lang w:val="pt-PT"/>
              </w:rPr>
            </w:pPr>
            <w:r w:rsidRPr="00B94831">
              <w:rPr>
                <w:b w:val="0"/>
                <w:sz w:val="22"/>
                <w:szCs w:val="22"/>
                <w:lang w:val="pt-PT"/>
              </w:rPr>
              <w:t>Fazenda Laço Comprido</w:t>
            </w:r>
          </w:p>
        </w:tc>
        <w:tc>
          <w:tcPr>
            <w:tcW w:w="1329" w:type="pct"/>
            <w:tcBorders>
              <w:top w:val="nil"/>
              <w:left w:val="nil"/>
              <w:bottom w:val="single" w:sz="4" w:space="0" w:color="auto"/>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Itupiranga (PA)</w:t>
            </w:r>
          </w:p>
        </w:tc>
        <w:tc>
          <w:tcPr>
            <w:tcW w:w="1329" w:type="pct"/>
            <w:tcBorders>
              <w:top w:val="nil"/>
              <w:left w:val="nil"/>
              <w:bottom w:val="single" w:sz="4" w:space="0" w:color="auto"/>
              <w:right w:val="nil"/>
            </w:tcBorders>
            <w:hideMark/>
          </w:tcPr>
          <w:p w:rsidR="00B94831" w:rsidRPr="00B94831" w:rsidRDefault="00B94831" w:rsidP="00B94831">
            <w:pPr>
              <w:jc w:val="center"/>
              <w:cnfStyle w:val="000000000000" w:firstRow="0" w:lastRow="0" w:firstColumn="0" w:lastColumn="0" w:oddVBand="0" w:evenVBand="0" w:oddHBand="0" w:evenHBand="0" w:firstRowFirstColumn="0" w:firstRowLastColumn="0" w:lastRowFirstColumn="0" w:lastRowLastColumn="0"/>
              <w:rPr>
                <w:sz w:val="22"/>
                <w:szCs w:val="22"/>
                <w:lang w:val="pt-PT"/>
              </w:rPr>
            </w:pPr>
            <w:r w:rsidRPr="00B94831">
              <w:rPr>
                <w:sz w:val="22"/>
                <w:szCs w:val="22"/>
                <w:lang w:val="pt-PT"/>
              </w:rPr>
              <w:t>01/02/2023</w:t>
            </w:r>
          </w:p>
        </w:tc>
      </w:tr>
    </w:tbl>
    <w:p w:rsidR="00B94831" w:rsidRPr="00B94831" w:rsidRDefault="00B94831" w:rsidP="00B94831">
      <w:pPr>
        <w:widowControl/>
        <w:autoSpaceDE w:val="0"/>
        <w:autoSpaceDN w:val="0"/>
        <w:spacing w:line="256" w:lineRule="auto"/>
        <w:jc w:val="center"/>
        <w:rPr>
          <w:lang w:val="pt-PT" w:eastAsia="en-US"/>
        </w:rPr>
      </w:pPr>
      <w:r w:rsidRPr="00B94831">
        <w:rPr>
          <w:lang w:val="pt-PT" w:eastAsia="en-US"/>
        </w:rPr>
        <w:t>Fonte: Autores (2023).</w:t>
      </w:r>
    </w:p>
    <w:p w:rsidR="00B94831" w:rsidRPr="00B94831" w:rsidRDefault="00B94831" w:rsidP="00B94831">
      <w:pPr>
        <w:widowControl/>
        <w:tabs>
          <w:tab w:val="left" w:pos="960"/>
          <w:tab w:val="left" w:pos="31680"/>
        </w:tabs>
        <w:autoSpaceDE w:val="0"/>
        <w:autoSpaceDN w:val="0"/>
        <w:spacing w:after="100" w:afterAutospacing="1" w:line="257" w:lineRule="auto"/>
        <w:jc w:val="both"/>
        <w:rPr>
          <w:b/>
          <w:bCs/>
          <w:lang w:val="pt-PT" w:eastAsia="en-US"/>
        </w:rPr>
      </w:pPr>
    </w:p>
    <w:p w:rsidR="00B94831" w:rsidRPr="00B94831" w:rsidRDefault="00B94831" w:rsidP="00B94831">
      <w:pPr>
        <w:widowControl/>
        <w:tabs>
          <w:tab w:val="left" w:pos="960"/>
          <w:tab w:val="left" w:pos="31680"/>
        </w:tabs>
        <w:autoSpaceDE w:val="0"/>
        <w:autoSpaceDN w:val="0"/>
        <w:spacing w:after="100" w:afterAutospacing="1" w:line="257" w:lineRule="auto"/>
        <w:jc w:val="both"/>
        <w:rPr>
          <w:b/>
          <w:bCs/>
          <w:sz w:val="24"/>
          <w:szCs w:val="24"/>
          <w:lang w:eastAsia="en-US"/>
        </w:rPr>
      </w:pPr>
      <w:r w:rsidRPr="00B94831">
        <w:rPr>
          <w:b/>
          <w:bCs/>
          <w:sz w:val="24"/>
          <w:szCs w:val="24"/>
          <w:lang w:val="pt-PT" w:eastAsia="en-US"/>
        </w:rPr>
        <w:t>4. CONSIDERAÇÕES FINAIS</w:t>
      </w:r>
    </w:p>
    <w:p w:rsidR="00B94831" w:rsidRPr="00B94831" w:rsidRDefault="00B94831" w:rsidP="00B94831">
      <w:pPr>
        <w:widowControl/>
        <w:tabs>
          <w:tab w:val="left" w:pos="960"/>
          <w:tab w:val="left" w:pos="31680"/>
        </w:tabs>
        <w:autoSpaceDE w:val="0"/>
        <w:autoSpaceDN w:val="0"/>
        <w:spacing w:line="360" w:lineRule="auto"/>
        <w:jc w:val="both"/>
        <w:rPr>
          <w:sz w:val="24"/>
          <w:szCs w:val="24"/>
          <w:lang w:val="pt-PT" w:eastAsia="en-US"/>
        </w:rPr>
      </w:pPr>
      <w:r w:rsidRPr="00B94831">
        <w:rPr>
          <w:sz w:val="24"/>
          <w:szCs w:val="24"/>
          <w:lang w:val="pt-PT" w:eastAsia="en-US"/>
        </w:rPr>
        <w:tab/>
        <w:t>O estágio supervisionado realizado na empresa AGROVIDA proporcionou uma vivência ampla e integrada das principais atividades relacionadas à dinâmica de consultoria ambiental e o contexto agropecuário no sudeste paraense. As experiências adquiridas permitiram articular, de maneira prática, os conhecimentos teóricos construídos ao longo da graduação em engenharia florestal, especialmente nas áreas de geoprocessamento, regularização ambiental, georreferenciamento e manejo de vegetação secundária.</w:t>
      </w:r>
    </w:p>
    <w:p w:rsidR="00B94831" w:rsidRPr="00B94831" w:rsidRDefault="00B94831" w:rsidP="00B94831">
      <w:pPr>
        <w:widowControl/>
        <w:tabs>
          <w:tab w:val="left" w:pos="960"/>
          <w:tab w:val="left" w:pos="31680"/>
        </w:tabs>
        <w:autoSpaceDE w:val="0"/>
        <w:autoSpaceDN w:val="0"/>
        <w:spacing w:line="360" w:lineRule="auto"/>
        <w:jc w:val="both"/>
        <w:rPr>
          <w:sz w:val="24"/>
          <w:szCs w:val="24"/>
          <w:lang w:val="pt-PT" w:eastAsia="en-US"/>
        </w:rPr>
      </w:pPr>
      <w:r w:rsidRPr="00B94831">
        <w:rPr>
          <w:sz w:val="24"/>
          <w:szCs w:val="24"/>
          <w:lang w:val="pt-PT" w:eastAsia="en-US"/>
        </w:rPr>
        <w:tab/>
        <w:t xml:space="preserve">As atividades desenvolvidas contribuíram para o aprimoramento técnico e para a consolidação de habilidades essenciais ao exercício profissional do engenheiro florestal, todas as temáticas propostas reafirmaram a importância do estágio não com apenas mais uma disciplina, mas efetivamente como instrumento formativo indispensável. Além disso, o contato direto com os produtores rurais e os desafios enfrentados em seu dia a dia reforçou a necessidade de atuação ética, humanizada e tecnicamente qualificada, reafirmando o compromisso com a promoção do desenvolvimento sustentável e da gestão ambiental nas comunidades de Itupiranga e região. </w:t>
      </w:r>
    </w:p>
    <w:p w:rsidR="00B94831" w:rsidRPr="00B94831" w:rsidRDefault="00B94831" w:rsidP="00B94831">
      <w:pPr>
        <w:widowControl/>
        <w:tabs>
          <w:tab w:val="left" w:pos="960"/>
          <w:tab w:val="left" w:pos="31680"/>
        </w:tabs>
        <w:autoSpaceDE w:val="0"/>
        <w:autoSpaceDN w:val="0"/>
        <w:spacing w:line="360" w:lineRule="auto"/>
        <w:jc w:val="both"/>
        <w:rPr>
          <w:sz w:val="24"/>
          <w:szCs w:val="24"/>
          <w:lang w:val="pt-PT" w:eastAsia="en-US"/>
        </w:rPr>
      </w:pPr>
    </w:p>
    <w:p w:rsidR="00B94831" w:rsidRPr="00B94831" w:rsidRDefault="00B94831" w:rsidP="00B94831">
      <w:pPr>
        <w:widowControl/>
        <w:tabs>
          <w:tab w:val="left" w:pos="960"/>
          <w:tab w:val="left" w:pos="31680"/>
        </w:tabs>
        <w:autoSpaceDE w:val="0"/>
        <w:autoSpaceDN w:val="0"/>
        <w:spacing w:line="360" w:lineRule="auto"/>
        <w:jc w:val="both"/>
        <w:rPr>
          <w:sz w:val="24"/>
          <w:szCs w:val="24"/>
          <w:lang w:val="pt-PT" w:eastAsia="en-US"/>
        </w:rPr>
      </w:pPr>
    </w:p>
    <w:p w:rsidR="00B94831" w:rsidRDefault="00B94831" w:rsidP="00B94831">
      <w:pPr>
        <w:widowControl/>
        <w:tabs>
          <w:tab w:val="left" w:pos="960"/>
          <w:tab w:val="left" w:pos="31680"/>
        </w:tabs>
        <w:autoSpaceDE w:val="0"/>
        <w:autoSpaceDN w:val="0"/>
        <w:spacing w:line="256" w:lineRule="auto"/>
        <w:jc w:val="both"/>
        <w:rPr>
          <w:b/>
          <w:bCs/>
          <w:lang w:val="pt-PT" w:eastAsia="en-US"/>
        </w:rPr>
      </w:pPr>
    </w:p>
    <w:p w:rsidR="002F555B" w:rsidRDefault="002F555B" w:rsidP="00B94831">
      <w:pPr>
        <w:widowControl/>
        <w:tabs>
          <w:tab w:val="left" w:pos="960"/>
          <w:tab w:val="left" w:pos="31680"/>
        </w:tabs>
        <w:autoSpaceDE w:val="0"/>
        <w:autoSpaceDN w:val="0"/>
        <w:spacing w:line="256" w:lineRule="auto"/>
        <w:jc w:val="both"/>
        <w:rPr>
          <w:b/>
          <w:bCs/>
          <w:lang w:val="pt-PT" w:eastAsia="en-US"/>
        </w:rPr>
      </w:pPr>
    </w:p>
    <w:p w:rsidR="002F555B" w:rsidRDefault="002F555B" w:rsidP="00B94831">
      <w:pPr>
        <w:widowControl/>
        <w:tabs>
          <w:tab w:val="left" w:pos="960"/>
          <w:tab w:val="left" w:pos="31680"/>
        </w:tabs>
        <w:autoSpaceDE w:val="0"/>
        <w:autoSpaceDN w:val="0"/>
        <w:spacing w:line="256" w:lineRule="auto"/>
        <w:jc w:val="both"/>
        <w:rPr>
          <w:b/>
          <w:bCs/>
          <w:lang w:val="pt-PT" w:eastAsia="en-US"/>
        </w:rPr>
      </w:pPr>
    </w:p>
    <w:p w:rsidR="002F555B" w:rsidRDefault="002F555B" w:rsidP="00B94831">
      <w:pPr>
        <w:widowControl/>
        <w:tabs>
          <w:tab w:val="left" w:pos="960"/>
          <w:tab w:val="left" w:pos="31680"/>
        </w:tabs>
        <w:autoSpaceDE w:val="0"/>
        <w:autoSpaceDN w:val="0"/>
        <w:spacing w:line="256" w:lineRule="auto"/>
        <w:jc w:val="both"/>
        <w:rPr>
          <w:b/>
          <w:bCs/>
          <w:lang w:val="pt-PT" w:eastAsia="en-US"/>
        </w:rPr>
      </w:pPr>
    </w:p>
    <w:p w:rsidR="002F555B" w:rsidRDefault="002F555B" w:rsidP="00B94831">
      <w:pPr>
        <w:widowControl/>
        <w:tabs>
          <w:tab w:val="left" w:pos="960"/>
          <w:tab w:val="left" w:pos="31680"/>
        </w:tabs>
        <w:autoSpaceDE w:val="0"/>
        <w:autoSpaceDN w:val="0"/>
        <w:spacing w:line="256" w:lineRule="auto"/>
        <w:jc w:val="both"/>
        <w:rPr>
          <w:b/>
          <w:bCs/>
          <w:lang w:val="pt-PT" w:eastAsia="en-US"/>
        </w:rPr>
      </w:pPr>
    </w:p>
    <w:p w:rsidR="002F555B" w:rsidRPr="00B94831" w:rsidRDefault="002F555B" w:rsidP="00B94831">
      <w:pPr>
        <w:widowControl/>
        <w:tabs>
          <w:tab w:val="left" w:pos="960"/>
          <w:tab w:val="left" w:pos="31680"/>
        </w:tabs>
        <w:autoSpaceDE w:val="0"/>
        <w:autoSpaceDN w:val="0"/>
        <w:spacing w:line="256" w:lineRule="auto"/>
        <w:jc w:val="both"/>
        <w:rPr>
          <w:b/>
          <w:bCs/>
          <w:lang w:val="pt-PT" w:eastAsia="en-US"/>
        </w:rPr>
      </w:pPr>
    </w:p>
    <w:p w:rsidR="00B94831" w:rsidRPr="00B94831" w:rsidRDefault="00B94831" w:rsidP="00B94831">
      <w:pPr>
        <w:widowControl/>
        <w:tabs>
          <w:tab w:val="left" w:pos="960"/>
          <w:tab w:val="left" w:pos="31680"/>
        </w:tabs>
        <w:autoSpaceDE w:val="0"/>
        <w:autoSpaceDN w:val="0"/>
        <w:spacing w:after="100" w:afterAutospacing="1" w:line="257" w:lineRule="auto"/>
        <w:rPr>
          <w:b/>
          <w:bCs/>
          <w:sz w:val="24"/>
          <w:szCs w:val="24"/>
          <w:lang w:val="pt-PT" w:eastAsia="en-US"/>
        </w:rPr>
      </w:pPr>
      <w:r w:rsidRPr="00B94831">
        <w:rPr>
          <w:b/>
          <w:bCs/>
          <w:sz w:val="24"/>
          <w:szCs w:val="24"/>
          <w:lang w:val="pt-PT" w:eastAsia="en-US"/>
        </w:rPr>
        <w:lastRenderedPageBreak/>
        <w:t xml:space="preserve">REFERÊNCIAS </w:t>
      </w:r>
      <w:bookmarkStart w:id="0" w:name="_enwfdpposwbx"/>
      <w:bookmarkEnd w:id="0"/>
    </w:p>
    <w:p w:rsidR="00B94831" w:rsidRPr="00B94831" w:rsidRDefault="00B94831" w:rsidP="00B94831">
      <w:pPr>
        <w:widowControl/>
        <w:spacing w:before="100" w:beforeAutospacing="1" w:after="240" w:afterAutospacing="1"/>
        <w:rPr>
          <w:color w:val="000000"/>
          <w:sz w:val="24"/>
          <w:szCs w:val="24"/>
        </w:rPr>
      </w:pPr>
      <w:r w:rsidRPr="00B94831">
        <w:rPr>
          <w:color w:val="000000"/>
          <w:sz w:val="24"/>
          <w:szCs w:val="24"/>
        </w:rPr>
        <w:t xml:space="preserve">ALENCAR, J.V.; SANCHES, K.L. A importância do estágio supervisionado na educação profissional técnica de nível médio. </w:t>
      </w:r>
      <w:r w:rsidRPr="00B94831">
        <w:rPr>
          <w:b/>
          <w:color w:val="000000"/>
          <w:sz w:val="24"/>
          <w:szCs w:val="24"/>
        </w:rPr>
        <w:t>Revista Educar Mais</w:t>
      </w:r>
      <w:r w:rsidRPr="00B94831">
        <w:rPr>
          <w:color w:val="000000"/>
          <w:sz w:val="24"/>
          <w:szCs w:val="24"/>
        </w:rPr>
        <w:t>, v. 6, p. 795–812, 2022.</w:t>
      </w:r>
    </w:p>
    <w:p w:rsidR="00B94831" w:rsidRPr="00B94831" w:rsidRDefault="00B94831" w:rsidP="00B94831">
      <w:pPr>
        <w:widowControl/>
        <w:spacing w:before="100" w:beforeAutospacing="1" w:after="240" w:afterAutospacing="1"/>
        <w:rPr>
          <w:color w:val="000000"/>
          <w:sz w:val="24"/>
          <w:szCs w:val="24"/>
        </w:rPr>
      </w:pPr>
      <w:r w:rsidRPr="00B94831">
        <w:rPr>
          <w:color w:val="000000"/>
          <w:sz w:val="24"/>
          <w:szCs w:val="24"/>
        </w:rPr>
        <w:t xml:space="preserve">BONESS, F.J. Relatório de estágio curricular obrigatório supervisionado. 2020. </w:t>
      </w:r>
      <w:r w:rsidRPr="00B94831">
        <w:rPr>
          <w:b/>
          <w:color w:val="000000"/>
          <w:sz w:val="24"/>
          <w:szCs w:val="24"/>
        </w:rPr>
        <w:t>Instituto Federal de Santa Catarina, Câmpus São Miguel do Oeste</w:t>
      </w:r>
      <w:r w:rsidRPr="00B94831">
        <w:rPr>
          <w:color w:val="000000"/>
          <w:sz w:val="24"/>
          <w:szCs w:val="24"/>
        </w:rPr>
        <w:t>, Santa Catarina, 2020.</w:t>
      </w:r>
    </w:p>
    <w:p w:rsidR="00B94831" w:rsidRPr="00B94831" w:rsidRDefault="00B94831" w:rsidP="00B94831">
      <w:pPr>
        <w:widowControl/>
        <w:spacing w:before="100" w:beforeAutospacing="1" w:after="240" w:afterAutospacing="1"/>
        <w:rPr>
          <w:color w:val="000000"/>
          <w:sz w:val="24"/>
          <w:szCs w:val="24"/>
        </w:rPr>
      </w:pPr>
      <w:r w:rsidRPr="00B94831">
        <w:rPr>
          <w:color w:val="000000"/>
          <w:sz w:val="24"/>
          <w:szCs w:val="24"/>
        </w:rPr>
        <w:t>BRASIL</w:t>
      </w:r>
      <w:r w:rsidRPr="00B94831">
        <w:rPr>
          <w:b/>
          <w:color w:val="000000"/>
          <w:sz w:val="24"/>
          <w:szCs w:val="24"/>
        </w:rPr>
        <w:t>. Decreto n° 89.817, de 20 de junho de 1984</w:t>
      </w:r>
      <w:r w:rsidRPr="00B94831">
        <w:rPr>
          <w:color w:val="000000"/>
          <w:sz w:val="24"/>
          <w:szCs w:val="24"/>
        </w:rPr>
        <w:t xml:space="preserve">. Estabelece as Instruções Reguladoras das Normas Técnicas da Cartografia Nacional. Disponível em: </w:t>
      </w:r>
      <w:hyperlink r:id="rId8" w:history="1">
        <w:r w:rsidRPr="00B94831">
          <w:rPr>
            <w:color w:val="0000FF"/>
            <w:sz w:val="24"/>
            <w:szCs w:val="24"/>
            <w:u w:val="single"/>
          </w:rPr>
          <w:t>https://www.planalto.gov.br/ccivil_03/decreto/1980-1989/d89817.htm</w:t>
        </w:r>
      </w:hyperlink>
      <w:r w:rsidRPr="00B94831">
        <w:rPr>
          <w:color w:val="000000"/>
          <w:sz w:val="24"/>
          <w:szCs w:val="24"/>
        </w:rPr>
        <w:t xml:space="preserve"> . Acesso em: 2 dez. 2025.</w:t>
      </w:r>
    </w:p>
    <w:p w:rsidR="00B94831" w:rsidRPr="00B94831" w:rsidRDefault="00B94831" w:rsidP="00B94831">
      <w:pPr>
        <w:widowControl/>
        <w:spacing w:before="100" w:beforeAutospacing="1" w:after="240" w:afterAutospacing="1"/>
        <w:rPr>
          <w:color w:val="000000"/>
          <w:sz w:val="24"/>
          <w:szCs w:val="24"/>
        </w:rPr>
      </w:pPr>
      <w:r w:rsidRPr="00B94831">
        <w:rPr>
          <w:color w:val="000000"/>
          <w:sz w:val="24"/>
          <w:szCs w:val="24"/>
        </w:rPr>
        <w:t xml:space="preserve">BRASIL. </w:t>
      </w:r>
      <w:r w:rsidRPr="00B94831">
        <w:rPr>
          <w:b/>
          <w:color w:val="000000"/>
          <w:sz w:val="24"/>
          <w:szCs w:val="24"/>
        </w:rPr>
        <w:t>Lei nº 11.788, de 25 de setembro de 2008</w:t>
      </w:r>
      <w:r w:rsidRPr="00B94831">
        <w:rPr>
          <w:color w:val="000000"/>
          <w:sz w:val="24"/>
          <w:szCs w:val="24"/>
        </w:rPr>
        <w:t xml:space="preserve">. Dispõe sobre o estágio de estudantes. Disponível em: </w:t>
      </w:r>
      <w:hyperlink r:id="rId9" w:history="1">
        <w:r w:rsidRPr="00B94831">
          <w:rPr>
            <w:color w:val="0000FF"/>
            <w:sz w:val="24"/>
            <w:szCs w:val="24"/>
            <w:u w:val="single"/>
          </w:rPr>
          <w:t>https://www.planalto.gov.br/ccivil_03/_ato2007-2010/2008/lei/l11788.htm</w:t>
        </w:r>
      </w:hyperlink>
      <w:r w:rsidRPr="00B94831">
        <w:rPr>
          <w:color w:val="000000"/>
          <w:sz w:val="24"/>
          <w:szCs w:val="24"/>
        </w:rPr>
        <w:t>. Acesso em: 09 fev. 2022.</w:t>
      </w:r>
    </w:p>
    <w:p w:rsidR="00B94831" w:rsidRPr="00B94831" w:rsidRDefault="00B94831" w:rsidP="00B94831">
      <w:pPr>
        <w:widowControl/>
        <w:spacing w:before="100" w:beforeAutospacing="1" w:after="240" w:afterAutospacing="1"/>
        <w:rPr>
          <w:color w:val="000000"/>
          <w:sz w:val="24"/>
          <w:szCs w:val="24"/>
        </w:rPr>
      </w:pPr>
      <w:r w:rsidRPr="00B94831">
        <w:rPr>
          <w:color w:val="000000"/>
          <w:sz w:val="24"/>
          <w:szCs w:val="24"/>
        </w:rPr>
        <w:t xml:space="preserve">BRASIL. Ministério da Educação. </w:t>
      </w:r>
      <w:r w:rsidRPr="00B94831">
        <w:rPr>
          <w:b/>
          <w:color w:val="000000"/>
          <w:sz w:val="24"/>
          <w:szCs w:val="24"/>
        </w:rPr>
        <w:t>Decreto nº 3/2006</w:t>
      </w:r>
      <w:r w:rsidRPr="00B94831">
        <w:rPr>
          <w:color w:val="000000"/>
          <w:sz w:val="24"/>
          <w:szCs w:val="24"/>
        </w:rPr>
        <w:t>. Institui as Diretrizes Curriculares Nacionais para o curso de Engenharia Florestal. Diário Oficial da União, 03 fev. 2006, p. 33-34.</w:t>
      </w:r>
    </w:p>
    <w:p w:rsidR="00B94831" w:rsidRPr="00B94831" w:rsidRDefault="00B94831" w:rsidP="00B94831">
      <w:pPr>
        <w:widowControl/>
        <w:spacing w:before="100" w:beforeAutospacing="1" w:after="240" w:afterAutospacing="1"/>
        <w:rPr>
          <w:color w:val="000000"/>
          <w:sz w:val="24"/>
          <w:szCs w:val="24"/>
        </w:rPr>
      </w:pPr>
      <w:r w:rsidRPr="00B94831">
        <w:rPr>
          <w:color w:val="000000"/>
          <w:sz w:val="24"/>
          <w:szCs w:val="24"/>
        </w:rPr>
        <w:t xml:space="preserve">BRASIL. Ministério do Meio Ambiente. </w:t>
      </w:r>
      <w:r w:rsidRPr="00B94831">
        <w:rPr>
          <w:b/>
          <w:color w:val="000000"/>
          <w:sz w:val="24"/>
          <w:szCs w:val="24"/>
        </w:rPr>
        <w:t>Instrução Normativa nº 2, de 06 de maio de 2014</w:t>
      </w:r>
      <w:r w:rsidRPr="00B94831">
        <w:rPr>
          <w:color w:val="000000"/>
          <w:sz w:val="24"/>
          <w:szCs w:val="24"/>
        </w:rPr>
        <w:t>. Dispõe sobre os procedimentos do SICAR e CAR. Disponível em: http://www.car.gov.br/leis/IN_CAR.pdf. Acesso em: 29 jan. 2023.</w:t>
      </w:r>
    </w:p>
    <w:p w:rsidR="00B94831" w:rsidRPr="00B94831" w:rsidRDefault="00B94831" w:rsidP="00B94831">
      <w:pPr>
        <w:widowControl/>
        <w:spacing w:before="100" w:beforeAutospacing="1" w:after="240" w:afterAutospacing="1"/>
        <w:rPr>
          <w:color w:val="000000"/>
          <w:sz w:val="24"/>
          <w:szCs w:val="24"/>
        </w:rPr>
      </w:pPr>
      <w:r w:rsidRPr="00B94831">
        <w:rPr>
          <w:color w:val="000000"/>
          <w:sz w:val="24"/>
          <w:szCs w:val="24"/>
        </w:rPr>
        <w:t xml:space="preserve">COIMBRA, J.K.S. et al. Estágios sucessionais de florestas secundárias: sistema capoeira classe. </w:t>
      </w:r>
      <w:r w:rsidRPr="00B94831">
        <w:rPr>
          <w:b/>
          <w:color w:val="000000"/>
          <w:sz w:val="24"/>
          <w:szCs w:val="24"/>
        </w:rPr>
        <w:t>Ciências Florestais e Ambientais</w:t>
      </w:r>
      <w:r w:rsidRPr="00B94831">
        <w:rPr>
          <w:color w:val="000000"/>
          <w:sz w:val="24"/>
          <w:szCs w:val="24"/>
        </w:rPr>
        <w:t>, v. 1, n. 1, p. 28–51, 2023.</w:t>
      </w:r>
    </w:p>
    <w:p w:rsidR="00B94831" w:rsidRPr="00B94831" w:rsidRDefault="00B94831" w:rsidP="00B94831">
      <w:pPr>
        <w:widowControl/>
        <w:spacing w:before="100" w:beforeAutospacing="1" w:after="240" w:afterAutospacing="1"/>
        <w:rPr>
          <w:color w:val="000000"/>
          <w:sz w:val="24"/>
          <w:szCs w:val="24"/>
        </w:rPr>
      </w:pPr>
      <w:r w:rsidRPr="00B94831">
        <w:rPr>
          <w:color w:val="000000"/>
          <w:sz w:val="24"/>
          <w:szCs w:val="24"/>
        </w:rPr>
        <w:t xml:space="preserve">GIORGIO, J.F.; NETO, N.C.R. Estágio supervisionado na formação do engenheiro civil: relato de experiências. </w:t>
      </w:r>
      <w:r w:rsidRPr="00B94831">
        <w:rPr>
          <w:b/>
          <w:color w:val="000000"/>
          <w:sz w:val="24"/>
          <w:szCs w:val="24"/>
        </w:rPr>
        <w:t>Cadernos Camilliani</w:t>
      </w:r>
      <w:r w:rsidRPr="00B94831">
        <w:rPr>
          <w:color w:val="000000"/>
          <w:sz w:val="24"/>
          <w:szCs w:val="24"/>
        </w:rPr>
        <w:t>, v. 18, n. 4, p. 3307–3326, 2021.</w:t>
      </w:r>
    </w:p>
    <w:p w:rsidR="00B94831" w:rsidRPr="00B94831" w:rsidRDefault="00B94831" w:rsidP="00B94831">
      <w:pPr>
        <w:widowControl/>
        <w:spacing w:before="100" w:beforeAutospacing="1" w:after="240" w:afterAutospacing="1"/>
        <w:rPr>
          <w:color w:val="000000"/>
          <w:sz w:val="24"/>
          <w:szCs w:val="24"/>
        </w:rPr>
      </w:pPr>
      <w:r w:rsidRPr="00B94831">
        <w:rPr>
          <w:color w:val="000000"/>
          <w:sz w:val="24"/>
          <w:szCs w:val="24"/>
        </w:rPr>
        <w:t>INSTITUTO NACIONAL DE COLONIZAÇÃO E REFORMA AGRÁRIA – INCRA. Norma técnica para georreferenciamento de imóveis rurais. 3. ed. Brasília, DF: INCRA, 2013.</w:t>
      </w:r>
    </w:p>
    <w:p w:rsidR="00B94831" w:rsidRPr="00B94831" w:rsidRDefault="00B94831" w:rsidP="00B94831">
      <w:pPr>
        <w:widowControl/>
        <w:spacing w:after="240"/>
        <w:rPr>
          <w:color w:val="000000"/>
          <w:sz w:val="24"/>
          <w:szCs w:val="24"/>
        </w:rPr>
      </w:pPr>
      <w:r w:rsidRPr="00B94831">
        <w:rPr>
          <w:color w:val="000000"/>
          <w:sz w:val="24"/>
          <w:szCs w:val="24"/>
        </w:rPr>
        <w:t xml:space="preserve">PARÁ. Secretaria de Estado de Meio Ambiente e Sustentabilidade. </w:t>
      </w:r>
      <w:r w:rsidRPr="00B94831">
        <w:rPr>
          <w:b/>
          <w:color w:val="000000"/>
          <w:sz w:val="24"/>
          <w:szCs w:val="24"/>
        </w:rPr>
        <w:t>Instrução Normativa n° 8, de 28 de outubro de 2015</w:t>
      </w:r>
      <w:r w:rsidRPr="00B94831">
        <w:rPr>
          <w:color w:val="000000"/>
          <w:sz w:val="24"/>
          <w:szCs w:val="24"/>
        </w:rPr>
        <w:t xml:space="preserve">. Define procedimentos administrativos para a realização de limpeza e autorização de supressão... Disponível em: </w:t>
      </w:r>
      <w:bookmarkStart w:id="1" w:name="_GoBack"/>
      <w:bookmarkEnd w:id="1"/>
      <w:r w:rsidRPr="00B94831">
        <w:rPr>
          <w:color w:val="000000"/>
          <w:sz w:val="24"/>
          <w:szCs w:val="24"/>
        </w:rPr>
        <w:t>https://www.semas.pa.gov.br/legislacao/publico/view/188. Acesso em: 2 dez. 2025.</w:t>
      </w:r>
    </w:p>
    <w:p w:rsidR="00C97212" w:rsidRDefault="00C97212">
      <w:pPr>
        <w:pBdr>
          <w:bottom w:val="none" w:sz="0" w:space="8" w:color="000000"/>
        </w:pBdr>
        <w:shd w:val="clear" w:color="auto" w:fill="FFFFFF"/>
        <w:tabs>
          <w:tab w:val="left" w:pos="2500"/>
        </w:tabs>
        <w:jc w:val="center"/>
        <w:rPr>
          <w:b/>
          <w:bCs/>
          <w:sz w:val="24"/>
          <w:szCs w:val="24"/>
        </w:rPr>
      </w:pPr>
    </w:p>
    <w:sectPr w:rsidR="00C97212">
      <w:headerReference w:type="default" r:id="rId10"/>
      <w:footerReference w:type="default" r:id="rId11"/>
      <w:pgSz w:w="11910" w:h="16840"/>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94D" w:rsidRDefault="0035494D">
      <w:r>
        <w:separator/>
      </w:r>
    </w:p>
  </w:endnote>
  <w:endnote w:type="continuationSeparator" w:id="0">
    <w:p w:rsidR="0035494D" w:rsidRDefault="00354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auto"/>
    <w:pitch w:val="default"/>
    <w:embedItalic r:id="rId1" w:fontKey="{EED01BFA-4C02-407E-8BAA-55DDCF0CE07C}"/>
  </w:font>
  <w:font w:name="Segoe UI">
    <w:panose1 w:val="020B0502040204020203"/>
    <w:charset w:val="00"/>
    <w:family w:val="swiss"/>
    <w:pitch w:val="variable"/>
    <w:sig w:usb0="E4002EFF" w:usb1="C000E47F" w:usb2="00000009" w:usb3="00000000" w:csb0="000001FF" w:csb1="00000000"/>
    <w:embedRegular r:id="rId2" w:fontKey="{73C36D6F-F34D-44E5-8A90-3CF2AE90CF47}"/>
  </w:font>
  <w:font w:name="Calibri">
    <w:panose1 w:val="020F0502020204030204"/>
    <w:charset w:val="00"/>
    <w:family w:val="swiss"/>
    <w:pitch w:val="variable"/>
    <w:sig w:usb0="E00002FF" w:usb1="4000ACFF" w:usb2="00000001" w:usb3="00000000" w:csb0="0000019F" w:csb1="00000000"/>
    <w:embedRegular r:id="rId3" w:fontKey="{6120FBBC-5C72-4750-95E3-E4548A1D0874}"/>
  </w:font>
  <w:font w:name="Cambria">
    <w:panose1 w:val="02040503050406030204"/>
    <w:charset w:val="00"/>
    <w:family w:val="roman"/>
    <w:pitch w:val="variable"/>
    <w:sig w:usb0="E00006FF" w:usb1="420024FF" w:usb2="02000000" w:usb3="00000000" w:csb0="0000019F" w:csb1="00000000"/>
    <w:embedRegular r:id="rId4" w:fontKey="{96B87885-2462-47D3-AB2B-EED74F2ADF4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212" w:rsidRDefault="0035494D">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3175</wp:posOffset>
          </wp:positionV>
          <wp:extent cx="600075" cy="191770"/>
          <wp:effectExtent l="0" t="0" r="0" b="0"/>
          <wp:wrapSquare wrapText="bothSides" distT="0" distB="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600075" cy="19177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850900</wp:posOffset>
          </wp:positionH>
          <wp:positionV relativeFrom="paragraph">
            <wp:posOffset>118745</wp:posOffset>
          </wp:positionV>
          <wp:extent cx="1231265" cy="384175"/>
          <wp:effectExtent l="0" t="0" r="0" b="0"/>
          <wp:wrapSquare wrapText="bothSides" distT="0" distB="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231265" cy="38417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419100" cy="24193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3139440</wp:posOffset>
          </wp:positionH>
          <wp:positionV relativeFrom="paragraph">
            <wp:posOffset>139065</wp:posOffset>
          </wp:positionV>
          <wp:extent cx="542290" cy="38417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42290" cy="384175"/>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3910965</wp:posOffset>
          </wp:positionH>
          <wp:positionV relativeFrom="paragraph">
            <wp:posOffset>142875</wp:posOffset>
          </wp:positionV>
          <wp:extent cx="914400" cy="353695"/>
          <wp:effectExtent l="0" t="0" r="0" b="0"/>
          <wp:wrapSquare wrapText="bothSides" distT="0" distB="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914400" cy="353695"/>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5006340</wp:posOffset>
          </wp:positionH>
          <wp:positionV relativeFrom="paragraph">
            <wp:posOffset>148590</wp:posOffset>
          </wp:positionV>
          <wp:extent cx="756285" cy="335280"/>
          <wp:effectExtent l="0" t="0" r="0" b="0"/>
          <wp:wrapSquare wrapText="bothSides" distT="0" distB="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756285" cy="3352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94D" w:rsidRDefault="0035494D">
      <w:r>
        <w:separator/>
      </w:r>
    </w:p>
  </w:footnote>
  <w:footnote w:type="continuationSeparator" w:id="0">
    <w:p w:rsidR="0035494D" w:rsidRDefault="0035494D">
      <w:r>
        <w:continuationSeparator/>
      </w:r>
    </w:p>
  </w:footnote>
  <w:footnote w:id="1">
    <w:p w:rsidR="00B94831" w:rsidRPr="00F033A8" w:rsidRDefault="00B94831" w:rsidP="00B94831">
      <w:pPr>
        <w:pStyle w:val="Textodenotaderodap"/>
        <w:rPr>
          <w:lang w:val="pt-BR"/>
        </w:rPr>
      </w:pPr>
      <w:r>
        <w:rPr>
          <w:rStyle w:val="Refdenotaderodap"/>
        </w:rPr>
        <w:footnoteRef/>
      </w:r>
      <w:r>
        <w:t xml:space="preserve"> </w:t>
      </w:r>
      <w:r w:rsidRPr="00F033A8">
        <w:t>Programa de Monitoramento do Desmatamento na Amazônia</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212" w:rsidRDefault="0035494D">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extent cx="3253105" cy="1610360"/>
          <wp:effectExtent l="0" t="0" r="0" b="0"/>
          <wp:docPr id="4" name="image3.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 nome da empresa&#10;&#10;O conteúdo gerado por IA pode estar incorreto."/>
                  <pic:cNvPicPr preferRelativeResize="0"/>
                </pic:nvPicPr>
                <pic:blipFill>
                  <a:blip r:embed="rId1"/>
                  <a:srcRect l="2865" t="33993" r="-2171" b="26667"/>
                  <a:stretch>
                    <a:fillRect/>
                  </a:stretch>
                </pic:blipFill>
                <pic:spPr>
                  <a:xfrm>
                    <a:off x="0" y="0"/>
                    <a:ext cx="3253105" cy="16103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212"/>
    <w:rsid w:val="002F555B"/>
    <w:rsid w:val="0035494D"/>
    <w:rsid w:val="006977C6"/>
    <w:rsid w:val="00A23AE5"/>
    <w:rsid w:val="00B94831"/>
    <w:rsid w:val="00C97212"/>
    <w:rsid w:val="00FF44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7BD1D"/>
  <w15:docId w15:val="{010D4233-3273-4264-8B0F-CF262424C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B94831"/>
    <w:rPr>
      <w:rFonts w:ascii="Segoe UI" w:hAnsi="Segoe UI" w:cs="Segoe UI"/>
      <w:sz w:val="18"/>
      <w:szCs w:val="18"/>
    </w:rPr>
  </w:style>
  <w:style w:type="character" w:customStyle="1" w:styleId="TextodebaloChar">
    <w:name w:val="Texto de balão Char"/>
    <w:basedOn w:val="Fontepargpadro"/>
    <w:link w:val="Textodebalo"/>
    <w:uiPriority w:val="99"/>
    <w:semiHidden/>
    <w:rsid w:val="00B94831"/>
    <w:rPr>
      <w:rFonts w:ascii="Segoe UI" w:hAnsi="Segoe UI" w:cs="Segoe UI"/>
      <w:sz w:val="18"/>
      <w:szCs w:val="18"/>
    </w:rPr>
  </w:style>
  <w:style w:type="table" w:customStyle="1" w:styleId="Style12">
    <w:name w:val="_Style 12"/>
    <w:basedOn w:val="Tabelanormal"/>
    <w:rsid w:val="00B94831"/>
    <w:pPr>
      <w:widowControl/>
    </w:pPr>
    <w:rPr>
      <w:sz w:val="20"/>
      <w:szCs w:val="20"/>
    </w:rPr>
    <w:tblPr>
      <w:tblCellMar>
        <w:left w:w="0" w:type="dxa"/>
        <w:right w:w="0" w:type="dxa"/>
      </w:tblCellMar>
    </w:tbl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style>
  <w:style w:type="paragraph" w:styleId="Textodenotaderodap">
    <w:name w:val="footnote text"/>
    <w:basedOn w:val="Normal"/>
    <w:link w:val="TextodenotaderodapChar"/>
    <w:uiPriority w:val="99"/>
    <w:semiHidden/>
    <w:unhideWhenUsed/>
    <w:rsid w:val="00B94831"/>
    <w:pPr>
      <w:autoSpaceDE w:val="0"/>
      <w:autoSpaceDN w:val="0"/>
    </w:pPr>
    <w:rPr>
      <w:sz w:val="20"/>
      <w:szCs w:val="20"/>
      <w:lang w:val="pt-PT" w:eastAsia="en-US"/>
    </w:rPr>
  </w:style>
  <w:style w:type="character" w:customStyle="1" w:styleId="TextodenotaderodapChar">
    <w:name w:val="Texto de nota de rodapé Char"/>
    <w:basedOn w:val="Fontepargpadro"/>
    <w:link w:val="Textodenotaderodap"/>
    <w:uiPriority w:val="99"/>
    <w:semiHidden/>
    <w:rsid w:val="00B94831"/>
    <w:rPr>
      <w:sz w:val="20"/>
      <w:szCs w:val="20"/>
      <w:lang w:val="pt-PT" w:eastAsia="en-US"/>
    </w:rPr>
  </w:style>
  <w:style w:type="character" w:styleId="Refdenotaderodap">
    <w:name w:val="footnote reference"/>
    <w:basedOn w:val="Fontepargpadro"/>
    <w:uiPriority w:val="99"/>
    <w:semiHidden/>
    <w:unhideWhenUsed/>
    <w:rsid w:val="00B948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decreto/1980-1989/d89817.ht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planalto.gov.br/ccivil_03/_ato2007-2010/2008/lei/l11788.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Planilha_do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32871077682454"/>
          <c:y val="0.13252791930420463"/>
          <c:w val="0.37985083667067449"/>
          <c:h val="0.77229243403398107"/>
        </c:manualLayout>
      </c:layout>
      <c:pieChart>
        <c:varyColors val="1"/>
        <c:ser>
          <c:idx val="0"/>
          <c:order val="0"/>
          <c:tx>
            <c:strRef>
              <c:f>Planilha1!$B$1</c:f>
              <c:strCache>
                <c:ptCount val="1"/>
                <c:pt idx="0">
                  <c:v>Quantidade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F9-4EB2-8CB8-5B8965F7134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6F9-4EB2-8CB8-5B8965F7134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6F9-4EB2-8CB8-5B8965F71342}"/>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6F9-4EB2-8CB8-5B8965F71342}"/>
              </c:ext>
            </c:extLst>
          </c:dPt>
          <c:dLbls>
            <c:spPr>
              <a:noFill/>
              <a:ln>
                <a:noFill/>
              </a:ln>
              <a:effectLst/>
            </c:spPr>
            <c:txPr>
              <a:bodyPr rot="0" spcFirstLastPara="1" vertOverflow="ellipsis" vert="horz" wrap="square" lIns="38100" tIns="19050" rIns="38100" bIns="19050" anchor="ctr" anchorCtr="1">
                <a:spAutoFit/>
              </a:bodyPr>
              <a:lstStyle/>
              <a:p>
                <a:pPr>
                  <a:defRPr lang="pt-BR" sz="900" b="1" i="0" u="none" strike="noStrike" kern="1200" baseline="0">
                    <a:solidFill>
                      <a:schemeClr val="bg1"/>
                    </a:solidFill>
                    <a:latin typeface="Times New Roman" panose="02020603050405020304" pitchFamily="18" charset="0"/>
                    <a:ea typeface="+mn-ea"/>
                    <a:cs typeface="+mn-cs"/>
                  </a:defRPr>
                </a:pPr>
                <a:endParaRPr lang="pt-B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Planilha1!$A$2:$A$5</c:f>
              <c:strCache>
                <c:ptCount val="4"/>
                <c:pt idx="0">
                  <c:v>Cadastro ambiental Rural</c:v>
                </c:pt>
                <c:pt idx="1">
                  <c:v>Elaboração de Mapas</c:v>
                </c:pt>
                <c:pt idx="2">
                  <c:v>Georreferenciamento de Imóveis Rurais</c:v>
                </c:pt>
                <c:pt idx="3">
                  <c:v>Supressão de vegetação secundária</c:v>
                </c:pt>
              </c:strCache>
            </c:strRef>
          </c:cat>
          <c:val>
            <c:numRef>
              <c:f>Planilha1!$B$2:$B$5</c:f>
              <c:numCache>
                <c:formatCode>0%</c:formatCode>
                <c:ptCount val="4"/>
                <c:pt idx="0">
                  <c:v>0.18</c:v>
                </c:pt>
                <c:pt idx="1">
                  <c:v>0.48</c:v>
                </c:pt>
                <c:pt idx="2">
                  <c:v>0.25</c:v>
                </c:pt>
                <c:pt idx="3">
                  <c:v>0.1</c:v>
                </c:pt>
              </c:numCache>
            </c:numRef>
          </c:val>
          <c:extLst>
            <c:ext xmlns:c16="http://schemas.microsoft.com/office/drawing/2014/chart" uri="{C3380CC4-5D6E-409C-BE32-E72D297353CC}">
              <c16:uniqueId val="{00000008-86F9-4EB2-8CB8-5B8965F7134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201924965261695"/>
          <c:y val="0.15072253274040223"/>
          <c:w val="0.45420649628899717"/>
          <c:h val="0.69342618937338718"/>
        </c:manualLayout>
      </c:layout>
      <c:overlay val="0"/>
      <c:spPr>
        <a:noFill/>
        <a:ln>
          <a:noFill/>
        </a:ln>
        <a:effectLst/>
      </c:spPr>
      <c:txPr>
        <a:bodyPr rot="0" spcFirstLastPara="1" vertOverflow="ellipsis" vert="horz" wrap="square" anchor="ctr" anchorCtr="1"/>
        <a:lstStyle/>
        <a:p>
          <a:pPr>
            <a:defRPr lang="pt-BR" sz="1100" b="0" i="0" u="none" strike="noStrike" kern="1200" baseline="0">
              <a:solidFill>
                <a:sysClr val="windowText" lastClr="000000"/>
              </a:solidFill>
              <a:latin typeface="Times New Roman" panose="02020603050405020304" pitchFamily="18" charset="0"/>
              <a:ea typeface="+mn-ea"/>
              <a:cs typeface="+mn-cs"/>
            </a:defRPr>
          </a:pPr>
          <a:endParaRPr lang="pt-BR"/>
        </a:p>
      </c:txPr>
    </c:legend>
    <c:plotVisOnly val="1"/>
    <c:dispBlanksAs val="gap"/>
    <c:showDLblsOverMax val="0"/>
    <c:extLst>
      <c:ext uri="{0b15fc19-7d7d-44ad-8c2d-2c3a37ce22c3}">
        <chartProps xmlns="https://web.wps.cn/et/2018/main" chartId="{c0248010-586e-4b59-989f-c1ce17875b20}"/>
      </c:ext>
    </c:extLst>
  </c:chart>
  <c:spPr>
    <a:solidFill>
      <a:schemeClr val="bg1"/>
    </a:solidFill>
    <a:ln w="9525" cap="flat" cmpd="sng" algn="ctr">
      <a:noFill/>
      <a:round/>
    </a:ln>
    <a:effectLst/>
  </c:spPr>
  <c:txPr>
    <a:bodyPr/>
    <a:lstStyle/>
    <a:p>
      <a:pPr>
        <a:defRPr lang="pt-B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TotalTime>
  <Pages>9</Pages>
  <Words>2646</Words>
  <Characters>14289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Zetta</dc:creator>
  <cp:lastModifiedBy>Zetta</cp:lastModifiedBy>
  <cp:revision>5</cp:revision>
  <dcterms:created xsi:type="dcterms:W3CDTF">2025-12-02T22:14:00Z</dcterms:created>
  <dcterms:modified xsi:type="dcterms:W3CDTF">2025-12-02T22:28:00Z</dcterms:modified>
</cp:coreProperties>
</file>