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bottom w:color="000000" w:space="8" w:sz="0" w:val="none"/>
        </w:pBdr>
        <w:shd w:fill="ffffff" w:val="clear"/>
        <w:tabs>
          <w:tab w:val="left" w:leader="none" w:pos="2500"/>
        </w:tabs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PRESERVAÇÃO DA MEMÓRIA E EDUCAÇÃO PARA A BIODIVERSIDADE: UMA ANÁLISE DAS PRÁTICAS EXPOSITIVAS DO MUSEU DO MARAJÓ</w:t>
      </w:r>
    </w:p>
    <w:p w:rsidR="00000000" w:rsidDel="00000000" w:rsidP="00000000" w:rsidRDefault="00000000" w:rsidRPr="00000000" w14:paraId="00000002">
      <w:pPr>
        <w:pBdr>
          <w:bottom w:color="000000" w:space="8" w:sz="0" w:val="none"/>
        </w:pBdr>
        <w:shd w:fill="ffffff" w:val="clear"/>
        <w:tabs>
          <w:tab w:val="left" w:leader="none" w:pos="2500"/>
        </w:tabs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tabs>
          <w:tab w:val="left" w:leader="none" w:pos="2500"/>
        </w:tabs>
        <w:jc w:val="center"/>
        <w:rPr>
          <w:color w:val="ff0000"/>
          <w:sz w:val="24"/>
          <w:szCs w:val="24"/>
          <w:u w:val="single"/>
        </w:rPr>
      </w:pPr>
      <w:r w:rsidDel="00000000" w:rsidR="00000000" w:rsidRPr="00000000">
        <w:rPr>
          <w:sz w:val="24"/>
          <w:szCs w:val="24"/>
          <w:rtl w:val="0"/>
        </w:rPr>
        <w:t xml:space="preserve">Dyandra Alfaia Nascimento Rodrigues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1</w:t>
      </w:r>
      <w:r w:rsidDel="00000000" w:rsidR="00000000" w:rsidRPr="00000000">
        <w:rPr>
          <w:sz w:val="24"/>
          <w:szCs w:val="24"/>
          <w:rtl w:val="0"/>
        </w:rPr>
        <w:t xml:space="preserve">; Camilly Victória Lopes de Matos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sz w:val="24"/>
          <w:szCs w:val="24"/>
          <w:rtl w:val="0"/>
        </w:rPr>
        <w:t xml:space="preserve">; Willian Silva Barbosa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3</w:t>
      </w:r>
      <w:r w:rsidDel="00000000" w:rsidR="00000000" w:rsidRPr="00000000">
        <w:rPr>
          <w:sz w:val="24"/>
          <w:szCs w:val="24"/>
          <w:rtl w:val="0"/>
        </w:rPr>
        <w:t xml:space="preserve">; Jessica Silva da Silva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4</w:t>
      </w:r>
      <w:r w:rsidDel="00000000" w:rsidR="00000000" w:rsidRPr="00000000">
        <w:rPr>
          <w:sz w:val="24"/>
          <w:szCs w:val="24"/>
          <w:rtl w:val="0"/>
        </w:rPr>
        <w:t xml:space="preserve">; Jacirene Vasconcelos de Albuquerque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5</w:t>
      </w:r>
      <w:r w:rsidDel="00000000" w:rsidR="00000000" w:rsidRPr="00000000">
        <w:rPr>
          <w:sz w:val="24"/>
          <w:szCs w:val="24"/>
          <w:rtl w:val="0"/>
        </w:rPr>
        <w:t xml:space="preserve">; </w:t>
      </w:r>
      <w:r w:rsidDel="00000000" w:rsidR="00000000" w:rsidRPr="00000000">
        <w:rPr>
          <w:sz w:val="24"/>
          <w:szCs w:val="24"/>
          <w:u w:val="single"/>
          <w:rtl w:val="0"/>
        </w:rPr>
        <w:t xml:space="preserve">Sinaida Maria Vasconcelos</w:t>
      </w:r>
      <w:r w:rsidDel="00000000" w:rsidR="00000000" w:rsidRPr="00000000">
        <w:rPr>
          <w:sz w:val="24"/>
          <w:szCs w:val="24"/>
          <w:vertAlign w:val="superscript"/>
          <w:rtl w:val="0"/>
        </w:rPr>
        <w:t xml:space="preserve">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tabs>
          <w:tab w:val="left" w:leader="none" w:pos="2500"/>
        </w:tabs>
        <w:jc w:val="center"/>
        <w:rPr>
          <w:b w:val="1"/>
          <w:bCs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Lines w:val="1"/>
        <w:shd w:fill="ffffff" w:val="clear"/>
        <w:tabs>
          <w:tab w:val="left" w:leader="none" w:pos="2500"/>
        </w:tabs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superscript"/>
          <w:rtl w:val="0"/>
        </w:rPr>
        <w:t xml:space="preserve">1 </w:t>
      </w:r>
      <w:r w:rsidDel="00000000" w:rsidR="00000000" w:rsidRPr="00000000">
        <w:rPr>
          <w:sz w:val="24"/>
          <w:szCs w:val="24"/>
          <w:rtl w:val="0"/>
        </w:rPr>
        <w:t xml:space="preserve">Graduanda em Licenciatura em Ciências Biológicas. Universidade do Estado do Pará (UEPA). E-mail: diandra.alfaia@gmail.com.</w:t>
      </w:r>
    </w:p>
    <w:p w:rsidR="00000000" w:rsidDel="00000000" w:rsidP="00000000" w:rsidRDefault="00000000" w:rsidRPr="00000000" w14:paraId="00000006">
      <w:pPr>
        <w:keepLines w:val="1"/>
        <w:shd w:fill="ffffff" w:val="clear"/>
        <w:tabs>
          <w:tab w:val="left" w:leader="none" w:pos="2500"/>
        </w:tabs>
        <w:jc w:val="left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Lines w:val="1"/>
        <w:shd w:fill="ffffff" w:val="clear"/>
        <w:tabs>
          <w:tab w:val="left" w:leader="none" w:pos="2500"/>
        </w:tabs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vertAlign w:val="superscript"/>
          <w:rtl w:val="0"/>
        </w:rPr>
        <w:t xml:space="preserve">2  </w:t>
      </w:r>
      <w:r w:rsidDel="00000000" w:rsidR="00000000" w:rsidRPr="00000000">
        <w:rPr>
          <w:sz w:val="24"/>
          <w:szCs w:val="24"/>
          <w:rtl w:val="0"/>
        </w:rPr>
        <w:t xml:space="preserve">Graduanda em Licenciatura em Ciências Biológicas. Universidade do Estado do Pará (UEPA).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Lines w:val="1"/>
        <w:shd w:fill="ffffff" w:val="clear"/>
        <w:tabs>
          <w:tab w:val="left" w:leader="none" w:pos="2500"/>
        </w:tabs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Lines w:val="1"/>
        <w:shd w:fill="ffffff" w:val="clear"/>
        <w:tabs>
          <w:tab w:val="left" w:leader="none" w:pos="2500"/>
        </w:tabs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vertAlign w:val="superscript"/>
          <w:rtl w:val="0"/>
        </w:rPr>
        <w:t xml:space="preserve">3 </w:t>
      </w:r>
      <w:r w:rsidDel="00000000" w:rsidR="00000000" w:rsidRPr="00000000">
        <w:rPr>
          <w:sz w:val="24"/>
          <w:szCs w:val="24"/>
          <w:rtl w:val="0"/>
        </w:rPr>
        <w:t xml:space="preserve">Mestrando em Educação e Ensino de Ciências na Amazônia (PPGEECA). Universidade do Estado do Pará (UEPA).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Lines w:val="1"/>
        <w:shd w:fill="ffffff" w:val="clear"/>
        <w:tabs>
          <w:tab w:val="left" w:leader="none" w:pos="2500"/>
        </w:tabs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Lines w:val="1"/>
        <w:shd w:fill="ffffff" w:val="clear"/>
        <w:tabs>
          <w:tab w:val="left" w:leader="none" w:pos="2500"/>
        </w:tabs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superscript"/>
          <w:rtl w:val="0"/>
        </w:rPr>
        <w:t xml:space="preserve">4 </w:t>
      </w:r>
      <w:r w:rsidDel="00000000" w:rsidR="00000000" w:rsidRPr="00000000">
        <w:rPr>
          <w:sz w:val="24"/>
          <w:szCs w:val="24"/>
          <w:rtl w:val="0"/>
        </w:rPr>
        <w:t xml:space="preserve">Mestranda em Educação e Ensino de Ciências na Amazônia (PPGEECA). Universidade do Estado do Pará (UEPA).</w:t>
      </w:r>
    </w:p>
    <w:p w:rsidR="00000000" w:rsidDel="00000000" w:rsidP="00000000" w:rsidRDefault="00000000" w:rsidRPr="00000000" w14:paraId="0000000C">
      <w:pPr>
        <w:keepLines w:val="1"/>
        <w:shd w:fill="ffffff" w:val="clear"/>
        <w:tabs>
          <w:tab w:val="left" w:leader="none" w:pos="2500"/>
        </w:tabs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Lines w:val="1"/>
        <w:shd w:fill="ffffff" w:val="clear"/>
        <w:tabs>
          <w:tab w:val="left" w:leader="none" w:pos="2500"/>
        </w:tabs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superscript"/>
          <w:rtl w:val="0"/>
        </w:rPr>
        <w:t xml:space="preserve">5 </w:t>
      </w:r>
      <w:r w:rsidDel="00000000" w:rsidR="00000000" w:rsidRPr="00000000">
        <w:rPr>
          <w:sz w:val="24"/>
          <w:szCs w:val="24"/>
          <w:rtl w:val="0"/>
        </w:rPr>
        <w:t xml:space="preserve">Doutora em Educação em Ciências e Matemática (UFPA). Universidade do Estado do Pará (UEPA).</w:t>
      </w:r>
    </w:p>
    <w:p w:rsidR="00000000" w:rsidDel="00000000" w:rsidP="00000000" w:rsidRDefault="00000000" w:rsidRPr="00000000" w14:paraId="0000000E">
      <w:pPr>
        <w:keepLines w:val="1"/>
        <w:shd w:fill="ffffff" w:val="clear"/>
        <w:tabs>
          <w:tab w:val="left" w:leader="none" w:pos="2500"/>
        </w:tabs>
        <w:jc w:val="left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Lines w:val="1"/>
        <w:shd w:fill="ffffff" w:val="clear"/>
        <w:tabs>
          <w:tab w:val="left" w:leader="none" w:pos="2500"/>
        </w:tabs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vertAlign w:val="superscript"/>
          <w:rtl w:val="0"/>
        </w:rPr>
        <w:t xml:space="preserve">6 </w:t>
      </w:r>
      <w:r w:rsidDel="00000000" w:rsidR="00000000" w:rsidRPr="00000000">
        <w:rPr>
          <w:sz w:val="24"/>
          <w:szCs w:val="24"/>
          <w:rtl w:val="0"/>
        </w:rPr>
        <w:t xml:space="preserve">Doutora em Educação (PUC-Rio). Universidade do Estado do Pará (UEPA).</w:t>
      </w:r>
    </w:p>
    <w:p w:rsidR="00000000" w:rsidDel="00000000" w:rsidP="00000000" w:rsidRDefault="00000000" w:rsidRPr="00000000" w14:paraId="00000010">
      <w:pPr>
        <w:keepLines w:val="1"/>
        <w:pBdr>
          <w:bottom w:color="000000" w:space="8" w:sz="0" w:val="none"/>
        </w:pBdr>
        <w:shd w:fill="ffffff" w:val="clear"/>
        <w:tabs>
          <w:tab w:val="left" w:leader="none" w:pos="2500"/>
        </w:tabs>
        <w:spacing w:line="31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bottom w:color="000000" w:space="8" w:sz="0" w:val="none"/>
        </w:pBdr>
        <w:shd w:fill="ffffff" w:val="clear"/>
        <w:tabs>
          <w:tab w:val="left" w:leader="none" w:pos="2500"/>
        </w:tabs>
        <w:jc w:val="center"/>
        <w:rPr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b w:val="1"/>
          <w:bCs w:val="1"/>
          <w:sz w:val="24"/>
          <w:szCs w:val="24"/>
          <w:u w:val="single"/>
          <w:rtl w:val="0"/>
        </w:rPr>
        <w:t xml:space="preserve">RESUMO</w:t>
      </w:r>
    </w:p>
    <w:p w:rsidR="00000000" w:rsidDel="00000000" w:rsidP="00000000" w:rsidRDefault="00000000" w:rsidRPr="00000000" w14:paraId="00000012">
      <w:pPr>
        <w:shd w:fill="ffffff" w:val="clear"/>
        <w:tabs>
          <w:tab w:val="left" w:leader="none" w:pos="2500"/>
        </w:tabs>
        <w:jc w:val="both"/>
        <w:rPr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museus de ciências contemporâneos enfrentam o desafio de superar paradigmas coloniais para integrar saberes locais à divulgação científica. Neste contexto, o presente estudo analisa o Museu do Marajó, localizado em Cachoeira do Arari (PA), investigando como a instituição articula a relação intrínseca entre diversidade biológica e cultural em sua expografia. O objetivo central foi compreender os saberes e fazeres bioculturais compartilhados pelo museu, com ênfase nos dispositivos interativos denominados "Computadores Caipiras". Metodologicamente, a pesquisa caracteriza-se como qualitativa e exploratória, do tipo estudo de caso. Os dados foram coletados por meio de observação sistemática, diário de campo e entrevistas semiestruturadas com quatro membros da equipe técnica, sendo posteriormente submetidos à Análise de Conteúdo. Os resultados demonstram que a interatividade analógica proposta pelo fundador Giovanni Gallo transcende o caráter lúdico, atuando como mediadora de conhecimentos complexos sobre a biodiversidade e saberes locais. A análise expográfica evidencia que o acervo valida a etnofarmacologia e as narrativas orais, evidenciando a coevolução entre as populações locais e o ecossistema marajoara. Conclui-se que o Museu do Marajó opera como um território de resistência ao apagamento cultural, onde a biodiversidade é apresentada como patrimônio indissociável dos modos de vida marajoaras.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bottom w:color="000000" w:space="8" w:sz="0" w:val="none"/>
        </w:pBdr>
        <w:shd w:fill="ffffff" w:val="clear"/>
        <w:tabs>
          <w:tab w:val="left" w:leader="none" w:pos="2500"/>
        </w:tabs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tabs>
          <w:tab w:val="left" w:leader="none" w:pos="2500"/>
        </w:tabs>
        <w:rPr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Palavras-chave: </w:t>
      </w:r>
      <w:r w:rsidDel="00000000" w:rsidR="00000000" w:rsidRPr="00000000">
        <w:rPr>
          <w:sz w:val="24"/>
          <w:szCs w:val="24"/>
          <w:rtl w:val="0"/>
        </w:rPr>
        <w:t xml:space="preserve">Bioculturalidade. Educação em Ciências. Sociobiodiversidade.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tabs>
          <w:tab w:val="left" w:leader="none" w:pos="2500"/>
        </w:tabs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tabs>
          <w:tab w:val="left" w:leader="none" w:pos="2500"/>
        </w:tabs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Área de Interesse do Simpósio</w:t>
      </w:r>
      <w:r w:rsidDel="00000000" w:rsidR="00000000" w:rsidRPr="00000000">
        <w:rPr>
          <w:sz w:val="24"/>
          <w:szCs w:val="24"/>
          <w:rtl w:val="0"/>
        </w:rPr>
        <w:t xml:space="preserve">: Ciências Humanas e Sociais Aplicadas;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bottom w:color="000000" w:space="8" w:sz="0" w:val="none"/>
        </w:pBdr>
        <w:shd w:fill="ffffff" w:val="clear"/>
        <w:tabs>
          <w:tab w:val="left" w:leader="none" w:pos="2500"/>
        </w:tabs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bottom w:color="000000" w:space="18" w:sz="0" w:val="none"/>
        </w:pBdr>
        <w:shd w:fill="ffffff" w:val="clear"/>
        <w:tabs>
          <w:tab w:val="left" w:leader="none" w:pos="2500"/>
        </w:tabs>
        <w:spacing w:line="360" w:lineRule="auto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1. INTRODUÇÃO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bottom w:color="000000" w:space="8" w:sz="0" w:val="none"/>
        </w:pBdr>
        <w:shd w:fill="ffffff" w:val="clear"/>
        <w:tabs>
          <w:tab w:val="left" w:leader="none" w:pos="-5.999999999999872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Os museus desempenham um papel fundamental na preservação da memória e na valorização da cultura, configurando-se como espaços educativos que promovem o conhecimento, a reflexão e o diálogo entre o passado e o presente. Segundo Valente (2005), por meio de suas exposições e atividades, os museus possibilitam o contato direto com diferentes áreas do conhecimento e com diversas expressões artísticas, científicas e históricas, contribuindo para a formação cultural, intelectual e crítica dos visitantes. Nesse contexto, os museus oferecem experiências concretas em que a interação entre exposição e visitante favorece a construção ativa do conhecimento, estabelecendo-se como ambientes propícios ao desenvolvimento de novas aprendizagens e à ampliação da compreensão sobre o mundo (Marandino, 2008).</w:t>
      </w:r>
    </w:p>
    <w:p w:rsidR="00000000" w:rsidDel="00000000" w:rsidP="00000000" w:rsidRDefault="00000000" w:rsidRPr="00000000" w14:paraId="0000001A">
      <w:pPr>
        <w:pBdr>
          <w:bottom w:color="000000" w:space="8" w:sz="0" w:val="none"/>
        </w:pBdr>
        <w:shd w:fill="ffffff" w:val="clear"/>
        <w:tabs>
          <w:tab w:val="left" w:leader="none" w:pos="-5.999999999999872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Contudo, na museologia contemporânea, há um movimento de modificação dos paradigmas engessados em lógicas de poder oriundas do processo de colonização. Busca-se atender às novas demandas sociais, culturais e científicas, estabelecendo relações mais dinâmicas com a sociedade (Brulon, 2020; Marandino, 2023). Isso alinha-se à ótica de Hopper-Greenhill (2007), que afirma que, embora ainda existam instituições que mantêm uma identidade ultrapassada, muitos museus adaptaram-se com flexibilidade para responder às condições da pós-modernidade.</w:t>
      </w:r>
    </w:p>
    <w:p w:rsidR="00000000" w:rsidDel="00000000" w:rsidP="00000000" w:rsidRDefault="00000000" w:rsidRPr="00000000" w14:paraId="0000001B">
      <w:pPr>
        <w:pBdr>
          <w:bottom w:color="000000" w:space="8" w:sz="0" w:val="none"/>
        </w:pBdr>
        <w:shd w:fill="ffffff" w:val="clear"/>
        <w:tabs>
          <w:tab w:val="left" w:leader="none" w:pos="-5.999999999999872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É nesse cenário de renovação que se insere o debate sobre a Biodiversidade. Apesar de ser um conceito amplamente utilizado, apresenta uma complexidade significativa, variando conforme o contexto e os objetivos (Dantas; Valle, 2020). Weelie e Walls (2002) destacam que é comum encontrar diferentes significados empregados para o termo: científicos, políticos ou simbólicos. </w:t>
      </w:r>
    </w:p>
    <w:p w:rsidR="00000000" w:rsidDel="00000000" w:rsidP="00000000" w:rsidRDefault="00000000" w:rsidRPr="00000000" w14:paraId="0000001C">
      <w:pPr>
        <w:pBdr>
          <w:bottom w:color="000000" w:space="8" w:sz="0" w:val="none"/>
        </w:pBdr>
        <w:shd w:fill="ffffff" w:val="clear"/>
        <w:tabs>
          <w:tab w:val="left" w:leader="none" w:pos="-5.999999999999872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Entretanto, muitos museus de ciências, locais que historicamente permeiam as representações da Biodiversidade, ainda podem legitimar o silenciamento da produção de diferentes grupos sociais, impondo uma única forma de conhecimento válido (Marandino, 2023). Contrapondo essa visão, consideramos neste estudo que a diversidade biológica e a cultural apresentam-se como construções mutuamente dependentes e enraizadas em contextos geográficos definidos (Toledo; Barrera-Bassols, 2015). Na Amazônia, esse mutualismo se faz presente de forma pulsante como patrimônio biocultural imaterial.</w:t>
      </w:r>
    </w:p>
    <w:p w:rsidR="00000000" w:rsidDel="00000000" w:rsidP="00000000" w:rsidRDefault="00000000" w:rsidRPr="00000000" w14:paraId="0000001D">
      <w:pPr>
        <w:pBdr>
          <w:bottom w:color="000000" w:space="8" w:sz="0" w:val="none"/>
        </w:pBdr>
        <w:shd w:fill="ffffff" w:val="clear"/>
        <w:tabs>
          <w:tab w:val="left" w:leader="none" w:pos="-5.999999999999872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A partir dessa perspectiva sobre a função educativa e cultural dos museus, o Museu do Marajó evidencia-se como um espaço que, a partir da interação com seus acervos, possibilita a valorização histórica e a construção de conhecimentos sobre a cultura, os saberes e os modos de vida da população marajoara. Ao articular informações sobre tradições, práticas sociais, manifestações artísticas e patrimônio material e imaterial, o museu promove uma compreensão crítica da realidade local, estimulando a reflexão sobre a identidade cultural e a memória coletiva (Cruz; Pinho, 2020). </w:t>
      </w:r>
    </w:p>
    <w:p w:rsidR="00000000" w:rsidDel="00000000" w:rsidP="00000000" w:rsidRDefault="00000000" w:rsidRPr="00000000" w14:paraId="0000001E">
      <w:pPr>
        <w:pBdr>
          <w:bottom w:color="000000" w:space="8" w:sz="0" w:val="none"/>
        </w:pBdr>
        <w:shd w:fill="ffffff" w:val="clear"/>
        <w:tabs>
          <w:tab w:val="left" w:leader="none" w:pos="-5.999999999999872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Fundado em 1972 pelo Padre Giovanni Gallo na cidade de Santa Cruz do Arari, a  instituição tem por finalidade preservar, pesquisar e difundir os aspectos históricos e culturais da região do Marajó. O diferencial do museu reside na forma como dispõe seu acervo, com destaque para os “Computadores Caipiras”. Estas estruturas, feitas de materiais simples como fios de algodão e madeira, são sistemas interativos manipuláveis pelo visitante, colocando a interatividade como peça-chave para as atividades (Borges; Oliveira, 2011). Com a participação ativa da comunidade, Gallo constituiu um acervo rico em animais taxidermizados e peças arqueológicas que demonstram a interação dos povos da região com o ambiente, consolidando o museu como um espaço de memória e identidade (Cruz; Pinho, 2020).</w:t>
      </w:r>
    </w:p>
    <w:p w:rsidR="00000000" w:rsidDel="00000000" w:rsidP="00000000" w:rsidRDefault="00000000" w:rsidRPr="00000000" w14:paraId="0000001F">
      <w:pPr>
        <w:pBdr>
          <w:bottom w:color="000000" w:space="8" w:sz="0" w:val="none"/>
        </w:pBdr>
        <w:shd w:fill="ffffff" w:val="clear"/>
        <w:tabs>
          <w:tab w:val="left" w:leader="none" w:pos="-5.999999999999872"/>
        </w:tabs>
        <w:spacing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Portanto, no estudo em tela, partimos do pressuposto de que essas diversidades são construções mutuamente dependentes, sendo a Diversidade Biocultural a pluralidade dessa coevolução (Toledo; Barrera-Bassols, 2015). Assim, temos como objetivo analisar como e quais saberes e fazeres sobre diversidade biológica e cultural são compreendidos e compartilhados pelo Museu do Marajó, principalmente por meio das exposições, materiais expositivos e computadores caipiras.</w:t>
      </w:r>
    </w:p>
    <w:p w:rsidR="00000000" w:rsidDel="00000000" w:rsidP="00000000" w:rsidRDefault="00000000" w:rsidRPr="00000000" w14:paraId="00000020">
      <w:pPr>
        <w:pBdr>
          <w:bottom w:color="000000" w:space="18" w:sz="0" w:val="none"/>
        </w:pBdr>
        <w:shd w:fill="ffffff" w:val="clear"/>
        <w:tabs>
          <w:tab w:val="left" w:leader="none" w:pos="2500"/>
        </w:tabs>
        <w:spacing w:line="31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bottom w:color="000000" w:space="18" w:sz="0" w:val="none"/>
        </w:pBdr>
        <w:shd w:fill="ffffff" w:val="clear"/>
        <w:tabs>
          <w:tab w:val="left" w:leader="none" w:pos="2500"/>
        </w:tabs>
        <w:spacing w:line="310" w:lineRule="auto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2. MATERIAL E MÉTODOS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bottom w:color="000000" w:space="8" w:sz="0" w:val="none"/>
        </w:pBdr>
        <w:shd w:fill="ffffff" w:val="clear"/>
        <w:tabs>
          <w:tab w:val="left" w:leader="none" w:pos="2500"/>
        </w:tabs>
        <w:spacing w:line="360" w:lineRule="auto"/>
        <w:ind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presente estudo possui natureza qualitativa, pois preocupa-se com aspectos da realidade que não podem ser quantificados, buscando compreender a dinâmica dos fenômenos sociais através das opiniões, atitudes e valores dos sujeitos (Gil, 2002). Quanto aos objetivos, caracteriza-se como exploratória, permitindo maior familiaridade com o problema e visando torná-lo mais explícito para a formulação de hipóteses. Metodologicamente, adotou-se o Estudo de Caso, que, segundo André (2005), investiga um fenômeno específico em profundidade dentro de seu contexto real. Seguindo o referencial, a pesquisa foi estruturada em três etapas fundamentais: fase exploratória; fase de coleta de dados e delimitação; e fase de análise sistemática.</w:t>
      </w:r>
    </w:p>
    <w:p w:rsidR="00000000" w:rsidDel="00000000" w:rsidP="00000000" w:rsidRDefault="00000000" w:rsidRPr="00000000" w14:paraId="00000023">
      <w:pPr>
        <w:pBdr>
          <w:bottom w:color="000000" w:space="8" w:sz="0" w:val="none"/>
        </w:pBdr>
        <w:shd w:fill="ffffff" w:val="clear"/>
        <w:tabs>
          <w:tab w:val="left" w:leader="none" w:pos="2500"/>
        </w:tabs>
        <w:spacing w:line="360" w:lineRule="auto"/>
        <w:ind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pesquisa foi desenvolvida no Museu do Marajó, localizado no município de Cachoeira do Arari, na Ilha de Marajó, Pará. A escolha deste espaço justifica-se por seu papel central na preservação da memória e identidade marajoara. Idealizada pelo Padre Giovanni Gallo na década de 1970 e reinaugurada como instituição estadual em 2022, a instituição possui características singulares de expografia e interação com a comunidade, constituindo-se um campo fértil para a análise da diversidade biocultural.</w:t>
      </w:r>
    </w:p>
    <w:p w:rsidR="00000000" w:rsidDel="00000000" w:rsidP="00000000" w:rsidRDefault="00000000" w:rsidRPr="00000000" w14:paraId="00000024">
      <w:pPr>
        <w:pBdr>
          <w:bottom w:color="000000" w:space="8" w:sz="0" w:val="none"/>
        </w:pBdr>
        <w:shd w:fill="ffffff" w:val="clear"/>
        <w:tabs>
          <w:tab w:val="left" w:leader="none" w:pos="2500"/>
        </w:tabs>
        <w:spacing w:line="360" w:lineRule="auto"/>
        <w:ind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Participaram do estudo quatro colaboradores da equipe técnica do Museu do Marajó. O grupo foi composto por membros da direção, mediadores e comunitários envolvidos nas atividades da instituição. A seleção dos participantes deu-se de forma intencional, considerando o tempo de atuação e o conhecimento sobre o acervo e a história do museu. Todos os participantes foram informados sobre os objetivos da pesquisa, garantindo-se o sigilo e o anonimato das informações prestadas.</w:t>
      </w:r>
    </w:p>
    <w:p w:rsidR="00000000" w:rsidDel="00000000" w:rsidP="00000000" w:rsidRDefault="00000000" w:rsidRPr="00000000" w14:paraId="00000025">
      <w:pPr>
        <w:pBdr>
          <w:bottom w:color="000000" w:space="8" w:sz="0" w:val="none"/>
        </w:pBdr>
        <w:shd w:fill="ffffff" w:val="clear"/>
        <w:tabs>
          <w:tab w:val="left" w:leader="none" w:pos="2500"/>
        </w:tabs>
        <w:spacing w:line="360" w:lineRule="auto"/>
        <w:ind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imersão em campo ocorreu entre os dias 21 e 23 de setembro de 2025. Para a coleta de dados, utilizou-se a triangulação de métodos: Observação Sistemática e Diário de Campo, onde realizou-se o registro detalhado dos ambientes, das exposições (com foco nos "Computadores Caipiras" e acervo biológico) e das interações durante as mediações. Conforme Gerhardt e Silveira (2009), o diário de campo serviu para o detalhamento descritivo e reflexivo sobre aspectos explícitos e implícitos da realidade observada.</w:t>
      </w:r>
    </w:p>
    <w:p w:rsidR="00000000" w:rsidDel="00000000" w:rsidP="00000000" w:rsidRDefault="00000000" w:rsidRPr="00000000" w14:paraId="00000026">
      <w:pPr>
        <w:pBdr>
          <w:bottom w:color="000000" w:space="8" w:sz="0" w:val="none"/>
        </w:pBdr>
        <w:shd w:fill="ffffff" w:val="clear"/>
        <w:tabs>
          <w:tab w:val="left" w:leader="none" w:pos="2500"/>
        </w:tabs>
        <w:spacing w:line="360" w:lineRule="auto"/>
        <w:ind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Além disso, utilizou-se entrevistas semiestruturadas conduzidas com os participantes, utilizando um roteiro guia. Segundo Lakatos e Marconi (2003), este instrumento é essencial para a compreensão profunda de problemas sociais. As entrevistas foram gravadas em áudio e, paralelamente, foram realizados registros fotográficos do acervo e dos espaços expositivos.</w:t>
      </w:r>
    </w:p>
    <w:p w:rsidR="00000000" w:rsidDel="00000000" w:rsidP="00000000" w:rsidRDefault="00000000" w:rsidRPr="00000000" w14:paraId="00000027">
      <w:pPr>
        <w:pBdr>
          <w:bottom w:color="000000" w:space="8" w:sz="0" w:val="none"/>
        </w:pBdr>
        <w:shd w:fill="ffffff" w:val="clear"/>
        <w:tabs>
          <w:tab w:val="left" w:leader="none" w:pos="2500"/>
        </w:tabs>
        <w:spacing w:line="360" w:lineRule="auto"/>
        <w:ind w:firstLine="70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Os áudios das entrevistas foram transcritos na íntegra (com auxílio de ferramenta de transcrição automatizada e revisão manual) para identificar elementos significativos sobre as práticas educativas e a concepção de biodiversidade e cultura. O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corpus </w:t>
      </w:r>
      <w:r w:rsidDel="00000000" w:rsidR="00000000" w:rsidRPr="00000000">
        <w:rPr>
          <w:sz w:val="24"/>
          <w:szCs w:val="24"/>
          <w:rtl w:val="0"/>
        </w:rPr>
        <w:t xml:space="preserve">documental foi submetido à Análise de Conteúdo, seguindo a perspectiva de Bardin (2016). O processo seguiu às três fases propostas pela autora: (1) Pré-análise, com a leitura flutuante e organização do material; (2) Exploração do material, com a codificação e categorização dos dados; e (3) Tratamento dos resultados, inferência e interpretação</w:t>
      </w:r>
    </w:p>
    <w:p w:rsidR="00000000" w:rsidDel="00000000" w:rsidP="00000000" w:rsidRDefault="00000000" w:rsidRPr="00000000" w14:paraId="00000028">
      <w:pPr>
        <w:pBdr>
          <w:bottom w:color="000000" w:space="8" w:sz="0" w:val="none"/>
        </w:pBdr>
        <w:shd w:fill="ffffff" w:val="clear"/>
        <w:tabs>
          <w:tab w:val="left" w:leader="none" w:pos="2500"/>
        </w:tabs>
        <w:spacing w:line="31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bottom w:color="000000" w:space="8" w:sz="0" w:val="none"/>
        </w:pBdr>
        <w:shd w:fill="ffffff" w:val="clear"/>
        <w:tabs>
          <w:tab w:val="left" w:leader="none" w:pos="2500"/>
        </w:tabs>
        <w:spacing w:after="200" w:line="310" w:lineRule="auto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 RESULTADOS E DISCUSSÃO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1"/>
        <w:spacing w:line="36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análise dos dados, obtida por meio da triangulação entre as observações de campo, análise documental do acervo e entrevistas com a equipe técnica, revelou que o Museu do Marajó transcende a função de mero repositório de objetos. Ele se configura como um território de resistência biocultural.</w:t>
      </w:r>
    </w:p>
    <w:p w:rsidR="00000000" w:rsidDel="00000000" w:rsidP="00000000" w:rsidRDefault="00000000" w:rsidRPr="00000000" w14:paraId="0000002B">
      <w:pPr>
        <w:widowControl w:val="1"/>
        <w:spacing w:line="360" w:lineRule="auto"/>
        <w:ind w:firstLine="709"/>
        <w:jc w:val="both"/>
        <w:rPr>
          <w:color w:val="ff0000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instituição traz em suas ações uma perspectiva ligada principalmente a cultura dos povos marajoaras e da sua pluralidade, valorizando vivências, saberes e fazeres do território. Desse modo, sua função está em sua atuação de representação e interatividade da história e biodiversidade das comunidades e nos seus saberes e fazeres para, assim, realizar uma integração desses agentes, visando valorizar a riqueza de conhecimentos dos povos tradicionais e aspectos culturais presentes no arquipélago do Marajó.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1"/>
        <w:spacing w:line="360" w:lineRule="auto"/>
        <w:ind w:firstLine="709"/>
        <w:jc w:val="both"/>
        <w:rPr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bottom w:color="000000" w:space="8" w:sz="0" w:val="none"/>
        </w:pBdr>
        <w:shd w:fill="ffffff" w:val="clear"/>
        <w:tabs>
          <w:tab w:val="left" w:leader="none" w:pos="2500"/>
        </w:tabs>
        <w:spacing w:after="200" w:line="31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3.1 OS COMPUTADORES CAIPIRAS COMO INTERFACE DA (SÓCIO)BIODIVERSIDADE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 E BIOCULTURALIDADE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1"/>
        <w:spacing w:after="0" w:before="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Nas observações realizadas nas exposições, o elemento que se destacou como articulador entre o visitante e o conhecimento local foi o conjunto de estruturas denominadas "Computadores Caipiras". Segundo Borges e Oliveira (2011), esses dispositivos, idealizados por Giovanni Gallo sob a premissa de que “o brasileiro tem os olhos nas pontas dos dedos”, utilizam a interatividade analógica para materializar conceitos complexos.</w:t>
      </w:r>
    </w:p>
    <w:p w:rsidR="00000000" w:rsidDel="00000000" w:rsidP="00000000" w:rsidRDefault="00000000" w:rsidRPr="00000000" w14:paraId="0000002F">
      <w:pPr>
        <w:widowControl w:val="1"/>
        <w:spacing w:after="0" w:before="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 estudo identificou que a interatividade proposta não é apenas lúdica, mas pedagógica e biocultural. No computador “Lendas Amazônicas” (Figura 1), por exemplo, observou-se um mecanismo de dupla via: ao manipular o objeto, o visitante acessa o texto da lenda e, simultaneamente, visualiza a representação do animal (biodiversidade) em cerâmica (saber biocultural).</w:t>
      </w:r>
    </w:p>
    <w:p w:rsidR="00000000" w:rsidDel="00000000" w:rsidP="00000000" w:rsidRDefault="00000000" w:rsidRPr="00000000" w14:paraId="00000030">
      <w:pPr>
        <w:widowControl w:val="1"/>
        <w:spacing w:before="200" w:line="360" w:lineRule="auto"/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Figura 1:</w:t>
      </w:r>
      <w:r w:rsidDel="00000000" w:rsidR="00000000" w:rsidRPr="00000000">
        <w:rPr>
          <w:rtl w:val="0"/>
        </w:rPr>
        <w:t xml:space="preserve"> Computador Caipira “Lendas Amazônicas”</w:t>
      </w:r>
    </w:p>
    <w:p w:rsidR="00000000" w:rsidDel="00000000" w:rsidP="00000000" w:rsidRDefault="00000000" w:rsidRPr="00000000" w14:paraId="00000031">
      <w:pPr>
        <w:widowControl w:val="1"/>
        <w:spacing w:after="0" w:before="0" w:line="360" w:lineRule="auto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457700" cy="2722169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6"/>
                    <a:srcRect b="0" l="0" r="0" t="840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221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1"/>
        <w:spacing w:line="360" w:lineRule="auto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Fonte: Os Autores (2025).</w:t>
      </w:r>
    </w:p>
    <w:p w:rsidR="00000000" w:rsidDel="00000000" w:rsidP="00000000" w:rsidRDefault="00000000" w:rsidRPr="00000000" w14:paraId="00000033">
      <w:pPr>
        <w:widowControl w:val="1"/>
        <w:spacing w:after="0" w:before="24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Isso demonstra como o museu opera na lógica da "Terceira Geração" de museus interativos, incorporando a valorização de práticas comunitárias e inserindo culturas silenciadas nos processos de musealização (Vasconcelos; Marandino, 2022). A biodiversidade não está exposta de forma asséptica, mas integrada ao imaginário cultural (a lenda), reforçando que a conservação ambiental na Amazônia passa, necessariamente, pela conservação da cultura que a interpreta.</w:t>
      </w:r>
    </w:p>
    <w:p w:rsidR="00000000" w:rsidDel="00000000" w:rsidP="00000000" w:rsidRDefault="00000000" w:rsidRPr="00000000" w14:paraId="00000034">
      <w:pPr>
        <w:widowControl w:val="1"/>
        <w:spacing w:after="240" w:before="0" w:line="360" w:lineRule="auto"/>
        <w:ind w:firstLine="72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indissociabilidade entre natureza e cultura (Maffi, 2018) ficou evidente na análise do computador “Pescaria da Saúde” (Figura 2). Neste dispositivo, as doenças são descritas ao redor da estrutura, e os "peixes" de madeira representam os tratamentos baseados na biodiversidade local.</w:t>
      </w:r>
    </w:p>
    <w:p w:rsidR="00000000" w:rsidDel="00000000" w:rsidP="00000000" w:rsidRDefault="00000000" w:rsidRPr="00000000" w14:paraId="00000035">
      <w:pPr>
        <w:widowControl w:val="1"/>
        <w:spacing w:before="200" w:line="360" w:lineRule="auto"/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Figura 2:</w:t>
      </w:r>
      <w:r w:rsidDel="00000000" w:rsidR="00000000" w:rsidRPr="00000000">
        <w:rPr>
          <w:rtl w:val="0"/>
        </w:rPr>
        <w:t xml:space="preserve"> Computador Caipira “Pescaria da Saúde”</w:t>
      </w:r>
    </w:p>
    <w:p w:rsidR="00000000" w:rsidDel="00000000" w:rsidP="00000000" w:rsidRDefault="00000000" w:rsidRPr="00000000" w14:paraId="00000036">
      <w:pPr>
        <w:widowControl w:val="1"/>
        <w:spacing w:line="360" w:lineRule="auto"/>
        <w:jc w:val="left"/>
        <w:rPr>
          <w:sz w:val="24"/>
          <w:szCs w:val="24"/>
        </w:rPr>
      </w:pPr>
      <w:r w:rsidDel="00000000" w:rsidR="00000000" w:rsidRPr="00000000">
        <w:rPr>
          <w:sz w:val="20"/>
          <w:szCs w:val="20"/>
          <w:rtl w:val="0"/>
        </w:rPr>
        <w:t xml:space="preserve">Fonte: Os Autores (2025).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1753553" cy="2639558"/>
            <wp:effectExtent b="0" l="0" r="0" t="0"/>
            <wp:wrapSquare wrapText="bothSides" distB="114300" distT="114300" distL="114300" distR="114300"/>
            <wp:docPr id="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3553" cy="263955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1752600</wp:posOffset>
            </wp:positionH>
            <wp:positionV relativeFrom="paragraph">
              <wp:posOffset>114300</wp:posOffset>
            </wp:positionV>
            <wp:extent cx="3977778" cy="2638425"/>
            <wp:effectExtent b="0" l="0" r="0" t="0"/>
            <wp:wrapSquare wrapText="bothSides" distB="114300" distT="114300" distL="114300" distR="114300"/>
            <wp:docPr id="3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77778" cy="2638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widowControl w:val="1"/>
        <w:spacing w:line="360" w:lineRule="auto"/>
        <w:jc w:val="left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bottom w:color="000000" w:space="8" w:sz="0" w:val="none"/>
        </w:pBdr>
        <w:shd w:fill="ffffff" w:val="clear"/>
        <w:tabs>
          <w:tab w:val="left" w:leader="none" w:pos="699.0000000000002"/>
        </w:tabs>
        <w:spacing w:after="0" w:before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Ao cruzar essa observação com as entrevistas, percebe-se que o acervo valida e perpetua o conhecimento etnofarmacológico da região:</w:t>
      </w:r>
    </w:p>
    <w:p w:rsidR="00000000" w:rsidDel="00000000" w:rsidP="00000000" w:rsidRDefault="00000000" w:rsidRPr="00000000" w14:paraId="00000039">
      <w:pPr>
        <w:pBdr>
          <w:bottom w:color="000000" w:space="8" w:sz="0" w:val="none"/>
        </w:pBdr>
        <w:shd w:fill="ffffff" w:val="clear"/>
        <w:tabs>
          <w:tab w:val="left" w:leader="none" w:pos="2259.0000000000005"/>
        </w:tabs>
        <w:spacing w:after="0" w:before="0" w:line="240" w:lineRule="auto"/>
        <w:ind w:left="2267.71653543307" w:right="4.133858267717301" w:firstLine="0"/>
        <w:jc w:val="both"/>
        <w:rPr/>
      </w:pPr>
      <w:r w:rsidDel="00000000" w:rsidR="00000000" w:rsidRPr="00000000">
        <w:rPr>
          <w:rtl w:val="0"/>
        </w:rPr>
        <w:t xml:space="preserve">"[...] a pescaria da saúde, eu acredito que seja um exemplar disso [...] ele traz informações ali que são saberes locais que envolvem tanto tratamentos à base de óleos, de chá, com a própria relação ali com os animais, com banhas de bicho." (Entrevistado 2).</w:t>
      </w:r>
    </w:p>
    <w:p w:rsidR="00000000" w:rsidDel="00000000" w:rsidP="00000000" w:rsidRDefault="00000000" w:rsidRPr="00000000" w14:paraId="0000003A">
      <w:pPr>
        <w:pBdr>
          <w:bottom w:color="000000" w:space="8" w:sz="0" w:val="none"/>
        </w:pBdr>
        <w:shd w:fill="ffffff" w:val="clear"/>
        <w:tabs>
          <w:tab w:val="left" w:leader="none" w:pos="699.0000000000002"/>
        </w:tabs>
        <w:spacing w:after="0" w:before="0" w:line="360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Essa fala dialoga diretamente com o que está exposto no Computador Caipira intitulado “Banhas Medicinais” (Figura 3), onde óleos de andiroba e gorduras animais são apresentados não como recursos brutos, mas como tecnologias de cura desenvolvidas historicamente pelas populações caboclas.</w:t>
      </w:r>
    </w:p>
    <w:p w:rsidR="00000000" w:rsidDel="00000000" w:rsidP="00000000" w:rsidRDefault="00000000" w:rsidRPr="00000000" w14:paraId="0000003B">
      <w:pPr>
        <w:widowControl w:val="1"/>
        <w:spacing w:before="0" w:line="360" w:lineRule="auto"/>
        <w:jc w:val="center"/>
        <w:rPr/>
      </w:pPr>
      <w:r w:rsidDel="00000000" w:rsidR="00000000" w:rsidRPr="00000000">
        <w:rPr>
          <w:b w:val="1"/>
          <w:bCs w:val="1"/>
          <w:rtl w:val="0"/>
        </w:rPr>
        <w:t xml:space="preserve">Figura 3:</w:t>
      </w:r>
      <w:r w:rsidDel="00000000" w:rsidR="00000000" w:rsidRPr="00000000">
        <w:rPr>
          <w:rtl w:val="0"/>
        </w:rPr>
        <w:t xml:space="preserve"> Computador Caipira “Banhas medicinais”</w:t>
      </w:r>
    </w:p>
    <w:p w:rsidR="00000000" w:rsidDel="00000000" w:rsidP="00000000" w:rsidRDefault="00000000" w:rsidRPr="00000000" w14:paraId="0000003C">
      <w:pPr>
        <w:widowControl w:val="1"/>
        <w:spacing w:line="36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3902873" cy="1992213"/>
            <wp:effectExtent b="0" l="0" r="0" t="0"/>
            <wp:docPr id="4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16373" l="0" r="0" t="7361"/>
                    <a:stretch>
                      <a:fillRect/>
                    </a:stretch>
                  </pic:blipFill>
                  <pic:spPr>
                    <a:xfrm>
                      <a:off x="0" y="0"/>
                      <a:ext cx="3902873" cy="19922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widowControl w:val="1"/>
        <w:spacing w:line="360" w:lineRule="auto"/>
        <w:jc w:val="left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Fonte: Os Autores (2025).</w:t>
      </w:r>
    </w:p>
    <w:p w:rsidR="00000000" w:rsidDel="00000000" w:rsidP="00000000" w:rsidRDefault="00000000" w:rsidRPr="00000000" w14:paraId="0000003E">
      <w:pPr>
        <w:widowControl w:val="1"/>
        <w:spacing w:line="360" w:lineRule="auto"/>
        <w:jc w:val="left"/>
        <w:rPr>
          <w:sz w:val="24"/>
          <w:szCs w:val="24"/>
        </w:rPr>
      </w:pPr>
      <w:r w:rsidDel="00000000" w:rsidR="00000000" w:rsidRPr="00000000">
        <w:rPr>
          <w:sz w:val="20"/>
          <w:szCs w:val="20"/>
          <w:rtl w:val="0"/>
        </w:rPr>
        <w:tab/>
      </w:r>
      <w:r w:rsidDel="00000000" w:rsidR="00000000" w:rsidRPr="00000000">
        <w:rPr>
          <w:sz w:val="24"/>
          <w:szCs w:val="24"/>
          <w:rtl w:val="0"/>
        </w:rPr>
        <w:t xml:space="preserve">Uma fala das entrevistas nos leva a uma reflexão importante sobre esse material em exposição:</w:t>
      </w:r>
    </w:p>
    <w:p w:rsidR="00000000" w:rsidDel="00000000" w:rsidP="00000000" w:rsidRDefault="00000000" w:rsidRPr="00000000" w14:paraId="0000003F">
      <w:pPr>
        <w:pBdr>
          <w:bottom w:color="000000" w:space="8" w:sz="0" w:val="none"/>
        </w:pBdr>
        <w:shd w:fill="ffffff" w:val="clear"/>
        <w:tabs>
          <w:tab w:val="left" w:leader="none" w:pos="-5.999999999999872"/>
        </w:tabs>
        <w:spacing w:after="0" w:before="0" w:line="240" w:lineRule="auto"/>
        <w:ind w:left="2267.71653543307" w:right="4.133858267717301" w:firstLine="0"/>
        <w:jc w:val="both"/>
        <w:rPr/>
      </w:pPr>
      <w:r w:rsidDel="00000000" w:rsidR="00000000" w:rsidRPr="00000000">
        <w:rPr>
          <w:rtl w:val="0"/>
        </w:rPr>
        <w:t xml:space="preserve">"Nós temos um expositor com vários óleos medicinais que hoje ainda utilizamos muito, como a andiroba, a banha de bicho." (Entrevistado 1).</w:t>
      </w:r>
    </w:p>
    <w:p w:rsidR="00000000" w:rsidDel="00000000" w:rsidP="00000000" w:rsidRDefault="00000000" w:rsidRPr="00000000" w14:paraId="00000040">
      <w:pPr>
        <w:pBdr>
          <w:bottom w:color="000000" w:space="8" w:sz="0" w:val="none"/>
        </w:pBdr>
        <w:shd w:fill="ffffff" w:val="clear"/>
        <w:tabs>
          <w:tab w:val="left" w:leader="none" w:pos="699.0000000000002"/>
        </w:tabs>
        <w:spacing w:after="0" w:before="0" w:line="360" w:lineRule="auto"/>
        <w:ind w:firstLine="708.6614173228347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persistência desses usos demonstra o que Ludwinsky et al. (2021) apontam como a contribuição das comunidades tradicionais para o acúmulo de repertório sobre a fauna e flora. O museu, portanto, atua como um guardião desse "arquivo vivo", impedindo o apagamento de práticas que, ao favorecerem o manejo de espécies (como a andiroba), promovem a conservação através do uso sustentável.</w:t>
      </w:r>
    </w:p>
    <w:p w:rsidR="00000000" w:rsidDel="00000000" w:rsidP="00000000" w:rsidRDefault="00000000" w:rsidRPr="00000000" w14:paraId="00000041">
      <w:pPr>
        <w:pBdr>
          <w:bottom w:color="000000" w:space="8" w:sz="0" w:val="none"/>
        </w:pBdr>
        <w:shd w:fill="ffffff" w:val="clear"/>
        <w:tabs>
          <w:tab w:val="left" w:leader="none" w:pos="699.0000000000002"/>
        </w:tabs>
        <w:spacing w:after="0" w:before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ab/>
        <w:t xml:space="preserve">Tal análise dos dados permite situar o Museu do Marajó como uma resposta política à histórica exploração da Amazônia. Ferdinand (2021) descreve a "dupla fratura colonial" como o processo que separou os povos de seus ambientes e impôs um modelo predatório de exploração.</w:t>
      </w:r>
    </w:p>
    <w:p w:rsidR="00000000" w:rsidDel="00000000" w:rsidP="00000000" w:rsidRDefault="00000000" w:rsidRPr="00000000" w14:paraId="00000042">
      <w:pPr>
        <w:pBdr>
          <w:bottom w:color="000000" w:space="8" w:sz="0" w:val="none"/>
        </w:pBdr>
        <w:shd w:fill="ffffff" w:val="clear"/>
        <w:tabs>
          <w:tab w:val="left" w:leader="none" w:pos="699.0000000000002"/>
        </w:tabs>
        <w:spacing w:after="0" w:before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O que se observa no Museu do Marajó é uma tentativa de suturar essa fratura. Enquanto o "habitar colonial" reduz a natureza a recurso (Ferdinand, 2021), a expografia do museu, construída com doações da comunidade e materiais locais, reumaniza a paisagem. Ao expor a cerâmica arqueológica ao lado da fauna taxidermizada e dos saberes medicinais, a instituição narra a história de uma coevolução (Toledo; Barrera-Bassols, 2015).</w:t>
      </w:r>
    </w:p>
    <w:p w:rsidR="00000000" w:rsidDel="00000000" w:rsidP="00000000" w:rsidRDefault="00000000" w:rsidRPr="00000000" w14:paraId="00000043">
      <w:pPr>
        <w:pBdr>
          <w:bottom w:color="000000" w:space="8" w:sz="0" w:val="none"/>
        </w:pBdr>
        <w:shd w:fill="ffffff" w:val="clear"/>
        <w:tabs>
          <w:tab w:val="left" w:leader="none" w:pos="699.0000000000002"/>
        </w:tabs>
        <w:spacing w:after="0" w:before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Dessa forma, os resultados indicam que o museu desafia a lógica de conhecimento único válido. Ao dar protagonismo aos "saberes e fazeres" do território, a instituição fortalece a identidade marajoara, permitindo que a comunidade local não apenas visite o museu, mas se reconheça nele como produtora legítima de conhecimento e conservadora da biodiversidade.</w:t>
      </w:r>
    </w:p>
    <w:p w:rsidR="00000000" w:rsidDel="00000000" w:rsidP="00000000" w:rsidRDefault="00000000" w:rsidRPr="00000000" w14:paraId="00000044">
      <w:pPr>
        <w:widowControl w:val="1"/>
        <w:tabs>
          <w:tab w:val="left" w:leader="none" w:pos="1290"/>
        </w:tabs>
        <w:spacing w:after="160" w:before="200" w:line="36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4. CONSIDERAÇÕES FINAIS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widowControl w:val="1"/>
        <w:tabs>
          <w:tab w:val="left" w:leader="none" w:pos="699"/>
        </w:tabs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O Museu do Marajó se traduz como uma instituição ligada principalmente a valorização dos aspectos bioculturais e de saberes e fazeres marajoaras, sendo assim um importante espaço museal. A estratégia expográfica materializada nos "Computadores Caipiras", transcende o caráter lúdico. Tais dispositivos configuram-se como tecnologias sociais eficazes para a mediação da biodiversidade, permitindo que o visitante compreenda a natureza não como um elemento externo e intocável, mas como parte intrínseca do cotidiano e do imaginário marajoara. </w:t>
      </w:r>
    </w:p>
    <w:p w:rsidR="00000000" w:rsidDel="00000000" w:rsidP="00000000" w:rsidRDefault="00000000" w:rsidRPr="00000000" w14:paraId="00000046">
      <w:pPr>
        <w:widowControl w:val="1"/>
        <w:tabs>
          <w:tab w:val="left" w:leader="none" w:pos="699"/>
        </w:tabs>
        <w:spacing w:after="160" w:line="360" w:lineRule="auto"/>
        <w:jc w:val="both"/>
        <w:rPr>
          <w:b w:val="1"/>
          <w:bCs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  <w:t xml:space="preserve">Mostrando-se de suma importância sendo uma instituição que propaga a preservação de saberes naturais e culturais amazônicos e principalmente das  vivências marajoaras, sendo necessária para que os saberes e fazeres não se percam através do tempo e se preservem para gerações futuras, constituindo assim a preservação e memória da diversidade biológica-cultural em museus de ciência no estado do Pará.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1"/>
        <w:tabs>
          <w:tab w:val="left" w:leader="none" w:pos="1290"/>
        </w:tabs>
        <w:spacing w:after="160" w:line="259" w:lineRule="auto"/>
        <w:jc w:val="both"/>
        <w:rPr>
          <w:color w:val="ff0000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REFERÊNCIAS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widowControl w:val="1"/>
        <w:spacing w:after="0" w:before="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ANDRÉ, Marli Eliza Dalmazo Afonso de</w:t>
      </w: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. Estudo de caso em pesquisa e avaliação educacional.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Brasília: Liber Livro, 2005.</w:t>
      </w:r>
    </w:p>
    <w:p w:rsidR="00000000" w:rsidDel="00000000" w:rsidP="00000000" w:rsidRDefault="00000000" w:rsidRPr="00000000" w14:paraId="00000049">
      <w:pPr>
        <w:widowControl w:val="1"/>
        <w:spacing w:after="0" w:before="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widowControl w:val="1"/>
        <w:spacing w:after="0" w:before="0" w:line="240" w:lineRule="auto"/>
        <w:ind w:right="-4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BARDIN, Laurence.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Análise de conteúdo</w:t>
      </w:r>
      <w:r w:rsidDel="00000000" w:rsidR="00000000" w:rsidRPr="00000000">
        <w:rPr>
          <w:sz w:val="24"/>
          <w:szCs w:val="24"/>
          <w:rtl w:val="0"/>
        </w:rPr>
        <w:t xml:space="preserve">. São Paulo: Edições 70, 2016.</w:t>
      </w:r>
    </w:p>
    <w:p w:rsidR="00000000" w:rsidDel="00000000" w:rsidP="00000000" w:rsidRDefault="00000000" w:rsidRPr="00000000" w14:paraId="0000004B">
      <w:pPr>
        <w:widowControl w:val="1"/>
        <w:spacing w:after="0" w:before="0" w:line="240" w:lineRule="auto"/>
        <w:ind w:right="-4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widowControl w:val="1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BORGES, Luiz Carlos; OLIVEIRA, Karla Cristina Damasceno de. Pajelança musealizada: o Museu do Marajó e o imaginário marajoara. In: 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XII ENANCIB: POLÍTICAS DE INFORMAÇÃO PARA A SOCIEDADE</w:t>
      </w:r>
      <w:r w:rsidDel="00000000" w:rsidR="00000000" w:rsidRPr="00000000">
        <w:rPr>
          <w:sz w:val="24"/>
          <w:szCs w:val="24"/>
          <w:rtl w:val="0"/>
        </w:rPr>
        <w:t xml:space="preserve">. 2011.</w:t>
      </w:r>
    </w:p>
    <w:p w:rsidR="00000000" w:rsidDel="00000000" w:rsidP="00000000" w:rsidRDefault="00000000" w:rsidRPr="00000000" w14:paraId="0000004D">
      <w:pPr>
        <w:widowControl w:val="1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widowControl w:val="1"/>
        <w:spacing w:after="0" w:before="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BRULON, Bruno. Descolonizar o pensamento museológico: reintegrando a matéria para re-pensar os Museus. </w:t>
      </w: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Anais do Museu Paulista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v. 28, p. 1-30, 2020. </w:t>
      </w:r>
    </w:p>
    <w:p w:rsidR="00000000" w:rsidDel="00000000" w:rsidP="00000000" w:rsidRDefault="00000000" w:rsidRPr="00000000" w14:paraId="0000004F">
      <w:pPr>
        <w:widowControl w:val="1"/>
        <w:spacing w:after="0" w:before="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1"/>
        <w:spacing w:after="0" w:before="0" w:line="240" w:lineRule="auto"/>
        <w:ind w:right="-40"/>
        <w:rPr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CRUZ, Niceléia Muribeca; PINHO, Maria José. Linguagens e saberes Afro-Indígenas em Contexto de ensino na Amazônia (Museu Do Marajó/Pa). </w:t>
      </w:r>
      <w:r w:rsidDel="00000000" w:rsidR="00000000" w:rsidRPr="00000000">
        <w:rPr>
          <w:b w:val="1"/>
          <w:bCs w:val="1"/>
          <w:color w:val="222222"/>
          <w:sz w:val="24"/>
          <w:szCs w:val="24"/>
          <w:highlight w:val="white"/>
          <w:rtl w:val="0"/>
        </w:rPr>
        <w:t xml:space="preserve">Humanidades &amp; Inovação</w:t>
      </w:r>
      <w:r w:rsidDel="00000000" w:rsidR="00000000" w:rsidRPr="00000000">
        <w:rPr>
          <w:sz w:val="24"/>
          <w:szCs w:val="24"/>
          <w:rtl w:val="0"/>
        </w:rPr>
        <w:t xml:space="preserve">, v. 7, n. 15, p. 484-493, 2020.</w:t>
      </w:r>
    </w:p>
    <w:p w:rsidR="00000000" w:rsidDel="00000000" w:rsidP="00000000" w:rsidRDefault="00000000" w:rsidRPr="00000000" w14:paraId="00000051">
      <w:pPr>
        <w:widowControl w:val="1"/>
        <w:spacing w:after="0" w:before="0" w:line="240" w:lineRule="auto"/>
        <w:ind w:right="-4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1"/>
        <w:spacing w:after="0" w:before="0" w:line="240" w:lineRule="auto"/>
        <w:ind w:right="-4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DANTAS, Thaliana Cruz; VALLE, Mariana Guelero do. A construção de Bionas: biodiversidade a partir do contexto maranhense. In.: KATO, D. S. (Org). </w:t>
      </w: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Bionas para a formação de professores de Biologia: experiências no observatório da educação para biodiversidade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São Paulo. Editora Livraria da Física, 2020. </w:t>
      </w:r>
    </w:p>
    <w:p w:rsidR="00000000" w:rsidDel="00000000" w:rsidP="00000000" w:rsidRDefault="00000000" w:rsidRPr="00000000" w14:paraId="00000053">
      <w:pPr>
        <w:widowControl w:val="1"/>
        <w:spacing w:after="0" w:before="0" w:line="240" w:lineRule="auto"/>
        <w:ind w:right="-40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widowControl w:val="1"/>
        <w:spacing w:after="0" w:before="0" w:line="240" w:lineRule="auto"/>
        <w:ind w:right="-4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FERDINAND, Malcom. </w:t>
      </w: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Uma ecologia decolonial: pensar a partir do mundo caribenho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Ubu Editora, 2022.</w:t>
      </w:r>
    </w:p>
    <w:p w:rsidR="00000000" w:rsidDel="00000000" w:rsidP="00000000" w:rsidRDefault="00000000" w:rsidRPr="00000000" w14:paraId="00000055">
      <w:pPr>
        <w:widowControl w:val="1"/>
        <w:spacing w:after="0" w:before="0" w:line="240" w:lineRule="auto"/>
        <w:ind w:right="-40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56">
      <w:pPr>
        <w:widowControl w:val="1"/>
        <w:spacing w:after="0" w:before="0" w:line="240" w:lineRule="auto"/>
        <w:ind w:left="2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GERHARDT, Tatiana Engel.; SILVEIRA, Denise Tolfo.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Métodos de pesquisa</w:t>
      </w:r>
      <w:r w:rsidDel="00000000" w:rsidR="00000000" w:rsidRPr="00000000">
        <w:rPr>
          <w:sz w:val="24"/>
          <w:szCs w:val="24"/>
          <w:rtl w:val="0"/>
        </w:rPr>
        <w:t xml:space="preserve">. Porto Alegre: UFRGS, 2009.</w:t>
      </w:r>
    </w:p>
    <w:p w:rsidR="00000000" w:rsidDel="00000000" w:rsidP="00000000" w:rsidRDefault="00000000" w:rsidRPr="00000000" w14:paraId="00000057">
      <w:pPr>
        <w:widowControl w:val="1"/>
        <w:spacing w:after="0" w:before="0" w:line="240" w:lineRule="auto"/>
        <w:ind w:left="2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widowControl w:val="1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GIL, Antonio Carlos et al.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Como elaborar projetos de pesquisa</w:t>
      </w:r>
      <w:r w:rsidDel="00000000" w:rsidR="00000000" w:rsidRPr="00000000">
        <w:rPr>
          <w:sz w:val="24"/>
          <w:szCs w:val="24"/>
          <w:rtl w:val="0"/>
        </w:rPr>
        <w:t xml:space="preserve">. São Paulo: Atlas, 2002</w:t>
      </w:r>
    </w:p>
    <w:p w:rsidR="00000000" w:rsidDel="00000000" w:rsidP="00000000" w:rsidRDefault="00000000" w:rsidRPr="00000000" w14:paraId="00000059">
      <w:pPr>
        <w:widowControl w:val="1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widowControl w:val="1"/>
        <w:spacing w:after="0" w:before="0" w:line="240" w:lineRule="auto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HOOPER-GREENHILL, Eilean. </w:t>
      </w:r>
      <w:r w:rsidDel="00000000" w:rsidR="00000000" w:rsidRPr="00000000">
        <w:rPr>
          <w:b w:val="1"/>
          <w:bCs w:val="1"/>
          <w:color w:val="222222"/>
          <w:sz w:val="24"/>
          <w:szCs w:val="24"/>
          <w:highlight w:val="white"/>
          <w:rtl w:val="0"/>
        </w:rPr>
        <w:t xml:space="preserve">Museums and education: Purpose, pedagogy, performance. Routledge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, 2007. </w:t>
      </w:r>
    </w:p>
    <w:p w:rsidR="00000000" w:rsidDel="00000000" w:rsidP="00000000" w:rsidRDefault="00000000" w:rsidRPr="00000000" w14:paraId="0000005B">
      <w:pPr>
        <w:widowControl w:val="1"/>
        <w:spacing w:after="0" w:before="0" w:line="240" w:lineRule="auto"/>
        <w:rPr>
          <w:color w:val="222222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1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LAKATOS, Eva Maria. MARCONI, Marina de Andrade.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Fundamentos da metodologia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cientifica</w:t>
      </w:r>
      <w:r w:rsidDel="00000000" w:rsidR="00000000" w:rsidRPr="00000000">
        <w:rPr>
          <w:sz w:val="24"/>
          <w:szCs w:val="24"/>
          <w:rtl w:val="0"/>
        </w:rPr>
        <w:t xml:space="preserve">. 6 ed. São Paulo: Atlas, 2003.</w:t>
      </w:r>
    </w:p>
    <w:p w:rsidR="00000000" w:rsidDel="00000000" w:rsidP="00000000" w:rsidRDefault="00000000" w:rsidRPr="00000000" w14:paraId="0000005D">
      <w:pPr>
        <w:widowControl w:val="1"/>
        <w:spacing w:after="0" w:before="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1"/>
        <w:spacing w:after="0" w:before="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LUDWINSKY, Rafaela Helena et al. Aprender a fazer ciência na escola: processos investigativos e interdisciplinares na interface entre diversidade biológica e cultural. In: ZANK, Sofia et al. (Eds.). </w:t>
      </w: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Diversidade Biocultural na Escola: Reflexões e práticas para professoras e professores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Porto Alegre- RS: SBEE, 2021. </w:t>
      </w:r>
    </w:p>
    <w:p w:rsidR="00000000" w:rsidDel="00000000" w:rsidP="00000000" w:rsidRDefault="00000000" w:rsidRPr="00000000" w14:paraId="0000005F">
      <w:pPr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MAFFI, Luiza. </w:t>
      </w: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Biocultural diversity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In: The International Encyclopedia of Anthropology, 2018. p. 1-14. </w:t>
      </w:r>
    </w:p>
    <w:p w:rsidR="00000000" w:rsidDel="00000000" w:rsidP="00000000" w:rsidRDefault="00000000" w:rsidRPr="00000000" w14:paraId="00000061">
      <w:pPr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62">
      <w:pPr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MARANDINO, Martha. Decolonizando representações da floresta amazônica nos Museus. </w:t>
      </w: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Bio-grafía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 </w:t>
      </w:r>
      <w:r w:rsidDel="00000000" w:rsidR="00000000" w:rsidRPr="00000000">
        <w:rPr>
          <w:i w:val="1"/>
          <w:iCs w:val="1"/>
          <w:sz w:val="24"/>
          <w:szCs w:val="24"/>
          <w:highlight w:val="white"/>
          <w:rtl w:val="0"/>
        </w:rPr>
        <w:t xml:space="preserve">[S. l.]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2023. Disponível em: https://revistas.pedagogica.edu.co/index.php/bio-grafia/article/view/18522.  </w:t>
      </w:r>
    </w:p>
    <w:p w:rsidR="00000000" w:rsidDel="00000000" w:rsidP="00000000" w:rsidRDefault="00000000" w:rsidRPr="00000000" w14:paraId="00000063">
      <w:pPr>
        <w:widowControl w:val="1"/>
        <w:spacing w:after="0" w:before="0" w:line="24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1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MARANDINO, Martha.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Educação em museus: a mediação em foco</w:t>
      </w:r>
      <w:r w:rsidDel="00000000" w:rsidR="00000000" w:rsidRPr="00000000">
        <w:rPr>
          <w:sz w:val="24"/>
          <w:szCs w:val="24"/>
          <w:rtl w:val="0"/>
        </w:rPr>
        <w:t xml:space="preserve">. São Paulo: FEUSP, 2008.</w:t>
      </w:r>
    </w:p>
    <w:p w:rsidR="00000000" w:rsidDel="00000000" w:rsidP="00000000" w:rsidRDefault="00000000" w:rsidRPr="00000000" w14:paraId="00000065">
      <w:pPr>
        <w:widowControl w:val="1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widowControl w:val="1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TOLEDO, Victor; BARRERA-BASSOLS, Narciso.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A Memória Biocultural: a importância ecológica das sabedorias tradicionais.</w:t>
      </w:r>
      <w:r w:rsidDel="00000000" w:rsidR="00000000" w:rsidRPr="00000000">
        <w:rPr>
          <w:sz w:val="24"/>
          <w:szCs w:val="24"/>
          <w:rtl w:val="0"/>
        </w:rPr>
        <w:t xml:space="preserve"> São Paulo: Expressão Popular, 2015. </w:t>
      </w:r>
    </w:p>
    <w:p w:rsidR="00000000" w:rsidDel="00000000" w:rsidP="00000000" w:rsidRDefault="00000000" w:rsidRPr="00000000" w14:paraId="00000067">
      <w:pPr>
        <w:widowControl w:val="1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1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VALENTE, Maria. Ester. A. 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O museu de ciência: espaço da história da ciência</w:t>
      </w:r>
      <w:r w:rsidDel="00000000" w:rsidR="00000000" w:rsidRPr="00000000">
        <w:rPr>
          <w:sz w:val="24"/>
          <w:szCs w:val="24"/>
          <w:rtl w:val="0"/>
        </w:rPr>
        <w:t xml:space="preserve">.Ciência e Educação, v.11, n.1, 2005, p. 53-62.</w:t>
      </w:r>
    </w:p>
    <w:p w:rsidR="00000000" w:rsidDel="00000000" w:rsidP="00000000" w:rsidRDefault="00000000" w:rsidRPr="00000000" w14:paraId="00000069">
      <w:pPr>
        <w:widowControl w:val="1"/>
        <w:spacing w:after="0" w:before="0"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1"/>
        <w:spacing w:after="0" w:before="0" w:line="240" w:lineRule="auto"/>
        <w:ind w:hanging="2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VASCONCELOS, Sinaida Maria; MARANDINO, Martha. Biodiversidade em ecomuseus: aspectos bioculturais e decoloniais.</w:t>
      </w: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Bio-grafía</w:t>
      </w:r>
      <w:r w:rsidDel="00000000" w:rsidR="00000000" w:rsidRPr="00000000">
        <w:rPr>
          <w:sz w:val="24"/>
          <w:szCs w:val="24"/>
          <w:rtl w:val="0"/>
        </w:rPr>
        <w:t xml:space="preserve">, [S. l.]. 2023. Disponível em: https://revistas.pedagogica.edu.co/index.php/bio-grafia/article/view/18436. </w:t>
      </w:r>
    </w:p>
    <w:p w:rsidR="00000000" w:rsidDel="00000000" w:rsidP="00000000" w:rsidRDefault="00000000" w:rsidRPr="00000000" w14:paraId="0000006B">
      <w:pPr>
        <w:widowControl w:val="1"/>
        <w:spacing w:after="0" w:before="0" w:line="240" w:lineRule="auto"/>
        <w:ind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1"/>
        <w:spacing w:after="0" w:before="0" w:line="240" w:lineRule="auto"/>
        <w:ind w:hanging="2"/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WEELIE, Daan Van; WALS, Arjen. Making biodiversity meaningful through environmental education. </w:t>
      </w:r>
      <w:r w:rsidDel="00000000" w:rsidR="00000000" w:rsidRPr="00000000">
        <w:rPr>
          <w:b w:val="1"/>
          <w:bCs w:val="1"/>
          <w:sz w:val="24"/>
          <w:szCs w:val="24"/>
          <w:highlight w:val="white"/>
          <w:rtl w:val="0"/>
        </w:rPr>
        <w:t xml:space="preserve">International Journal of science education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, v. 24, n. 11, p. 1143-1156, 2002. 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6840" w:w="11910" w:orient="portrait"/>
      <w:pgMar w:bottom="1134" w:top="1701" w:left="1701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6350</wp:posOffset>
          </wp:positionV>
          <wp:extent cx="600075" cy="191770"/>
          <wp:effectExtent b="0" l="0" r="0" t="0"/>
          <wp:wrapSquare wrapText="bothSides" distB="0" distT="0" distL="114300" distR="114300"/>
          <wp:docPr id="10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b="0" l="0" r="0" t="0"/>
          <wp:wrapSquare wrapText="bothSides" distB="0" distT="0" distL="114300" distR="114300"/>
          <wp:docPr id="1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b="0" l="0" r="0" t="0"/>
          <wp:wrapSquare wrapText="bothSides" distB="0" distT="0" distL="114300" distR="114300"/>
          <wp:docPr id="2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b="0" l="0" r="0" t="0"/>
          <wp:wrapSquare wrapText="bothSides" distB="0" distT="0" distL="114300" distR="114300"/>
          <wp:docPr id="1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b="0" l="0" r="0" t="0"/>
          <wp:wrapSquare wrapText="bothSides" distB="0" distT="0" distL="114300" distR="114300"/>
          <wp:docPr id="8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b="0" l="0" r="0" t="0"/>
          <wp:wrapSquare wrapText="bothSides" distB="0" distT="0" distL="114300" distR="11430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3253105" cy="1610360"/>
          <wp:effectExtent b="0" l="0" r="0" t="0"/>
          <wp:docPr descr="Logotipo, nome da empresa&#10;&#10;O conteúdo gerado por IA pode estar incorreto." id="5" name="image2.png"/>
          <a:graphic>
            <a:graphicData uri="http://schemas.openxmlformats.org/drawingml/2006/picture">
              <pic:pic>
                <pic:nvPicPr>
                  <pic:cNvPr descr="Logotipo, nome da empresa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26667" l="2865" r="-2171" t="33993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2"/>
        <w:szCs w:val="22"/>
        <w:lang w:val="pt_PT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image" Target="media/image8.jpg"/><Relationship Id="rId5" Type="http://schemas.openxmlformats.org/officeDocument/2006/relationships/styles" Target="styles.xml"/><Relationship Id="rId6" Type="http://schemas.openxmlformats.org/officeDocument/2006/relationships/image" Target="media/image9.jpg"/><Relationship Id="rId7" Type="http://schemas.openxmlformats.org/officeDocument/2006/relationships/image" Target="media/image11.jpg"/><Relationship Id="rId8" Type="http://schemas.openxmlformats.org/officeDocument/2006/relationships/image" Target="media/image10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6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2022-08-23T00:00:00Z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2023-08-30T00:00:00Z</vt:lpwstr>
  </property>
</Properties>
</file>