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4918E" w14:textId="6EFB073F" w:rsidR="003C5471" w:rsidRDefault="0047022F" w:rsidP="008F28EE">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PERFIL EPIDEMIOLÓGICO E GEOESPACIAL DA LEISHMANIOSE VISCERAL HUMANA  NOS MUNICÍPIOS DE BELÉM E ANANINDEUA, NO ESTADO DO PARÁ,  BRASIL, AMAZÔNIA ORIENTAL</w:t>
      </w:r>
    </w:p>
    <w:p w14:paraId="4FC0DEC2" w14:textId="77777777" w:rsidR="003C5471" w:rsidRDefault="003C5471" w:rsidP="008F28EE">
      <w:pPr>
        <w:shd w:val="clear" w:color="auto" w:fill="FFFFFF"/>
        <w:spacing w:line="240" w:lineRule="auto"/>
        <w:jc w:val="center"/>
        <w:rPr>
          <w:rFonts w:ascii="Times New Roman" w:eastAsia="Times New Roman" w:hAnsi="Times New Roman" w:cs="Times New Roman"/>
          <w:sz w:val="24"/>
          <w:szCs w:val="24"/>
        </w:rPr>
      </w:pPr>
    </w:p>
    <w:p w14:paraId="352EA114" w14:textId="77777777" w:rsidR="003C5471" w:rsidRDefault="0047022F" w:rsidP="008F28EE">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Lívia Camile Borges Ferreira</w:t>
      </w:r>
      <w:r>
        <w:rPr>
          <w:rFonts w:ascii="Times New Roman" w:eastAsia="Times New Roman" w:hAnsi="Times New Roman" w:cs="Times New Roman"/>
          <w:sz w:val="32"/>
          <w:szCs w:val="32"/>
          <w:vertAlign w:val="superscript"/>
        </w:rPr>
        <w:t>1</w:t>
      </w:r>
      <w:r>
        <w:rPr>
          <w:rFonts w:ascii="Times New Roman" w:eastAsia="Times New Roman" w:hAnsi="Times New Roman" w:cs="Times New Roman"/>
          <w:sz w:val="24"/>
          <w:szCs w:val="24"/>
        </w:rPr>
        <w:t>; Maria Eduarda de Sousa Bentes</w:t>
      </w:r>
      <w:r>
        <w:rPr>
          <w:rFonts w:ascii="Times New Roman" w:eastAsia="Times New Roman" w:hAnsi="Times New Roman" w:cs="Times New Roman"/>
          <w:sz w:val="32"/>
          <w:szCs w:val="32"/>
          <w:vertAlign w:val="superscript"/>
        </w:rPr>
        <w:t>2</w:t>
      </w:r>
      <w:r>
        <w:rPr>
          <w:rFonts w:ascii="Times New Roman" w:eastAsia="Times New Roman" w:hAnsi="Times New Roman" w:cs="Times New Roman"/>
          <w:sz w:val="24"/>
          <w:szCs w:val="24"/>
        </w:rPr>
        <w:t>; Wenna Karinne Diniz de Sousa</w:t>
      </w:r>
      <w:r>
        <w:rPr>
          <w:rFonts w:ascii="Times New Roman" w:eastAsia="Times New Roman" w:hAnsi="Times New Roman" w:cs="Times New Roman"/>
          <w:sz w:val="32"/>
          <w:szCs w:val="32"/>
          <w:vertAlign w:val="superscript"/>
        </w:rPr>
        <w:t>3</w:t>
      </w:r>
      <w:r>
        <w:rPr>
          <w:rFonts w:ascii="Times New Roman" w:eastAsia="Times New Roman" w:hAnsi="Times New Roman" w:cs="Times New Roman"/>
          <w:sz w:val="24"/>
          <w:szCs w:val="24"/>
        </w:rPr>
        <w:t>; Emille Sabine Santos da Costa</w:t>
      </w:r>
      <w:r>
        <w:rPr>
          <w:rFonts w:ascii="Times New Roman" w:eastAsia="Times New Roman" w:hAnsi="Times New Roman" w:cs="Times New Roman"/>
          <w:sz w:val="32"/>
          <w:szCs w:val="32"/>
          <w:vertAlign w:val="superscript"/>
        </w:rPr>
        <w:t>4</w:t>
      </w:r>
      <w:r>
        <w:rPr>
          <w:rFonts w:ascii="Times New Roman" w:eastAsia="Times New Roman" w:hAnsi="Times New Roman" w:cs="Times New Roman"/>
          <w:sz w:val="24"/>
          <w:szCs w:val="24"/>
        </w:rPr>
        <w:t>; Ana Luiza Teles de Miranda</w:t>
      </w:r>
      <w:r>
        <w:rPr>
          <w:rFonts w:ascii="Times New Roman" w:eastAsia="Times New Roman" w:hAnsi="Times New Roman" w:cs="Times New Roman"/>
          <w:sz w:val="32"/>
          <w:szCs w:val="32"/>
          <w:vertAlign w:val="superscript"/>
        </w:rPr>
        <w:t>5</w:t>
      </w:r>
      <w:r>
        <w:rPr>
          <w:rFonts w:ascii="Times New Roman" w:eastAsia="Times New Roman" w:hAnsi="Times New Roman" w:cs="Times New Roman"/>
          <w:sz w:val="24"/>
          <w:szCs w:val="24"/>
        </w:rPr>
        <w:t>; Dulciane Bezerra de Castro</w:t>
      </w:r>
      <w:r>
        <w:rPr>
          <w:rFonts w:ascii="Times New Roman" w:eastAsia="Times New Roman" w:hAnsi="Times New Roman" w:cs="Times New Roman"/>
          <w:sz w:val="32"/>
          <w:szCs w:val="32"/>
          <w:vertAlign w:val="superscript"/>
        </w:rPr>
        <w:t>6</w:t>
      </w:r>
      <w:r>
        <w:rPr>
          <w:rFonts w:ascii="Times New Roman" w:eastAsia="Times New Roman" w:hAnsi="Times New Roman" w:cs="Times New Roman"/>
          <w:sz w:val="24"/>
          <w:szCs w:val="24"/>
        </w:rPr>
        <w:t xml:space="preserve">; </w:t>
      </w:r>
      <w:r w:rsidRPr="00EB7B75">
        <w:rPr>
          <w:rFonts w:ascii="Times New Roman" w:eastAsia="Times New Roman" w:hAnsi="Times New Roman" w:cs="Times New Roman"/>
          <w:sz w:val="24"/>
          <w:szCs w:val="24"/>
          <w:u w:val="single"/>
        </w:rPr>
        <w:t>Claudia do Socorro Carvalho Miranda</w:t>
      </w:r>
      <w:r w:rsidRPr="00EB7B75">
        <w:rPr>
          <w:rFonts w:ascii="Times New Roman" w:eastAsia="Times New Roman" w:hAnsi="Times New Roman" w:cs="Times New Roman"/>
          <w:sz w:val="32"/>
          <w:szCs w:val="32"/>
          <w:u w:val="single"/>
          <w:vertAlign w:val="superscript"/>
        </w:rPr>
        <w:t>7</w:t>
      </w:r>
      <w:r>
        <w:rPr>
          <w:rFonts w:ascii="Times New Roman" w:eastAsia="Times New Roman" w:hAnsi="Times New Roman" w:cs="Times New Roman"/>
          <w:sz w:val="24"/>
          <w:szCs w:val="24"/>
        </w:rPr>
        <w:t xml:space="preserve">. </w:t>
      </w:r>
    </w:p>
    <w:p w14:paraId="58E6459F" w14:textId="77777777" w:rsidR="003C5471" w:rsidRDefault="003C5471" w:rsidP="008F28EE">
      <w:pPr>
        <w:shd w:val="clear" w:color="auto" w:fill="FFFFFF"/>
        <w:spacing w:line="240" w:lineRule="auto"/>
        <w:jc w:val="center"/>
        <w:rPr>
          <w:rFonts w:ascii="Times New Roman" w:eastAsia="Times New Roman" w:hAnsi="Times New Roman" w:cs="Times New Roman"/>
          <w:sz w:val="24"/>
          <w:szCs w:val="24"/>
        </w:rPr>
      </w:pPr>
    </w:p>
    <w:p w14:paraId="1509B7EF" w14:textId="77777777" w:rsidR="003C5471" w:rsidRDefault="0047022F">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vertAlign w:val="superscript"/>
        </w:rPr>
        <w:t xml:space="preserve">1 </w:t>
      </w:r>
      <w:r>
        <w:rPr>
          <w:rFonts w:ascii="Times New Roman" w:eastAsia="Times New Roman" w:hAnsi="Times New Roman" w:cs="Times New Roman"/>
          <w:sz w:val="24"/>
          <w:szCs w:val="24"/>
        </w:rPr>
        <w:t xml:space="preserve">Graduanda do curso de Biomedicina. Universidade do Estado do Pará. </w:t>
      </w:r>
      <w:r>
        <w:rPr>
          <w:rFonts w:ascii="Times New Roman" w:eastAsia="Times New Roman" w:hAnsi="Times New Roman" w:cs="Times New Roman"/>
          <w:color w:val="1155CC"/>
          <w:sz w:val="24"/>
          <w:szCs w:val="24"/>
        </w:rPr>
        <w:t>livia.cb.ferreira@aluno.uepa.br</w:t>
      </w:r>
      <w:r>
        <w:rPr>
          <w:rFonts w:ascii="Times New Roman" w:eastAsia="Times New Roman" w:hAnsi="Times New Roman" w:cs="Times New Roman"/>
          <w:sz w:val="24"/>
          <w:szCs w:val="24"/>
        </w:rPr>
        <w:t xml:space="preserve">. </w:t>
      </w:r>
      <w:r>
        <w:rPr>
          <w:rFonts w:ascii="Times New Roman" w:eastAsia="Times New Roman" w:hAnsi="Times New Roman" w:cs="Times New Roman"/>
          <w:sz w:val="32"/>
          <w:szCs w:val="32"/>
          <w:vertAlign w:val="superscript"/>
        </w:rPr>
        <w:t xml:space="preserve">2 </w:t>
      </w:r>
      <w:r>
        <w:rPr>
          <w:rFonts w:ascii="Times New Roman" w:eastAsia="Times New Roman" w:hAnsi="Times New Roman" w:cs="Times New Roman"/>
          <w:sz w:val="24"/>
          <w:szCs w:val="24"/>
        </w:rPr>
        <w:t xml:space="preserve">Graduanda do curso de Biomedicina. Universidade do Estado do Pará. </w:t>
      </w:r>
      <w:r>
        <w:rPr>
          <w:rFonts w:ascii="Times New Roman" w:eastAsia="Times New Roman" w:hAnsi="Times New Roman" w:cs="Times New Roman"/>
          <w:sz w:val="32"/>
          <w:szCs w:val="32"/>
          <w:vertAlign w:val="superscript"/>
        </w:rPr>
        <w:t xml:space="preserve">3 </w:t>
      </w:r>
      <w:r>
        <w:rPr>
          <w:rFonts w:ascii="Times New Roman" w:eastAsia="Times New Roman" w:hAnsi="Times New Roman" w:cs="Times New Roman"/>
          <w:sz w:val="24"/>
          <w:szCs w:val="24"/>
        </w:rPr>
        <w:t xml:space="preserve">Graduanda do curso de Biomedicina. Universidade do Estado do Pará. </w:t>
      </w:r>
      <w:r>
        <w:rPr>
          <w:rFonts w:ascii="Times New Roman" w:eastAsia="Times New Roman" w:hAnsi="Times New Roman" w:cs="Times New Roman"/>
          <w:sz w:val="32"/>
          <w:szCs w:val="32"/>
          <w:vertAlign w:val="superscript"/>
        </w:rPr>
        <w:t xml:space="preserve">4 </w:t>
      </w:r>
      <w:r>
        <w:rPr>
          <w:rFonts w:ascii="Times New Roman" w:eastAsia="Times New Roman" w:hAnsi="Times New Roman" w:cs="Times New Roman"/>
          <w:sz w:val="24"/>
          <w:szCs w:val="24"/>
        </w:rPr>
        <w:t>Graduanda do curso de Biomedicina. Universidade do Estado do Pará.</w:t>
      </w:r>
      <w:r>
        <w:rPr>
          <w:rFonts w:ascii="Times New Roman" w:eastAsia="Times New Roman" w:hAnsi="Times New Roman" w:cs="Times New Roman"/>
          <w:sz w:val="32"/>
          <w:szCs w:val="32"/>
          <w:vertAlign w:val="superscript"/>
        </w:rPr>
        <w:t>5</w:t>
      </w:r>
      <w:r>
        <w:rPr>
          <w:rFonts w:ascii="Times New Roman" w:eastAsia="Times New Roman" w:hAnsi="Times New Roman" w:cs="Times New Roman"/>
          <w:sz w:val="24"/>
          <w:szCs w:val="24"/>
        </w:rPr>
        <w:t xml:space="preserve"> Graduanda do curso de Biomedicina. Universidade do Estado do Pará. </w:t>
      </w:r>
      <w:r>
        <w:rPr>
          <w:rFonts w:ascii="Times New Roman" w:eastAsia="Times New Roman" w:hAnsi="Times New Roman" w:cs="Times New Roman"/>
          <w:sz w:val="32"/>
          <w:szCs w:val="32"/>
          <w:vertAlign w:val="superscript"/>
        </w:rPr>
        <w:t xml:space="preserve">6 </w:t>
      </w:r>
      <w:r>
        <w:rPr>
          <w:rFonts w:ascii="Times New Roman" w:eastAsia="Times New Roman" w:hAnsi="Times New Roman" w:cs="Times New Roman"/>
          <w:sz w:val="24"/>
          <w:szCs w:val="24"/>
        </w:rPr>
        <w:t>Graduanda do curso de Biomedicina. Universidade do Estado do Pará.</w:t>
      </w:r>
      <w:r>
        <w:rPr>
          <w:rFonts w:ascii="Times New Roman" w:eastAsia="Times New Roman" w:hAnsi="Times New Roman" w:cs="Times New Roman"/>
          <w:sz w:val="32"/>
          <w:szCs w:val="32"/>
          <w:vertAlign w:val="superscript"/>
        </w:rPr>
        <w:t>7</w:t>
      </w:r>
      <w:r>
        <w:rPr>
          <w:rFonts w:ascii="Times New Roman" w:eastAsia="Times New Roman" w:hAnsi="Times New Roman" w:cs="Times New Roman"/>
          <w:sz w:val="24"/>
          <w:szCs w:val="24"/>
        </w:rPr>
        <w:t xml:space="preserve"> Doutora em Biologia Parasitária da Amazônia. Universidade do Estado do Pará.  </w:t>
      </w:r>
    </w:p>
    <w:p w14:paraId="30E21721" w14:textId="77777777" w:rsidR="003C5471" w:rsidRDefault="003C5471">
      <w:pPr>
        <w:shd w:val="clear" w:color="auto" w:fill="FFFFFF"/>
        <w:spacing w:line="240" w:lineRule="auto"/>
        <w:jc w:val="center"/>
        <w:rPr>
          <w:rFonts w:ascii="Times New Roman" w:eastAsia="Times New Roman" w:hAnsi="Times New Roman" w:cs="Times New Roman"/>
          <w:sz w:val="24"/>
          <w:szCs w:val="24"/>
        </w:rPr>
      </w:pPr>
    </w:p>
    <w:p w14:paraId="6C9E1584" w14:textId="77777777" w:rsidR="003C5471" w:rsidRDefault="0047022F">
      <w:pPr>
        <w:shd w:val="clear" w:color="auto" w:fill="FFFFFF"/>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07AC6291" w14:textId="77777777" w:rsidR="003C5471" w:rsidRDefault="0047022F">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RESUMO</w:t>
      </w:r>
      <w:r>
        <w:rPr>
          <w:rFonts w:ascii="Times New Roman" w:eastAsia="Times New Roman" w:hAnsi="Times New Roman" w:cs="Times New Roman"/>
          <w:sz w:val="24"/>
          <w:szCs w:val="24"/>
        </w:rPr>
        <w:t xml:space="preserve"> </w:t>
      </w:r>
    </w:p>
    <w:p w14:paraId="7B4E00A8" w14:textId="77777777" w:rsidR="003C5471" w:rsidRDefault="003C5471">
      <w:pPr>
        <w:shd w:val="clear" w:color="auto" w:fill="FFFFFF"/>
        <w:jc w:val="center"/>
        <w:rPr>
          <w:rFonts w:ascii="Times New Roman" w:eastAsia="Times New Roman" w:hAnsi="Times New Roman" w:cs="Times New Roman"/>
          <w:sz w:val="24"/>
          <w:szCs w:val="24"/>
          <w:highlight w:val="red"/>
        </w:rPr>
      </w:pPr>
    </w:p>
    <w:p w14:paraId="7A7C1EC5" w14:textId="5455A548" w:rsidR="003C5471" w:rsidRDefault="002E32F1" w:rsidP="008F28EE">
      <w:pPr>
        <w:shd w:val="clear" w:color="auto" w:fill="FFFFFF"/>
        <w:spacing w:line="240" w:lineRule="auto"/>
        <w:jc w:val="both"/>
        <w:rPr>
          <w:rFonts w:ascii="Times New Roman" w:eastAsia="Times New Roman" w:hAnsi="Times New Roman" w:cs="Times New Roman"/>
          <w:sz w:val="24"/>
          <w:szCs w:val="24"/>
        </w:rPr>
      </w:pPr>
      <w:r w:rsidRPr="002E32F1">
        <w:rPr>
          <w:rFonts w:ascii="Times New Roman" w:eastAsia="Times New Roman" w:hAnsi="Times New Roman" w:cs="Times New Roman"/>
          <w:sz w:val="24"/>
          <w:szCs w:val="24"/>
        </w:rPr>
        <w:t>A</w:t>
      </w:r>
      <w:r w:rsidR="0047022F" w:rsidRPr="002E32F1">
        <w:rPr>
          <w:rFonts w:ascii="Times New Roman" w:eastAsia="Times New Roman" w:hAnsi="Times New Roman" w:cs="Times New Roman"/>
          <w:sz w:val="24"/>
          <w:szCs w:val="24"/>
        </w:rPr>
        <w:t xml:space="preserve"> </w:t>
      </w:r>
      <w:r w:rsidR="0047022F">
        <w:rPr>
          <w:rFonts w:ascii="Times New Roman" w:eastAsia="Times New Roman" w:hAnsi="Times New Roman" w:cs="Times New Roman"/>
          <w:sz w:val="24"/>
          <w:szCs w:val="24"/>
        </w:rPr>
        <w:t xml:space="preserve">Leishmaniose Visceral Humana (LVH) é uma doença infecciosa negligenciada causada por protozoários intracelulares do gênero </w:t>
      </w:r>
      <w:r w:rsidR="0047022F">
        <w:rPr>
          <w:rFonts w:ascii="Times New Roman" w:eastAsia="Times New Roman" w:hAnsi="Times New Roman" w:cs="Times New Roman"/>
          <w:i/>
          <w:iCs/>
          <w:sz w:val="24"/>
          <w:szCs w:val="24"/>
        </w:rPr>
        <w:t>Leishmania</w:t>
      </w:r>
      <w:r w:rsidR="0047022F">
        <w:rPr>
          <w:rFonts w:ascii="Times New Roman" w:eastAsia="Times New Roman" w:hAnsi="Times New Roman" w:cs="Times New Roman"/>
          <w:sz w:val="24"/>
          <w:szCs w:val="24"/>
        </w:rPr>
        <w:t>, transmitida pela picada do mosquito flebotomíneo fêmea, também conhecido como mosquito-palha. Observa-se maior prevalência da LVH na região Norte do Brasil, onde a doença constitui um importante problema de saúde pública, especialmente no estado do Pará. Nesse contexto, o cenário epidemiológico é agravado por uma dinâmica multifatorial, como a ausência de planejamento de infraestrutura urbana e rural. Além disso, o diagnóstico permanece limitado por métodos de baixa precisão e alto custo, dificultando o controle e a vigilância da doença. O estudo justifica-se pela alta endemicidade da LVH  no estado do Pará e pela necessidade de compreender seu perfil epidemiológico em municípios como Belém e Ananindeua, subsidiando ações de vigilância e controle mais eficazes.</w:t>
      </w:r>
      <w:r w:rsidR="001A6938">
        <w:rPr>
          <w:rFonts w:ascii="Times New Roman" w:eastAsia="Times New Roman" w:hAnsi="Times New Roman" w:cs="Times New Roman"/>
          <w:sz w:val="24"/>
          <w:szCs w:val="24"/>
        </w:rPr>
        <w:t xml:space="preserve"> O objetivo da pesquisa é a</w:t>
      </w:r>
      <w:r w:rsidR="0047022F">
        <w:rPr>
          <w:rFonts w:ascii="Times New Roman" w:eastAsia="Times New Roman" w:hAnsi="Times New Roman" w:cs="Times New Roman"/>
          <w:sz w:val="24"/>
          <w:szCs w:val="24"/>
        </w:rPr>
        <w:t xml:space="preserve">nalisar o perfil epidemiológico e geoespacial da leishmaniose visceral humana nos municípios de Belém e Ananindeua, no estado do Pará, Brasil, no período de 2016 a 2025. Este estudo transversal utilizou dados epidemiológicos obtidos nas bases do Sistema de Informação de Agravos de Notificação, do Ministério da Saúde. Os dados cartográficos foram coletados nas bases do Instituto Brasileiro de Geografia e Estatística. Na etapa da estatística descritiva foi aplicado o teste não paramétrico qui-quadrado de proporções esperadas iguais. Na análise da distribuição da doença foi desenvolvido mapa coroplético com a utilização do software QGIS 3.40. Foram confirmados 247 casos de LVH na área de estudo. O maior percentual dos casos foi em indivíduos do sexo </w:t>
      </w:r>
      <w:r w:rsidR="0047022F">
        <w:rPr>
          <w:rFonts w:ascii="Times New Roman" w:eastAsia="Times New Roman" w:hAnsi="Times New Roman" w:cs="Times New Roman"/>
          <w:sz w:val="24"/>
          <w:szCs w:val="24"/>
        </w:rPr>
        <w:lastRenderedPageBreak/>
        <w:t xml:space="preserve">masculino (150), possivelmente pela maior exposição em atividades domésticas e de lazer ao ar livre nos períodos de maior atividade vetorial. Observou-se maior quantitativo de casos em indivíduos de cor parda (197), em decorrência da origem étnica do estado do Pará. Quanto à faixa etária, a doença acomete principalmente crianças de um a nove anos (107), devido à imaturidade imunológica. Em relação à escolaridade, esta geralmente não se aplica (94), reflexo da maior ocorrência em crianças que ainda não frequentam o ambiente escolar. No que se refere ao critério de diagnóstico, a maior parte dos casos foi confirmada por exames laboratoriais (234). A doença apresentou distribuição não homogênea com maior número de casos no município de Belém. A LVH reflete a complexa interação entre fatores sociais, ambientais e biológicos, o que ressalta a importância da abordagem em Saúde Única. O perfil epidemiológico observado de crianças pardas, sem idade escolar reflete a influência dos determinantes sociais no cenário epidemiológico da doença, sendo  recorrente em outras áreas da Amazônia. Com base nas variáveis analisadas, os dados demonstram que a vulnerabilidade social e as deficiências no saneamento favorecem a manutenção do ciclo zoonótico. Assim, o enfrentamento da doença de estudo exige não apenas a ampliação do acesso ao diagnóstico precoce, mas também políticas públicas intersetoriais voltadas à redução das disparidades sociais e à promoção de meios urbanos sustentáveis em prol de reduzir a morbimortalidade e a transmissão.  </w:t>
      </w:r>
    </w:p>
    <w:p w14:paraId="06B56195" w14:textId="77777777" w:rsidR="003C5471" w:rsidRDefault="003C5471">
      <w:pPr>
        <w:shd w:val="clear" w:color="auto" w:fill="FFFFFF"/>
        <w:spacing w:line="240" w:lineRule="auto"/>
        <w:jc w:val="both"/>
        <w:rPr>
          <w:rFonts w:ascii="Times New Roman" w:eastAsia="Times New Roman" w:hAnsi="Times New Roman" w:cs="Times New Roman"/>
          <w:sz w:val="24"/>
          <w:szCs w:val="24"/>
        </w:rPr>
      </w:pPr>
    </w:p>
    <w:p w14:paraId="776D47E6" w14:textId="77777777" w:rsidR="003C5471" w:rsidRDefault="003C5471">
      <w:pPr>
        <w:shd w:val="clear" w:color="auto" w:fill="FFFFFF"/>
        <w:spacing w:after="240"/>
        <w:jc w:val="both"/>
        <w:rPr>
          <w:rFonts w:ascii="Times New Roman" w:eastAsia="Times New Roman" w:hAnsi="Times New Roman" w:cs="Times New Roman"/>
          <w:color w:val="FF0000"/>
          <w:sz w:val="24"/>
          <w:szCs w:val="24"/>
        </w:rPr>
      </w:pPr>
    </w:p>
    <w:p w14:paraId="366C3A4B" w14:textId="6A32FB1B" w:rsidR="003C5471" w:rsidRDefault="0047022F">
      <w:pPr>
        <w:shd w:val="clear" w:color="auto" w:fill="FFFFFF"/>
        <w:spacing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Palavras-chave: </w:t>
      </w:r>
      <w:r>
        <w:rPr>
          <w:rFonts w:ascii="Times New Roman" w:eastAsia="Times New Roman" w:hAnsi="Times New Roman" w:cs="Times New Roman"/>
          <w:sz w:val="24"/>
          <w:szCs w:val="24"/>
        </w:rPr>
        <w:t>Leishmaniose Visceral Humana. Epidemiologia. Saúde Pública.</w:t>
      </w:r>
    </w:p>
    <w:p w14:paraId="71050CE9" w14:textId="77777777" w:rsidR="003C5471" w:rsidRDefault="0047022F">
      <w:pPr>
        <w:shd w:val="clear" w:color="auto" w:fill="FFFFFF"/>
        <w:spacing w:after="240"/>
        <w:jc w:val="both"/>
      </w:pPr>
      <w:r>
        <w:rPr>
          <w:rFonts w:ascii="Times New Roman" w:eastAsia="Times New Roman" w:hAnsi="Times New Roman" w:cs="Times New Roman"/>
          <w:b/>
          <w:bCs/>
          <w:sz w:val="24"/>
          <w:szCs w:val="24"/>
        </w:rPr>
        <w:t>Escolha a Área de Interesse do Simpósio</w:t>
      </w:r>
      <w:r>
        <w:rPr>
          <w:rFonts w:ascii="Times New Roman" w:eastAsia="Times New Roman" w:hAnsi="Times New Roman" w:cs="Times New Roman"/>
          <w:sz w:val="24"/>
          <w:szCs w:val="24"/>
        </w:rPr>
        <w:t>: Ciências Biológicas e da Saúde.</w:t>
      </w:r>
      <w:r>
        <w:rPr>
          <w:rFonts w:ascii="Times New Roman" w:eastAsia="Times New Roman" w:hAnsi="Times New Roman" w:cs="Times New Roman"/>
          <w:b/>
          <w:bCs/>
          <w:color w:val="0000FF"/>
          <w:sz w:val="24"/>
          <w:szCs w:val="24"/>
        </w:rPr>
        <w:t xml:space="preserve"> </w:t>
      </w:r>
    </w:p>
    <w:p w14:paraId="69CD334A" w14:textId="77777777" w:rsidR="003C5471" w:rsidRDefault="003C5471"/>
    <w:p w14:paraId="00358669" w14:textId="77777777" w:rsidR="003C5471" w:rsidRDefault="003C5471"/>
    <w:p w14:paraId="20722C89" w14:textId="77777777" w:rsidR="003C5471" w:rsidRDefault="003C5471"/>
    <w:sectPr w:rsidR="003C5471">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009D9" w14:textId="77777777" w:rsidR="004F3901" w:rsidRDefault="004F3901">
      <w:pPr>
        <w:spacing w:line="240" w:lineRule="auto"/>
      </w:pPr>
      <w:r>
        <w:separator/>
      </w:r>
    </w:p>
  </w:endnote>
  <w:endnote w:type="continuationSeparator" w:id="0">
    <w:p w14:paraId="4F6E625A" w14:textId="77777777" w:rsidR="004F3901" w:rsidRDefault="004F39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364C53-94ED-4467-9F32-D40A53EFD10A}"/>
  </w:font>
  <w:font w:name="Cambria">
    <w:panose1 w:val="02040503050406030204"/>
    <w:charset w:val="00"/>
    <w:family w:val="roman"/>
    <w:pitch w:val="variable"/>
    <w:sig w:usb0="E00006FF" w:usb1="420024FF" w:usb2="02000000" w:usb3="00000000" w:csb0="0000019F" w:csb1="00000000"/>
    <w:embedRegular r:id="rId2" w:fontKey="{50133AEE-EA43-481D-A1C2-20D2CED8E6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9397" w14:textId="77777777" w:rsidR="003C5471" w:rsidRDefault="0047022F">
    <w:r>
      <w:rPr>
        <w:noProof/>
      </w:rPr>
      <w:drawing>
        <wp:anchor distT="114300" distB="114300" distL="114300" distR="114300" simplePos="0" relativeHeight="251658240" behindDoc="0" locked="0" layoutInCell="1" hidden="0" allowOverlap="1" wp14:anchorId="771414F7" wp14:editId="587532BA">
          <wp:simplePos x="0" y="0"/>
          <wp:positionH relativeFrom="column">
            <wp:posOffset>2514600</wp:posOffset>
          </wp:positionH>
          <wp:positionV relativeFrom="paragraph">
            <wp:posOffset>228413</wp:posOffset>
          </wp:positionV>
          <wp:extent cx="546100" cy="38100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46100" cy="3810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327F219" wp14:editId="4E7F6B78">
          <wp:simplePos x="0" y="0"/>
          <wp:positionH relativeFrom="column">
            <wp:posOffset>-400049</wp:posOffset>
          </wp:positionH>
          <wp:positionV relativeFrom="paragraph">
            <wp:posOffset>285563</wp:posOffset>
          </wp:positionV>
          <wp:extent cx="762000" cy="25400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62000" cy="2540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94AB1E4" wp14:editId="11971C65">
          <wp:simplePos x="0" y="0"/>
          <wp:positionH relativeFrom="column">
            <wp:posOffset>438150</wp:posOffset>
          </wp:positionH>
          <wp:positionV relativeFrom="paragraph">
            <wp:posOffset>180788</wp:posOffset>
          </wp:positionV>
          <wp:extent cx="1244600" cy="381000"/>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1244600" cy="3810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D291ABE" wp14:editId="5CF3D2DF">
          <wp:simplePos x="0" y="0"/>
          <wp:positionH relativeFrom="column">
            <wp:posOffset>1819275</wp:posOffset>
          </wp:positionH>
          <wp:positionV relativeFrom="paragraph">
            <wp:posOffset>256988</wp:posOffset>
          </wp:positionV>
          <wp:extent cx="558800" cy="317500"/>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558800" cy="3175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0EDABED" wp14:editId="08E960B1">
          <wp:simplePos x="0" y="0"/>
          <wp:positionH relativeFrom="column">
            <wp:posOffset>3171825</wp:posOffset>
          </wp:positionH>
          <wp:positionV relativeFrom="paragraph">
            <wp:posOffset>228413</wp:posOffset>
          </wp:positionV>
          <wp:extent cx="914400" cy="36830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914400" cy="36830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7C2F259D" wp14:editId="37C2E488">
          <wp:simplePos x="0" y="0"/>
          <wp:positionH relativeFrom="column">
            <wp:posOffset>4229100</wp:posOffset>
          </wp:positionH>
          <wp:positionV relativeFrom="paragraph">
            <wp:posOffset>204600</wp:posOffset>
          </wp:positionV>
          <wp:extent cx="762000" cy="3429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62000" cy="34290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4AC60FD8" wp14:editId="2B5AB487">
          <wp:simplePos x="0" y="0"/>
          <wp:positionH relativeFrom="column">
            <wp:posOffset>5210175</wp:posOffset>
          </wp:positionH>
          <wp:positionV relativeFrom="paragraph">
            <wp:posOffset>142688</wp:posOffset>
          </wp:positionV>
          <wp:extent cx="444500" cy="469900"/>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44500" cy="469900"/>
                  </a:xfrm>
                  <a:prstGeom prst="rect">
                    <a:avLst/>
                  </a:prstGeom>
                  <a:ln/>
                </pic:spPr>
              </pic:pic>
            </a:graphicData>
          </a:graphic>
        </wp:anchor>
      </w:drawing>
    </w:r>
  </w:p>
  <w:p w14:paraId="473F00CA" w14:textId="77777777" w:rsidR="003C5471" w:rsidRDefault="003C54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7AF50" w14:textId="77777777" w:rsidR="004F3901" w:rsidRDefault="004F3901">
      <w:pPr>
        <w:spacing w:line="240" w:lineRule="auto"/>
      </w:pPr>
      <w:r>
        <w:separator/>
      </w:r>
    </w:p>
  </w:footnote>
  <w:footnote w:type="continuationSeparator" w:id="0">
    <w:p w14:paraId="45E3F901" w14:textId="77777777" w:rsidR="004F3901" w:rsidRDefault="004F39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F7E3" w14:textId="77777777" w:rsidR="003C5471" w:rsidRDefault="0047022F">
    <w:pPr>
      <w:jc w:val="center"/>
    </w:pPr>
    <w:r>
      <w:rPr>
        <w:noProof/>
      </w:rPr>
      <w:drawing>
        <wp:inline distT="114300" distB="114300" distL="114300" distR="114300" wp14:anchorId="1126B83A" wp14:editId="15765127">
          <wp:extent cx="3251200" cy="1612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51200" cy="16129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471"/>
    <w:rsid w:val="001A6938"/>
    <w:rsid w:val="002E32F1"/>
    <w:rsid w:val="003C5471"/>
    <w:rsid w:val="0047022F"/>
    <w:rsid w:val="004F3901"/>
    <w:rsid w:val="00615323"/>
    <w:rsid w:val="00656751"/>
    <w:rsid w:val="006A5EFD"/>
    <w:rsid w:val="006B0405"/>
    <w:rsid w:val="007C0C72"/>
    <w:rsid w:val="00854942"/>
    <w:rsid w:val="008F28EE"/>
    <w:rsid w:val="00A733EA"/>
    <w:rsid w:val="00B933CC"/>
    <w:rsid w:val="00D41A88"/>
    <w:rsid w:val="00D71ED4"/>
    <w:rsid w:val="00DE1A88"/>
    <w:rsid w:val="00EB7B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44174"/>
  <w15:docId w15:val="{CC112B3E-14BF-4CAD-8965-0423A75E2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633</Words>
  <Characters>3679</Characters>
  <Application>Microsoft Office Word</Application>
  <DocSecurity>0</DocSecurity>
  <Lines>63</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Domingos Sanches</cp:lastModifiedBy>
  <cp:revision>20</cp:revision>
  <dcterms:created xsi:type="dcterms:W3CDTF">2025-11-30T20:36:00Z</dcterms:created>
  <dcterms:modified xsi:type="dcterms:W3CDTF">2025-12-02T02:08:00Z</dcterms:modified>
</cp:coreProperties>
</file>