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374D5" w:rsidRDefault="00D374D5" w14:paraId="39194912" w14:textId="77777777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:rsidR="00D374D5" w:rsidRDefault="00A1079A" w14:paraId="1A14FC8D" w14:textId="77777777">
      <w:pPr>
        <w:pStyle w:val="Ttulo1"/>
        <w:spacing w:before="1" w:line="360" w:lineRule="auto"/>
        <w:ind w:right="7" w:firstLine="7"/>
      </w:pPr>
      <w:r>
        <w:t>RADAR DE BIODISPONIBILIDADE DO TIAMETOXAN: UM ESTUDO SOBRE A CONTAMINAÇÃO DA ALFACE</w:t>
      </w:r>
    </w:p>
    <w:p w:rsidR="00D374D5" w:rsidRDefault="00D374D5" w14:paraId="32296BDD" w14:textId="77777777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b/>
          <w:bCs/>
          <w:color w:val="000000"/>
          <w:sz w:val="24"/>
          <w:szCs w:val="24"/>
        </w:rPr>
      </w:pPr>
    </w:p>
    <w:p w:rsidR="00D374D5" w:rsidRDefault="00A1079A" w14:paraId="7A1BD16D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" w:right="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Pedro Filipe Oliveira da Silva</w:t>
      </w:r>
      <w:r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>; Silmara dos Santos Lima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>; Gláucia Santos Dias Azevedo</w:t>
      </w:r>
      <w:r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>; Alessandra Simone Santos de Oliveira Flor</w:t>
      </w:r>
      <w:r>
        <w:rPr>
          <w:color w:val="000000"/>
          <w:sz w:val="24"/>
          <w:szCs w:val="24"/>
          <w:vertAlign w:val="superscript"/>
        </w:rPr>
        <w:t>4</w:t>
      </w:r>
      <w:r>
        <w:rPr>
          <w:color w:val="000000"/>
          <w:sz w:val="24"/>
          <w:szCs w:val="24"/>
        </w:rPr>
        <w:t xml:space="preserve">; </w:t>
      </w:r>
      <w:r>
        <w:rPr>
          <w:color w:val="000000"/>
          <w:sz w:val="24"/>
          <w:szCs w:val="24"/>
          <w:u w:val="single"/>
        </w:rPr>
        <w:t>Adriano Santos da Rocha</w:t>
      </w:r>
      <w:r>
        <w:rPr>
          <w:color w:val="000000"/>
          <w:sz w:val="24"/>
          <w:szCs w:val="24"/>
          <w:vertAlign w:val="superscript"/>
        </w:rPr>
        <w:t>5</w:t>
      </w:r>
    </w:p>
    <w:p w:rsidR="00D374D5" w:rsidRDefault="00D374D5" w14:paraId="183E4221" w14:textId="77777777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4"/>
          <w:szCs w:val="24"/>
        </w:rPr>
      </w:pPr>
    </w:p>
    <w:p w:rsidR="00D374D5" w:rsidRDefault="00A1079A" w14:paraId="277BA576" w14:textId="77777777">
      <w:pPr>
        <w:pBdr>
          <w:top w:val="nil"/>
          <w:left w:val="nil"/>
          <w:bottom w:val="nil"/>
          <w:right w:val="nil"/>
          <w:between w:val="nil"/>
        </w:pBdr>
        <w:ind w:left="7" w:right="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 xml:space="preserve"> Graduando em Agronomia. IFPA – Campus Castanhal. </w:t>
      </w:r>
      <w:hyperlink r:id="rId6">
        <w:r>
          <w:rPr>
            <w:color w:val="000000"/>
            <w:sz w:val="24"/>
            <w:szCs w:val="24"/>
          </w:rPr>
          <w:t>pfilipe.ofc@gmail.com.</w:t>
        </w:r>
      </w:hyperlink>
    </w:p>
    <w:p w:rsidR="00D374D5" w:rsidRDefault="00A1079A" w14:paraId="4D875F8E" w14:textId="77777777">
      <w:pPr>
        <w:pBdr>
          <w:top w:val="nil"/>
          <w:left w:val="nil"/>
          <w:bottom w:val="nil"/>
          <w:right w:val="nil"/>
          <w:between w:val="nil"/>
        </w:pBdr>
        <w:spacing w:before="138"/>
        <w:ind w:left="7" w:right="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 Graduanda em Engenharia de Alimentos. IFPA – Campus Castanhal.</w:t>
      </w:r>
    </w:p>
    <w:p w:rsidR="00D374D5" w:rsidRDefault="00A1079A" w14:paraId="5D69B38F" w14:textId="77777777">
      <w:pPr>
        <w:pBdr>
          <w:top w:val="nil"/>
          <w:left w:val="nil"/>
          <w:bottom w:val="nil"/>
          <w:right w:val="nil"/>
          <w:between w:val="nil"/>
        </w:pBdr>
        <w:spacing w:before="138" w:line="360" w:lineRule="auto"/>
        <w:ind w:left="7" w:right="1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3</w:t>
      </w:r>
      <w:r>
        <w:rPr>
          <w:color w:val="000000"/>
          <w:sz w:val="24"/>
          <w:szCs w:val="24"/>
        </w:rPr>
        <w:t xml:space="preserve"> Doutoranda em Desenvolvimento Rural e Sistemas Agroalimentares. IFPA – Campus Castanhal.</w:t>
      </w:r>
    </w:p>
    <w:p w:rsidR="00D374D5" w:rsidRDefault="00A1079A" w14:paraId="3B1A6125" w14:textId="77777777">
      <w:pPr>
        <w:pBdr>
          <w:top w:val="nil"/>
          <w:left w:val="nil"/>
          <w:bottom w:val="nil"/>
          <w:right w:val="nil"/>
          <w:between w:val="nil"/>
        </w:pBdr>
        <w:ind w:left="7" w:right="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4</w:t>
      </w:r>
      <w:r>
        <w:rPr>
          <w:color w:val="000000"/>
          <w:sz w:val="24"/>
          <w:szCs w:val="24"/>
        </w:rPr>
        <w:t xml:space="preserve"> Doutora em Produção Vegetal. IFPA – Campus Castanhal.</w:t>
      </w:r>
    </w:p>
    <w:p w:rsidR="00D374D5" w:rsidRDefault="00A1079A" w14:paraId="7E0DAD5E" w14:textId="77777777">
      <w:pPr>
        <w:pBdr>
          <w:top w:val="nil"/>
          <w:left w:val="nil"/>
          <w:bottom w:val="nil"/>
          <w:right w:val="nil"/>
          <w:between w:val="nil"/>
        </w:pBdr>
        <w:spacing w:before="138"/>
        <w:ind w:left="7" w:right="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5</w:t>
      </w:r>
      <w:r>
        <w:rPr>
          <w:color w:val="000000"/>
          <w:sz w:val="24"/>
          <w:szCs w:val="24"/>
        </w:rPr>
        <w:t xml:space="preserve"> Doutor em Engenharia de Recursos Naturais. IFPA – Campus Castanhal.</w:t>
      </w:r>
    </w:p>
    <w:p w:rsidR="00D374D5" w:rsidRDefault="00D374D5" w14:paraId="6DC0E2AF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374D5" w:rsidRDefault="00D374D5" w14:paraId="1BC55760" w14:textId="7777777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374D5" w:rsidRDefault="00A1079A" w14:paraId="7CB5C4D4" w14:textId="77777777">
      <w:pPr>
        <w:pStyle w:val="Ttulo1"/>
        <w:ind w:firstLine="7"/>
      </w:pPr>
      <w:r>
        <w:t>RESUMO</w:t>
      </w:r>
    </w:p>
    <w:p w:rsidR="00D374D5" w:rsidP="579FBA17" w:rsidRDefault="00A1079A" w14:paraId="644CF9BE" w14:textId="294C9B92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98" w:line="360" w:lineRule="auto"/>
        <w:ind w:left="3" w:right="8"/>
        <w:jc w:val="both"/>
        <w:rPr>
          <w:color w:val="000000"/>
          <w:sz w:val="24"/>
          <w:szCs w:val="24"/>
        </w:rPr>
      </w:pPr>
      <w:r w:rsidRPr="579FBA17" w:rsidR="00A1079A">
        <w:rPr>
          <w:color w:val="000000" w:themeColor="text1" w:themeTint="FF" w:themeShade="FF"/>
          <w:sz w:val="24"/>
          <w:szCs w:val="24"/>
        </w:rPr>
        <w:t xml:space="preserve">Com o passar dos anos, é </w:t>
      </w:r>
      <w:r w:rsidRPr="579FBA17" w:rsidR="00A1079A">
        <w:rPr>
          <w:color w:val="000000" w:themeColor="text1" w:themeTint="FF" w:themeShade="FF"/>
          <w:sz w:val="24"/>
          <w:szCs w:val="24"/>
        </w:rPr>
        <w:t>perceptível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a ascendência do Brasil quanto ao uso </w:t>
      </w:r>
      <w:r w:rsidRPr="579FBA17" w:rsidR="46E43215">
        <w:rPr>
          <w:color w:val="000000" w:themeColor="text1" w:themeTint="FF" w:themeShade="FF"/>
          <w:sz w:val="24"/>
          <w:szCs w:val="24"/>
        </w:rPr>
        <w:t xml:space="preserve">de </w:t>
      </w:r>
      <w:r w:rsidRPr="579FBA17" w:rsidR="00A1079A">
        <w:rPr>
          <w:color w:val="000000" w:themeColor="text1" w:themeTint="FF" w:themeShade="FF"/>
          <w:sz w:val="24"/>
          <w:szCs w:val="24"/>
        </w:rPr>
        <w:t>defensivos agrícolas, onde no ano de 2021, segundo a</w:t>
      </w:r>
      <w:r w:rsidRPr="579FBA17" w:rsidR="14D36903">
        <w:rPr>
          <w:color w:val="000000" w:themeColor="text1" w:themeTint="FF" w:themeShade="FF"/>
          <w:sz w:val="24"/>
          <w:szCs w:val="24"/>
        </w:rPr>
        <w:t xml:space="preserve"> Food </w:t>
      </w:r>
      <w:r w:rsidRPr="579FBA17" w:rsidR="14D36903">
        <w:rPr>
          <w:color w:val="000000" w:themeColor="text1" w:themeTint="FF" w:themeShade="FF"/>
          <w:sz w:val="24"/>
          <w:szCs w:val="24"/>
        </w:rPr>
        <w:t>and</w:t>
      </w:r>
      <w:r w:rsidRPr="579FBA17" w:rsidR="14D36903">
        <w:rPr>
          <w:color w:val="000000" w:themeColor="text1" w:themeTint="FF" w:themeShade="FF"/>
          <w:sz w:val="24"/>
          <w:szCs w:val="24"/>
        </w:rPr>
        <w:t xml:space="preserve"> </w:t>
      </w:r>
      <w:r w:rsidRPr="579FBA17" w:rsidR="14D36903">
        <w:rPr>
          <w:color w:val="000000" w:themeColor="text1" w:themeTint="FF" w:themeShade="FF"/>
          <w:sz w:val="24"/>
          <w:szCs w:val="24"/>
        </w:rPr>
        <w:t>Agriculture</w:t>
      </w:r>
      <w:r w:rsidRPr="579FBA17" w:rsidR="14D36903">
        <w:rPr>
          <w:color w:val="000000" w:themeColor="text1" w:themeTint="FF" w:themeShade="FF"/>
          <w:sz w:val="24"/>
          <w:szCs w:val="24"/>
        </w:rPr>
        <w:t xml:space="preserve"> </w:t>
      </w:r>
      <w:r w:rsidRPr="579FBA17" w:rsidR="14D36903">
        <w:rPr>
          <w:color w:val="000000" w:themeColor="text1" w:themeTint="FF" w:themeShade="FF"/>
          <w:sz w:val="24"/>
          <w:szCs w:val="24"/>
        </w:rPr>
        <w:t>Organization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</w:t>
      </w:r>
      <w:r w:rsidRPr="579FBA17" w:rsidR="65D40800">
        <w:rPr>
          <w:color w:val="000000" w:themeColor="text1" w:themeTint="FF" w:themeShade="FF"/>
          <w:sz w:val="24"/>
          <w:szCs w:val="24"/>
        </w:rPr>
        <w:t>(</w:t>
      </w:r>
      <w:commentRangeStart w:id="0"/>
      <w:r w:rsidRPr="579FBA17" w:rsidR="00A1079A">
        <w:rPr>
          <w:color w:val="000000" w:themeColor="text1" w:themeTint="FF" w:themeShade="FF"/>
          <w:sz w:val="24"/>
          <w:szCs w:val="24"/>
        </w:rPr>
        <w:t>FAO</w:t>
      </w:r>
      <w:r w:rsidRPr="579FBA17" w:rsidR="66BE4327">
        <w:rPr>
          <w:color w:val="000000" w:themeColor="text1" w:themeTint="FF" w:themeShade="FF"/>
          <w:sz w:val="24"/>
          <w:szCs w:val="24"/>
        </w:rPr>
        <w:t>)</w:t>
      </w:r>
      <w:commentRangeEnd w:id="0"/>
      <w:r>
        <w:rPr>
          <w:rStyle w:val="CommentReference"/>
        </w:rPr>
        <w:commentReference w:id="0"/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, o consumo foi de 720 mil toneladas em âmbito nacional. Dados da </w:t>
      </w:r>
      <w:commentRangeStart w:id="1"/>
      <w:r w:rsidRPr="579FBA17" w:rsidR="00A1079A">
        <w:rPr>
          <w:color w:val="000000" w:themeColor="text1" w:themeTint="FF" w:themeShade="FF"/>
          <w:sz w:val="24"/>
          <w:szCs w:val="24"/>
        </w:rPr>
        <w:t>Agência Nacional de Vigilância Sanitária (ANVISA)</w:t>
      </w:r>
      <w:commentRangeEnd w:id="1"/>
      <w:r>
        <w:rPr>
          <w:rStyle w:val="CommentReference"/>
        </w:rPr>
        <w:commentReference w:id="1"/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</w:t>
      </w:r>
      <w:r w:rsidRPr="579FBA17" w:rsidR="00A1079A">
        <w:rPr>
          <w:sz w:val="24"/>
          <w:szCs w:val="24"/>
        </w:rPr>
        <w:t>de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2023 apontam que 1 a cada 4 produtos de origem vegetal </w:t>
      </w:r>
      <w:r w:rsidRPr="579FBA17" w:rsidR="00A1079A">
        <w:rPr>
          <w:sz w:val="24"/>
          <w:szCs w:val="24"/>
        </w:rPr>
        <w:t>possui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resíduos de agrotóxicos proibidos ou acima do n</w:t>
      </w:r>
      <w:r w:rsidRPr="579FBA17" w:rsidR="00A1079A">
        <w:rPr>
          <w:sz w:val="24"/>
          <w:szCs w:val="24"/>
        </w:rPr>
        <w:t>ível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permitido, indicando uma contaminação que pode ser prejudicial ao consumidor. Nesse contexto, o inseticida </w:t>
      </w:r>
      <w:r w:rsidRPr="579FBA17" w:rsidR="00A1079A">
        <w:rPr>
          <w:color w:val="000000" w:themeColor="text1" w:themeTint="FF" w:themeShade="FF"/>
          <w:sz w:val="24"/>
          <w:szCs w:val="24"/>
        </w:rPr>
        <w:t>Tiametoxan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(C</w:t>
      </w:r>
      <w:r w:rsidRPr="579FBA17" w:rsidR="00A1079A">
        <w:rPr>
          <w:color w:val="000000" w:themeColor="text1" w:themeTint="FF" w:themeShade="FF"/>
          <w:sz w:val="24"/>
          <w:szCs w:val="24"/>
          <w:vertAlign w:val="subscript"/>
        </w:rPr>
        <w:t>8</w:t>
      </w:r>
      <w:r w:rsidRPr="579FBA17" w:rsidR="00A1079A">
        <w:rPr>
          <w:color w:val="000000" w:themeColor="text1" w:themeTint="FF" w:themeShade="FF"/>
          <w:sz w:val="24"/>
          <w:szCs w:val="24"/>
        </w:rPr>
        <w:t>H</w:t>
      </w:r>
      <w:r w:rsidRPr="579FBA17" w:rsidR="00A1079A">
        <w:rPr>
          <w:color w:val="000000" w:themeColor="text1" w:themeTint="FF" w:themeShade="FF"/>
          <w:sz w:val="24"/>
          <w:szCs w:val="24"/>
          <w:vertAlign w:val="subscript"/>
        </w:rPr>
        <w:t>10</w:t>
      </w:r>
      <w:r w:rsidRPr="579FBA17" w:rsidR="00A1079A">
        <w:rPr>
          <w:color w:val="000000" w:themeColor="text1" w:themeTint="FF" w:themeShade="FF"/>
          <w:sz w:val="24"/>
          <w:szCs w:val="24"/>
        </w:rPr>
        <w:t>ClN</w:t>
      </w:r>
      <w:r w:rsidRPr="579FBA17" w:rsidR="00A1079A">
        <w:rPr>
          <w:color w:val="000000" w:themeColor="text1" w:themeTint="FF" w:themeShade="FF"/>
          <w:sz w:val="24"/>
          <w:szCs w:val="24"/>
          <w:vertAlign w:val="subscript"/>
        </w:rPr>
        <w:t>5</w:t>
      </w:r>
      <w:r w:rsidRPr="579FBA17" w:rsidR="00A1079A">
        <w:rPr>
          <w:color w:val="000000" w:themeColor="text1" w:themeTint="FF" w:themeShade="FF"/>
          <w:sz w:val="24"/>
          <w:szCs w:val="24"/>
        </w:rPr>
        <w:t>O</w:t>
      </w:r>
      <w:r w:rsidRPr="579FBA17" w:rsidR="00A1079A">
        <w:rPr>
          <w:color w:val="000000" w:themeColor="text1" w:themeTint="FF" w:themeShade="FF"/>
          <w:sz w:val="24"/>
          <w:szCs w:val="24"/>
          <w:vertAlign w:val="subscript"/>
        </w:rPr>
        <w:t>3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S) se destaca entre esses defensivos, pois, segundo o Programa de Análise de Resíduos de Agrotóxicos em Alimentos, em seu relatório no ciclo de 2023, </w:t>
      </w:r>
      <w:commentRangeStart w:id="2"/>
      <w:r w:rsidRPr="579FBA17" w:rsidR="00A1079A">
        <w:rPr>
          <w:color w:val="000000" w:themeColor="text1" w:themeTint="FF" w:themeShade="FF"/>
          <w:sz w:val="24"/>
          <w:szCs w:val="24"/>
        </w:rPr>
        <w:t>a partir das análises laboratoriais com exemplares do vegetal, esse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</w:t>
      </w:r>
      <w:r w:rsidRPr="579FBA17" w:rsidR="00A1079A">
        <w:rPr>
          <w:sz w:val="24"/>
          <w:szCs w:val="24"/>
        </w:rPr>
        <w:t xml:space="preserve">inseticida </w:t>
      </w:r>
      <w:r w:rsidRPr="579FBA17" w:rsidR="00A1079A">
        <w:rPr>
          <w:color w:val="000000" w:themeColor="text1" w:themeTint="FF" w:themeShade="FF"/>
          <w:sz w:val="24"/>
          <w:szCs w:val="24"/>
        </w:rPr>
        <w:t>foi predominante nos produt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os finais </w:t>
      </w:r>
      <w:r w:rsidRPr="579FBA17" w:rsidR="00A1079A">
        <w:rPr>
          <w:sz w:val="24"/>
          <w:szCs w:val="24"/>
        </w:rPr>
        <w:t>d</w:t>
      </w:r>
      <w:r w:rsidRPr="579FBA17" w:rsidR="00A1079A">
        <w:rPr>
          <w:color w:val="000000" w:themeColor="text1" w:themeTint="FF" w:themeShade="FF"/>
          <w:sz w:val="24"/>
          <w:szCs w:val="24"/>
        </w:rPr>
        <w:t>a cultura da alface.</w:t>
      </w:r>
      <w:commentRangeEnd w:id="2"/>
      <w:r>
        <w:rPr>
          <w:rStyle w:val="CommentReference"/>
        </w:rPr>
        <w:commentReference w:id="2"/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Partindo da justificativa de promover informações que caracterizam a biodisponibilidade de determinados defensivos, uma propriedade que indica a tendência de se distribuir pelo organismo humano</w:t>
      </w:r>
      <w:r w:rsidRPr="579FBA17" w:rsidR="00A1079A">
        <w:rPr>
          <w:sz w:val="24"/>
          <w:szCs w:val="24"/>
        </w:rPr>
        <w:t>, o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presente trabalho tem como objetivo gerar o chamado radar de biodisponibilidade do ingrediente ativo </w:t>
      </w:r>
      <w:r w:rsidRPr="579FBA17" w:rsidR="00A1079A">
        <w:rPr>
          <w:color w:val="000000" w:themeColor="text1" w:themeTint="FF" w:themeShade="FF"/>
          <w:sz w:val="24"/>
          <w:szCs w:val="24"/>
        </w:rPr>
        <w:t>Tiametoxan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e comparar o resultado com um </w:t>
      </w:r>
      <w:commentRangeStart w:id="3"/>
      <w:r w:rsidRPr="579FBA17" w:rsidR="00A1079A">
        <w:rPr>
          <w:color w:val="000000" w:themeColor="text1" w:themeTint="FF" w:themeShade="FF"/>
          <w:sz w:val="24"/>
          <w:szCs w:val="24"/>
        </w:rPr>
        <w:t>fármaco</w:t>
      </w:r>
      <w:commentRangeEnd w:id="3"/>
      <w:r>
        <w:rPr>
          <w:rStyle w:val="CommentReference"/>
        </w:rPr>
        <w:commentReference w:id="3"/>
      </w:r>
      <w:r w:rsidRPr="579FBA17" w:rsidR="2CE046F4">
        <w:rPr>
          <w:color w:val="000000" w:themeColor="text1" w:themeTint="FF" w:themeShade="FF"/>
          <w:sz w:val="24"/>
          <w:szCs w:val="24"/>
        </w:rPr>
        <w:t>, sendo este o Ibuprofeno, pois possui uma biodisponibilidade favorável e também trata-se de um dos anti-inflamatório com mais prescrição no mundo, um fato que assegura a sua base de conhecimento e discussões sobre distribuição no organismo humano.</w:t>
      </w:r>
      <w:r w:rsidRPr="579FBA17" w:rsidR="00A1079A">
        <w:rPr>
          <w:sz w:val="24"/>
          <w:szCs w:val="24"/>
        </w:rPr>
        <w:t xml:space="preserve"> E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ste método computacional amplamente utilizado na farmacocinética e farmacologia, se baseia no contraste da molécula alvo com fármacos, avaliando assim os perigos dos defensivos. De modo geral, o radar de biodisponibilidade é composto por 6 variáveis que caracterizam uma molécula, sendo elas: </w:t>
      </w:r>
      <w:r w:rsidRPr="579FBA17" w:rsidR="00A1079A">
        <w:rPr>
          <w:color w:val="000000" w:themeColor="text1" w:themeTint="FF" w:themeShade="FF"/>
          <w:sz w:val="24"/>
          <w:szCs w:val="24"/>
        </w:rPr>
        <w:t>lipofilicidade</w:t>
      </w:r>
      <w:r w:rsidRPr="579FBA17" w:rsidR="00A1079A">
        <w:rPr>
          <w:color w:val="000000" w:themeColor="text1" w:themeTint="FF" w:themeShade="FF"/>
          <w:sz w:val="24"/>
          <w:szCs w:val="24"/>
        </w:rPr>
        <w:t>, tamanho, polaridade, solubilidade, flexibilidade e saturação. Para gerar o rada</w:t>
      </w:r>
      <w:r w:rsidRPr="579FBA17" w:rsidR="00A1079A">
        <w:rPr>
          <w:sz w:val="24"/>
          <w:szCs w:val="24"/>
        </w:rPr>
        <w:t xml:space="preserve">r 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foi utilizado a plataforma digital gratuita </w:t>
      </w:r>
      <w:r w:rsidRPr="579FBA17" w:rsidR="00A1079A">
        <w:rPr>
          <w:color w:val="000000" w:themeColor="text1" w:themeTint="FF" w:themeShade="FF"/>
          <w:sz w:val="24"/>
          <w:szCs w:val="24"/>
        </w:rPr>
        <w:t>SwissADME</w:t>
      </w:r>
      <w:r w:rsidRPr="579FBA17" w:rsidR="00A1079A">
        <w:rPr>
          <w:color w:val="000000" w:themeColor="text1" w:themeTint="FF" w:themeShade="FF"/>
          <w:sz w:val="24"/>
          <w:szCs w:val="24"/>
        </w:rPr>
        <w:t>, onde, é possível elaborar a molécula alvo e realizar os cálculos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necessários que determinar esse radar. A </w:t>
      </w:r>
      <w:r w:rsidRPr="579FBA17" w:rsidR="00A1079A">
        <w:rPr>
          <w:sz w:val="24"/>
          <w:szCs w:val="24"/>
        </w:rPr>
        <w:t>análise dos dados foi qualitativa e baseou-se diretamente nos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resultados </w:t>
      </w:r>
      <w:r w:rsidRPr="579FBA17" w:rsidR="00A1079A">
        <w:rPr>
          <w:sz w:val="24"/>
          <w:szCs w:val="24"/>
        </w:rPr>
        <w:t xml:space="preserve">fornecidos pelo </w:t>
      </w:r>
      <w:r w:rsidRPr="579FBA17" w:rsidR="00A1079A">
        <w:rPr>
          <w:color w:val="000000" w:themeColor="text1" w:themeTint="FF" w:themeShade="FF"/>
          <w:sz w:val="24"/>
          <w:szCs w:val="24"/>
        </w:rPr>
        <w:t>software</w:t>
      </w:r>
      <w:r w:rsidRPr="579FBA17" w:rsidR="00A1079A">
        <w:rPr>
          <w:color w:val="000000" w:themeColor="text1" w:themeTint="FF" w:themeShade="FF"/>
          <w:sz w:val="24"/>
          <w:szCs w:val="24"/>
        </w:rPr>
        <w:t>. Levando em consideração as variáveis, foi notóri</w:t>
      </w:r>
      <w:r w:rsidRPr="579FBA17" w:rsidR="00A1079A">
        <w:rPr>
          <w:sz w:val="24"/>
          <w:szCs w:val="24"/>
        </w:rPr>
        <w:t>a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a aproximação e semelhança entre os radares do </w:t>
      </w:r>
      <w:r w:rsidRPr="579FBA17" w:rsidR="00A1079A">
        <w:rPr>
          <w:color w:val="000000" w:themeColor="text1" w:themeTint="FF" w:themeShade="FF"/>
          <w:sz w:val="24"/>
          <w:szCs w:val="24"/>
        </w:rPr>
        <w:t>Tiametoxan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e o </w:t>
      </w:r>
      <w:r w:rsidRPr="579FBA17" w:rsidR="053C19BE">
        <w:rPr>
          <w:color w:val="000000" w:themeColor="text1" w:themeTint="FF" w:themeShade="FF"/>
          <w:sz w:val="24"/>
          <w:szCs w:val="24"/>
        </w:rPr>
        <w:t>Ibuprofeno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, mostrando o defensivo totalmente dentro da região de biodisponibilidade de fármacos e compatível com todas as variáveis citadas anteriormente. Dado o exposto, conclui-se que, o </w:t>
      </w:r>
      <w:r w:rsidRPr="579FBA17" w:rsidR="00A1079A">
        <w:rPr>
          <w:color w:val="000000" w:themeColor="text1" w:themeTint="FF" w:themeShade="FF"/>
          <w:sz w:val="24"/>
          <w:szCs w:val="24"/>
        </w:rPr>
        <w:t>Tiametoxan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tem um perfil que se assemelha ao fármaco escolhido para contraste, indicando uma considerável biodisponibilidade em nosso organismo caso ocorra uma intoxicação via oral</w:t>
      </w:r>
      <w:r w:rsidRPr="579FBA17" w:rsidR="00A1079A">
        <w:rPr>
          <w:sz w:val="24"/>
          <w:szCs w:val="24"/>
        </w:rPr>
        <w:t>. N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o entanto, este estudo não </w:t>
      </w:r>
      <w:r w:rsidRPr="579FBA17" w:rsidR="00A1079A">
        <w:rPr>
          <w:color w:val="000000" w:themeColor="text1" w:themeTint="FF" w:themeShade="FF"/>
          <w:sz w:val="24"/>
          <w:szCs w:val="24"/>
        </w:rPr>
        <w:t>aponta a toxicidade efetiva desse ingrediente ativo, t</w:t>
      </w:r>
      <w:r w:rsidRPr="579FBA17" w:rsidR="00A1079A">
        <w:rPr>
          <w:sz w:val="24"/>
          <w:szCs w:val="24"/>
        </w:rPr>
        <w:t>am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pouco a sua interação com o meio envolvente da natureza, </w:t>
      </w:r>
      <w:r w:rsidRPr="579FBA17" w:rsidR="00A1079A">
        <w:rPr>
          <w:sz w:val="24"/>
          <w:szCs w:val="24"/>
        </w:rPr>
        <w:t xml:space="preserve">havendo </w:t>
      </w:r>
      <w:r w:rsidRPr="579FBA17" w:rsidR="00A1079A">
        <w:rPr>
          <w:color w:val="000000" w:themeColor="text1" w:themeTint="FF" w:themeShade="FF"/>
          <w:sz w:val="24"/>
          <w:szCs w:val="24"/>
        </w:rPr>
        <w:t>necess</w:t>
      </w:r>
      <w:r w:rsidRPr="579FBA17" w:rsidR="00A1079A">
        <w:rPr>
          <w:sz w:val="24"/>
          <w:szCs w:val="24"/>
        </w:rPr>
        <w:t>idade de</w:t>
      </w:r>
      <w:r w:rsidRPr="579FBA17" w:rsidR="00A1079A">
        <w:rPr>
          <w:color w:val="000000" w:themeColor="text1" w:themeTint="FF" w:themeShade="FF"/>
          <w:sz w:val="24"/>
          <w:szCs w:val="24"/>
        </w:rPr>
        <w:t xml:space="preserve"> estudos complementares e análises laboratoriais de forma isolada do </w:t>
      </w:r>
      <w:r w:rsidRPr="579FBA17" w:rsidR="00A1079A">
        <w:rPr>
          <w:color w:val="000000" w:themeColor="text1" w:themeTint="FF" w:themeShade="FF"/>
          <w:sz w:val="24"/>
          <w:szCs w:val="24"/>
        </w:rPr>
        <w:t>Tiametoxan</w:t>
      </w:r>
      <w:r w:rsidRPr="579FBA17" w:rsidR="00A1079A">
        <w:rPr>
          <w:color w:val="000000" w:themeColor="text1" w:themeTint="FF" w:themeShade="FF"/>
          <w:sz w:val="24"/>
          <w:szCs w:val="24"/>
        </w:rPr>
        <w:t>.</w:t>
      </w:r>
    </w:p>
    <w:p w:rsidR="00D374D5" w:rsidRDefault="00A1079A" w14:paraId="7815CA42" w14:textId="77777777">
      <w:pPr>
        <w:spacing w:before="240"/>
        <w:ind w:left="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Tiametoxan. Biodisponibilidade. Alimentos.</w:t>
      </w:r>
    </w:p>
    <w:p w:rsidR="00D374D5" w:rsidRDefault="00D374D5" w14:paraId="76FD36D1" w14:textId="77777777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color w:val="000000"/>
          <w:sz w:val="24"/>
          <w:szCs w:val="24"/>
        </w:rPr>
      </w:pPr>
    </w:p>
    <w:p w:rsidR="00D374D5" w:rsidRDefault="00A1079A" w14:paraId="6B2CDF0B" w14:textId="77777777">
      <w:pPr>
        <w:ind w:left="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Escolha a Área de Interesse do Simpósio</w:t>
      </w:r>
      <w:r>
        <w:rPr>
          <w:sz w:val="24"/>
          <w:szCs w:val="24"/>
        </w:rPr>
        <w:t>: Ciências Exatas e da Terra.</w:t>
      </w:r>
    </w:p>
    <w:sectPr w:rsidR="00D374D5">
      <w:headerReference w:type="default" r:id="rId10"/>
      <w:footerReference w:type="default" r:id="rId11"/>
      <w:pgSz w:w="11910" w:h="16840" w:orient="portrait"/>
      <w:pgMar w:top="2520" w:right="1133" w:bottom="1100" w:left="1700" w:header="0" w:footer="911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" w:author="Me" w:date="2025-12-01T01:43:00Z" w:id="0">
    <w:p w:rsidR="00D374D5" w:rsidRDefault="00392B16" w14:paraId="3375913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  <w:r>
        <w:rPr>
          <w:rStyle w:val="Refdecomentrio"/>
        </w:rPr>
        <w:annotationRef/>
      </w:r>
      <w:r w:rsidR="00A1079A">
        <w:rPr>
          <w:rFonts w:ascii="Arial" w:hAnsi="Arial" w:eastAsia="Arial" w:cs="Arial"/>
          <w:color w:val="000000"/>
        </w:rPr>
        <w:t>O que seria FAO? Inserir o nome por extenso na primeira vez em que for usar sigla, depois disso aí sim pode pôr só a sigla.</w:t>
      </w:r>
    </w:p>
  </w:comment>
  <w:comment w:initials="" w:author="Me" w:date="2025-12-01T01:46:00Z" w:id="1">
    <w:p w:rsidR="00D374D5" w:rsidRDefault="00392B16" w14:paraId="405104A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  <w:r>
        <w:rPr>
          <w:rStyle w:val="Refdecomentrio"/>
        </w:rPr>
        <w:annotationRef/>
      </w:r>
      <w:r w:rsidR="00A1079A">
        <w:rPr>
          <w:rFonts w:ascii="Arial" w:hAnsi="Arial" w:eastAsia="Arial" w:cs="Arial"/>
          <w:color w:val="000000"/>
        </w:rPr>
        <w:t>Fazer desta forma no comentário anterior, nome por extenso na primeira aparição da sigla.</w:t>
      </w:r>
    </w:p>
  </w:comment>
  <w:comment w:initials="" w:author="Me" w:date="2025-12-01T01:50:00Z" w:id="2">
    <w:p w:rsidR="00D374D5" w:rsidRDefault="00392B16" w14:paraId="7F2C8FC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  <w:r>
        <w:rPr>
          <w:rStyle w:val="Refdecomentrio"/>
        </w:rPr>
        <w:annotationRef/>
      </w:r>
      <w:r w:rsidR="00A1079A">
        <w:rPr>
          <w:rFonts w:ascii="Arial" w:hAnsi="Arial" w:eastAsia="Arial" w:cs="Arial"/>
          <w:color w:val="000000"/>
        </w:rPr>
        <w:t>Apenas mudei a ordem pra melhor fluidez.</w:t>
      </w:r>
    </w:p>
  </w:comment>
  <w:comment w:initials="" w:author="Me" w:date="2025-12-01T01:56:00Z" w:id="3">
    <w:p w:rsidR="00D374D5" w:rsidRDefault="00392B16" w14:paraId="6B948A9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</w:rPr>
      </w:pPr>
      <w:r>
        <w:rPr>
          <w:rStyle w:val="Refdecomentrio"/>
        </w:rPr>
        <w:annotationRef/>
      </w:r>
      <w:r w:rsidR="00A1079A">
        <w:rPr>
          <w:rFonts w:ascii="Arial" w:hAnsi="Arial" w:eastAsia="Arial" w:cs="Arial"/>
          <w:color w:val="000000"/>
        </w:rPr>
        <w:t>Citar aqui também o fármaco que será comparado e dizer brevemente o motivo da escolha deste fármaco. Por exemplo: "para a comparação foi utilizado o Captopril devido sua compatibilidade (?), familiaridade (?)..." podem seguir desenvolvendo nesse raciocínio.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33759139"/>
  <w15:commentEx w15:done="1" w15:paraId="405104A9"/>
  <w15:commentEx w15:done="1" w15:paraId="7F2C8FC6"/>
  <w15:commentEx w15:done="1" w15:paraId="6B948A99"/>
</w15:commentsEx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3759139" w16cid:durableId="7D8360D2"/>
  <w16cid:commentId w16cid:paraId="405104A9" w16cid:durableId="6D286EF6"/>
  <w16cid:commentId w16cid:paraId="7F2C8FC6" w16cid:durableId="705F7E03"/>
  <w16cid:commentId w16cid:paraId="6B948A99" w16cid:durableId="19044AE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1079A" w:rsidRDefault="00A1079A" w14:paraId="327BB0FF" w14:textId="77777777">
      <w:r>
        <w:separator/>
      </w:r>
    </w:p>
  </w:endnote>
  <w:endnote w:type="continuationSeparator" w:id="0">
    <w:p w:rsidR="00A1079A" w:rsidRDefault="00A1079A" w14:paraId="52503A1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1967B7CB-DBF5-450D-BCB1-320DD3558711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5548AF9-4565-4D44-A42C-E5685E5DA3D8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D23BEC2-FEAB-406C-9A0C-639DFC47A41F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374D5" w:rsidRDefault="00A1079A" w14:paraId="5E87E8F6" w14:textId="777777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58E7758" wp14:editId="458526FC">
              <wp:simplePos x="0" y="0"/>
              <wp:positionH relativeFrom="column">
                <wp:posOffset>3445509</wp:posOffset>
              </wp:positionH>
              <wp:positionV relativeFrom="paragraph">
                <wp:posOffset>0</wp:posOffset>
              </wp:positionV>
              <wp:extent cx="1723389" cy="744220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3389" cy="744220"/>
                        <a:chOff x="0" y="0"/>
                        <a:chExt cx="1723389" cy="74422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65759" y="0"/>
                          <a:ext cx="868679" cy="743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9402"/>
                          <a:ext cx="542289" cy="3867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8340220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08990" y="214642"/>
                          <a:ext cx="914400" cy="352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0" distR="0" simplePos="0" relativeHeight="0" behindDoc="1" locked="0" layoutInCell="1" hidden="0" allowOverlap="1">
              <wp:simplePos x="0" y="0"/>
              <wp:positionH relativeFrom="column">
                <wp:posOffset>3445509</wp:posOffset>
              </wp:positionH>
              <wp:positionV relativeFrom="paragraph">
                <wp:posOffset>0</wp:posOffset>
              </wp:positionV>
              <wp:extent cx="1723389" cy="744220"/>
              <wp:effectExtent l="0" t="0" r="0" b="0"/>
              <wp:wrapNone/>
              <wp:docPr id="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"/>
                      <a:srcRect l="0" t="0" r="0" b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3389" cy="7442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20357E58" wp14:editId="3F3CC5EB">
          <wp:simplePos x="0" y="0"/>
          <wp:positionH relativeFrom="column">
            <wp:posOffset>787400</wp:posOffset>
          </wp:positionH>
          <wp:positionV relativeFrom="paragraph">
            <wp:posOffset>215914</wp:posOffset>
          </wp:positionV>
          <wp:extent cx="1231900" cy="379730"/>
          <wp:effectExtent l="0" t="0" r="0" b="0"/>
          <wp:wrapNone/>
          <wp:docPr id="8007467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79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19819AF2" wp14:editId="1C21EFD6">
          <wp:simplePos x="0" y="0"/>
          <wp:positionH relativeFrom="column">
            <wp:posOffset>5416550</wp:posOffset>
          </wp:positionH>
          <wp:positionV relativeFrom="paragraph">
            <wp:posOffset>252756</wp:posOffset>
          </wp:positionV>
          <wp:extent cx="756920" cy="332727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27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5CFAA7E0" wp14:editId="170732FD">
          <wp:simplePos x="0" y="0"/>
          <wp:positionH relativeFrom="column">
            <wp:posOffset>2692400</wp:posOffset>
          </wp:positionH>
          <wp:positionV relativeFrom="paragraph">
            <wp:posOffset>269266</wp:posOffset>
          </wp:positionV>
          <wp:extent cx="552450" cy="313677"/>
          <wp:effectExtent l="0" t="0" r="0" b="0"/>
          <wp:wrapNone/>
          <wp:docPr id="12889508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36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0A3BDBFF" wp14:editId="35736F13">
          <wp:simplePos x="0" y="0"/>
          <wp:positionH relativeFrom="column">
            <wp:posOffset>-222249</wp:posOffset>
          </wp:positionH>
          <wp:positionV relativeFrom="paragraph">
            <wp:posOffset>255283</wp:posOffset>
          </wp:positionV>
          <wp:extent cx="762000" cy="245110"/>
          <wp:effectExtent l="0" t="0" r="0" b="0"/>
          <wp:wrapNone/>
          <wp:docPr id="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245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1079A" w:rsidRDefault="00A1079A" w14:paraId="42677266" w14:textId="77777777">
      <w:r>
        <w:separator/>
      </w:r>
    </w:p>
  </w:footnote>
  <w:footnote w:type="continuationSeparator" w:id="0">
    <w:p w:rsidR="00A1079A" w:rsidRDefault="00A1079A" w14:paraId="2FE4B53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374D5" w:rsidRDefault="00A1079A" w14:paraId="6801AD2F" w14:textId="777777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4B72B7C" wp14:editId="620C1BAC">
          <wp:simplePos x="0" y="0"/>
          <wp:positionH relativeFrom="page">
            <wp:posOffset>2334260</wp:posOffset>
          </wp:positionH>
          <wp:positionV relativeFrom="page">
            <wp:posOffset>25</wp:posOffset>
          </wp:positionV>
          <wp:extent cx="3181349" cy="1610347"/>
          <wp:effectExtent l="0" t="0" r="0" b="0"/>
          <wp:wrapNone/>
          <wp:docPr id="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1349" cy="16103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4D5"/>
    <w:rsid w:val="00184EC7"/>
    <w:rsid w:val="00392B16"/>
    <w:rsid w:val="004D3D3A"/>
    <w:rsid w:val="00A1079A"/>
    <w:rsid w:val="00D374D5"/>
    <w:rsid w:val="053C19BE"/>
    <w:rsid w:val="0759D18C"/>
    <w:rsid w:val="0BCD89E2"/>
    <w:rsid w:val="14D36903"/>
    <w:rsid w:val="15CD4CBE"/>
    <w:rsid w:val="174E4408"/>
    <w:rsid w:val="17C9E42C"/>
    <w:rsid w:val="232B1D6A"/>
    <w:rsid w:val="2763C9D6"/>
    <w:rsid w:val="298561EE"/>
    <w:rsid w:val="2CE046F4"/>
    <w:rsid w:val="3C919FEC"/>
    <w:rsid w:val="42E61A3A"/>
    <w:rsid w:val="4618A251"/>
    <w:rsid w:val="46E43215"/>
    <w:rsid w:val="48F28E27"/>
    <w:rsid w:val="52E14C9D"/>
    <w:rsid w:val="579FBA17"/>
    <w:rsid w:val="5E5052A1"/>
    <w:rsid w:val="5F2539A2"/>
    <w:rsid w:val="6067AC9F"/>
    <w:rsid w:val="65D40800"/>
    <w:rsid w:val="66BE4327"/>
    <w:rsid w:val="676CB203"/>
    <w:rsid w:val="6A3AB031"/>
    <w:rsid w:val="7B42A595"/>
    <w:rsid w:val="7E3F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B0A04B"/>
  <w15:docId w15:val="{A19ADDCC-5BFD-4A5E-B7C9-460A1F87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2"/>
        <w:szCs w:val="22"/>
        <w:lang w:val="pt-PT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" w:right="4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comments" Target="comments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mailto:pfilipe.ofc@gmail.com" TargetMode="External" Id="rId6" /><Relationship Type="http://schemas.openxmlformats.org/officeDocument/2006/relationships/footer" Target="footer1.xml" Id="rId11" /><Relationship Type="http://schemas.openxmlformats.org/officeDocument/2006/relationships/endnotes" Target="endnotes.xml" Id="rId5" /><Relationship Type="http://schemas.openxmlformats.org/officeDocument/2006/relationships/header" Target="header1.xml" Id="rId10" /><Relationship Type="http://schemas.openxmlformats.org/officeDocument/2006/relationships/footnotes" Target="footnotes.xml" Id="rId4" /><Relationship Type="http://schemas.microsoft.com/office/2016/09/relationships/commentsIds" Target="commentsId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Pedro e associados</lastModifiedBy>
  <revision>2</revision>
  <dcterms:created xsi:type="dcterms:W3CDTF">2025-12-01T09:49:00.0000000Z</dcterms:created>
  <dcterms:modified xsi:type="dcterms:W3CDTF">2025-12-01T22:38:29.7805187Z</dcterms:modified>
</coreProperties>
</file>