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967FE" w14:textId="77777777" w:rsidR="00EF4933" w:rsidRDefault="00BB50D7">
      <w:pPr>
        <w:pBdr>
          <w:bottom w:val="none" w:sz="0" w:space="8" w:color="000000"/>
        </w:pBdr>
        <w:shd w:val="clear" w:color="auto" w:fill="FFFFFF"/>
        <w:tabs>
          <w:tab w:val="left" w:pos="2500"/>
        </w:tabs>
        <w:jc w:val="center"/>
        <w:rPr>
          <w:b/>
          <w:bCs/>
          <w:sz w:val="24"/>
          <w:szCs w:val="24"/>
        </w:rPr>
      </w:pPr>
      <w:r>
        <w:rPr>
          <w:b/>
          <w:bCs/>
          <w:sz w:val="24"/>
          <w:szCs w:val="24"/>
        </w:rPr>
        <w:t>BARREIRAS À IMPLEMENTAÇÃO DO OBJETIVO DE DESENVOLVIMENTO SUSTENTÁVEL 13 – AÇÃO CONTRA A MUDANÇA GLOBAL DO CLIMA NO BRASIL</w:t>
      </w:r>
    </w:p>
    <w:p w14:paraId="7F876C30" w14:textId="77777777" w:rsidR="00EF4933" w:rsidRDefault="00EF4933">
      <w:pPr>
        <w:pBdr>
          <w:bottom w:val="none" w:sz="0" w:space="8" w:color="000000"/>
        </w:pBdr>
        <w:shd w:val="clear" w:color="auto" w:fill="FFFFFF"/>
        <w:tabs>
          <w:tab w:val="left" w:pos="2500"/>
        </w:tabs>
        <w:jc w:val="center"/>
        <w:rPr>
          <w:b/>
          <w:bCs/>
          <w:sz w:val="24"/>
          <w:szCs w:val="24"/>
        </w:rPr>
      </w:pPr>
    </w:p>
    <w:p w14:paraId="094E6374" w14:textId="77777777" w:rsidR="00EF4933" w:rsidRDefault="00BB50D7">
      <w:pPr>
        <w:shd w:val="clear" w:color="auto" w:fill="FFFFFF"/>
        <w:tabs>
          <w:tab w:val="left" w:pos="2500"/>
        </w:tabs>
        <w:jc w:val="center"/>
        <w:rPr>
          <w:color w:val="FF0000"/>
          <w:sz w:val="24"/>
          <w:szCs w:val="24"/>
        </w:rPr>
      </w:pPr>
      <w:r>
        <w:rPr>
          <w:sz w:val="24"/>
          <w:szCs w:val="24"/>
        </w:rPr>
        <w:t>Izabelly Gonçalves da Silva</w:t>
      </w:r>
      <w:r>
        <w:rPr>
          <w:sz w:val="24"/>
          <w:szCs w:val="24"/>
          <w:vertAlign w:val="superscript"/>
        </w:rPr>
        <w:t>1</w:t>
      </w:r>
      <w:r>
        <w:rPr>
          <w:sz w:val="24"/>
          <w:szCs w:val="24"/>
        </w:rPr>
        <w:t>; Jorge Mateus Matos da Silva</w:t>
      </w:r>
      <w:r>
        <w:rPr>
          <w:sz w:val="24"/>
          <w:szCs w:val="24"/>
          <w:vertAlign w:val="superscript"/>
        </w:rPr>
        <w:t>2</w:t>
      </w:r>
      <w:r>
        <w:rPr>
          <w:sz w:val="24"/>
          <w:szCs w:val="24"/>
        </w:rPr>
        <w:t>; Maria Clara Cunha Campos³.</w:t>
      </w:r>
    </w:p>
    <w:p w14:paraId="1F4A0FEA" w14:textId="77777777" w:rsidR="00EF4933" w:rsidRDefault="00EF4933">
      <w:pPr>
        <w:shd w:val="clear" w:color="auto" w:fill="FFFFFF"/>
        <w:tabs>
          <w:tab w:val="left" w:pos="2500"/>
        </w:tabs>
        <w:jc w:val="center"/>
        <w:rPr>
          <w:b/>
          <w:bCs/>
          <w:color w:val="FF0000"/>
          <w:sz w:val="24"/>
          <w:szCs w:val="24"/>
        </w:rPr>
      </w:pPr>
    </w:p>
    <w:p w14:paraId="77515560" w14:textId="77777777" w:rsidR="00EF4933" w:rsidRDefault="00BB50D7">
      <w:pPr>
        <w:keepLines/>
        <w:shd w:val="clear" w:color="auto" w:fill="FFFFFF"/>
        <w:tabs>
          <w:tab w:val="left" w:pos="2500"/>
        </w:tabs>
        <w:jc w:val="center"/>
        <w:rPr>
          <w:color w:val="FF0000"/>
          <w:sz w:val="24"/>
          <w:szCs w:val="24"/>
        </w:rPr>
      </w:pPr>
      <w:r>
        <w:rPr>
          <w:sz w:val="24"/>
          <w:szCs w:val="24"/>
          <w:vertAlign w:val="superscript"/>
        </w:rPr>
        <w:t xml:space="preserve">1 </w:t>
      </w:r>
      <w:r>
        <w:rPr>
          <w:rFonts w:ascii="Cambria" w:eastAsia="Cambria" w:hAnsi="Cambria" w:cs="Cambria"/>
          <w:sz w:val="24"/>
          <w:szCs w:val="24"/>
        </w:rPr>
        <w:t>Mestranda no Programa de Pós-Graduação em Tecnologia, Recursos Naturais e Sustentabilidade na Amazônia (PPGTEC)</w:t>
      </w:r>
      <w:r>
        <w:rPr>
          <w:sz w:val="24"/>
          <w:szCs w:val="24"/>
        </w:rPr>
        <w:t xml:space="preserve">. Universidade do Estado do Pará. </w:t>
      </w:r>
      <w:r>
        <w:rPr>
          <w:rFonts w:ascii="Cambria" w:eastAsia="Cambria" w:hAnsi="Cambria" w:cs="Cambria"/>
          <w:sz w:val="24"/>
          <w:szCs w:val="24"/>
        </w:rPr>
        <w:t>izabelly499@gmail.com</w:t>
      </w:r>
      <w:r>
        <w:rPr>
          <w:sz w:val="24"/>
          <w:szCs w:val="24"/>
        </w:rPr>
        <w:t>.</w:t>
      </w:r>
    </w:p>
    <w:p w14:paraId="06454E1F" w14:textId="77777777" w:rsidR="00EF4933" w:rsidRDefault="00BB50D7">
      <w:pPr>
        <w:keepLines/>
        <w:shd w:val="clear" w:color="auto" w:fill="FFFFFF"/>
        <w:tabs>
          <w:tab w:val="left" w:pos="2500"/>
        </w:tabs>
        <w:jc w:val="center"/>
        <w:rPr>
          <w:sz w:val="24"/>
          <w:szCs w:val="24"/>
        </w:rPr>
      </w:pPr>
      <w:r>
        <w:rPr>
          <w:sz w:val="24"/>
          <w:szCs w:val="24"/>
          <w:vertAlign w:val="superscript"/>
        </w:rPr>
        <w:t xml:space="preserve">2 </w:t>
      </w:r>
      <w:r>
        <w:rPr>
          <w:rFonts w:ascii="Cambria" w:eastAsia="Cambria" w:hAnsi="Cambria" w:cs="Cambria"/>
          <w:sz w:val="24"/>
          <w:szCs w:val="24"/>
        </w:rPr>
        <w:t>Mestrando no Programa de Pós-Graduação em Tecnologia, Recursos Naturais e Sustentabilidade na Amazônia (PPGTEC)</w:t>
      </w:r>
      <w:r>
        <w:rPr>
          <w:sz w:val="24"/>
          <w:szCs w:val="24"/>
        </w:rPr>
        <w:t>. Universidade do Estado do Pará.</w:t>
      </w:r>
    </w:p>
    <w:p w14:paraId="2BD2B3AF" w14:textId="77777777" w:rsidR="00EF4933" w:rsidRDefault="00BB50D7">
      <w:pPr>
        <w:keepLines/>
        <w:shd w:val="clear" w:color="auto" w:fill="FFFFFF"/>
        <w:tabs>
          <w:tab w:val="left" w:pos="2500"/>
        </w:tabs>
        <w:jc w:val="center"/>
        <w:rPr>
          <w:sz w:val="24"/>
          <w:szCs w:val="24"/>
        </w:rPr>
      </w:pPr>
      <w:r>
        <w:rPr>
          <w:sz w:val="24"/>
          <w:szCs w:val="24"/>
        </w:rPr>
        <w:t xml:space="preserve">³ </w:t>
      </w:r>
      <w:r>
        <w:rPr>
          <w:rFonts w:ascii="Cambria" w:eastAsia="Cambria" w:hAnsi="Cambria" w:cs="Cambria"/>
          <w:sz w:val="24"/>
          <w:szCs w:val="24"/>
        </w:rPr>
        <w:t>Mestranda no Programa de Pós-Graduação em Tecnologia, Recursos Naturais e Sustentabilidade na Amazônia (PPGTEC)</w:t>
      </w:r>
      <w:r>
        <w:rPr>
          <w:sz w:val="24"/>
          <w:szCs w:val="24"/>
        </w:rPr>
        <w:t xml:space="preserve">. Universidade do Estado do Pará. </w:t>
      </w:r>
    </w:p>
    <w:p w14:paraId="4D4411CC" w14:textId="77777777" w:rsidR="00EF4933" w:rsidRDefault="00EF4933">
      <w:pPr>
        <w:keepLines/>
        <w:pBdr>
          <w:bottom w:val="none" w:sz="0" w:space="8" w:color="000000"/>
        </w:pBdr>
        <w:shd w:val="clear" w:color="auto" w:fill="FFFFFF"/>
        <w:tabs>
          <w:tab w:val="left" w:pos="2500"/>
        </w:tabs>
        <w:spacing w:line="310" w:lineRule="auto"/>
        <w:rPr>
          <w:sz w:val="24"/>
          <w:szCs w:val="24"/>
        </w:rPr>
      </w:pPr>
    </w:p>
    <w:p w14:paraId="476B950D" w14:textId="77777777" w:rsidR="00EF4933" w:rsidRDefault="00EF4933">
      <w:pPr>
        <w:keepLines/>
        <w:pBdr>
          <w:bottom w:val="none" w:sz="0" w:space="8" w:color="000000"/>
        </w:pBdr>
        <w:shd w:val="clear" w:color="auto" w:fill="FFFFFF"/>
        <w:tabs>
          <w:tab w:val="left" w:pos="2500"/>
        </w:tabs>
        <w:spacing w:line="310" w:lineRule="auto"/>
        <w:rPr>
          <w:sz w:val="24"/>
          <w:szCs w:val="24"/>
        </w:rPr>
      </w:pPr>
    </w:p>
    <w:p w14:paraId="0541FAAE" w14:textId="77777777" w:rsidR="00EF4933" w:rsidRDefault="00BB50D7">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4F3A885A" w14:textId="77777777" w:rsidR="00EF4933" w:rsidRDefault="00EF4933">
      <w:pPr>
        <w:pBdr>
          <w:bottom w:val="none" w:sz="0" w:space="8" w:color="000000"/>
        </w:pBdr>
        <w:shd w:val="clear" w:color="auto" w:fill="FFFFFF"/>
        <w:tabs>
          <w:tab w:val="left" w:pos="2500"/>
        </w:tabs>
        <w:jc w:val="center"/>
        <w:rPr>
          <w:color w:val="FF0000"/>
          <w:sz w:val="24"/>
          <w:szCs w:val="24"/>
          <w:u w:val="single"/>
        </w:rPr>
      </w:pPr>
    </w:p>
    <w:p w14:paraId="138DC5CE" w14:textId="77777777" w:rsidR="00EF4933" w:rsidRDefault="00BB50D7">
      <w:pPr>
        <w:shd w:val="clear" w:color="auto" w:fill="FFFFFF"/>
        <w:tabs>
          <w:tab w:val="left" w:pos="2500"/>
        </w:tabs>
        <w:jc w:val="both"/>
        <w:rPr>
          <w:sz w:val="24"/>
          <w:szCs w:val="24"/>
        </w:rPr>
      </w:pPr>
      <w:commentRangeStart w:id="0"/>
      <w:commentRangeStart w:id="1"/>
      <w:r>
        <w:rPr>
          <w:sz w:val="24"/>
          <w:szCs w:val="24"/>
        </w:rPr>
        <w:t>Este estudo teve como objetivo identificar e analisar as barreiras apontadas na literatura científica brasileira para a implementação de medidas voltadas ao cumprimento do Objetivo de Desenvolvimento Sustentável 13 (ODS 13) — Ação Contra a Mudança Global do Clima. A relevância desta pesquisa se justifica pela importância em responder aos impactos ambientais e sociais das mudanças climáticas e pelo compromisso do país com a Agenda 2030. A pesquisa foi realizada por meio de uma Revisão Sistemática de Literatura (RSL), na qual foram analisados 15 artigos científicos que destacam barreiras como a falta de políticas públicas voltadas às questões climáticas, incluindo a fragmentação institucional, a influência de interesses econômicos, a escassez de dados confiáveis e tecnologias, além das desigualdades sociais que dificultam ações equitativas. Apesar desses entraves, o país apresenta avanços na produção científica e na institucionalização de ações climáticas. Os resultados mostram a utilidade de fortalecer a governança ambiental, promover a cooperação entre setores e incentivar iniciativas locais como estratégias para superar os desafios e avançar rumo a um desenvolvimento sustentável, alinhado à Agenda 2030 da Organização das Nações Unidas (ONU), que convoca os países a adotarem medidas urgentes para mitigar os impactos das mudanças climáticas.</w:t>
      </w:r>
      <w:commentRangeEnd w:id="0"/>
      <w:r>
        <w:commentReference w:id="0"/>
      </w:r>
      <w:commentRangeEnd w:id="1"/>
      <w:r w:rsidR="002E69C0">
        <w:rPr>
          <w:rStyle w:val="Refdecomentrio"/>
        </w:rPr>
        <w:commentReference w:id="1"/>
      </w:r>
    </w:p>
    <w:p w14:paraId="40EA32E6" w14:textId="77777777" w:rsidR="00EF4933" w:rsidRDefault="00EF4933">
      <w:pPr>
        <w:shd w:val="clear" w:color="auto" w:fill="FFFFFF"/>
        <w:tabs>
          <w:tab w:val="left" w:pos="2500"/>
        </w:tabs>
        <w:jc w:val="both"/>
        <w:rPr>
          <w:color w:val="FF0000"/>
          <w:sz w:val="24"/>
          <w:szCs w:val="24"/>
        </w:rPr>
      </w:pPr>
    </w:p>
    <w:p w14:paraId="73AF6AD5" w14:textId="77777777" w:rsidR="00EF4933" w:rsidRDefault="00BB50D7">
      <w:pPr>
        <w:shd w:val="clear" w:color="auto" w:fill="FFFFFF"/>
        <w:tabs>
          <w:tab w:val="left" w:pos="2500"/>
        </w:tabs>
        <w:rPr>
          <w:rFonts w:ascii="Cambria" w:eastAsia="Cambria" w:hAnsi="Cambria" w:cs="Cambria"/>
        </w:rPr>
      </w:pPr>
      <w:r>
        <w:rPr>
          <w:b/>
          <w:bCs/>
          <w:sz w:val="24"/>
          <w:szCs w:val="24"/>
        </w:rPr>
        <w:t xml:space="preserve">Palavras-chave: </w:t>
      </w:r>
      <w:r>
        <w:rPr>
          <w:rFonts w:ascii="Cambria" w:eastAsia="Cambria" w:hAnsi="Cambria" w:cs="Cambria"/>
        </w:rPr>
        <w:t>Desafios Climáticos. Sustentabilidade. Agenda 2030.</w:t>
      </w:r>
    </w:p>
    <w:p w14:paraId="2BA25FF2" w14:textId="77777777" w:rsidR="00EF4933" w:rsidRDefault="00EF4933">
      <w:pPr>
        <w:shd w:val="clear" w:color="auto" w:fill="FFFFFF"/>
        <w:tabs>
          <w:tab w:val="left" w:pos="2500"/>
        </w:tabs>
        <w:rPr>
          <w:sz w:val="24"/>
          <w:szCs w:val="24"/>
        </w:rPr>
      </w:pPr>
    </w:p>
    <w:p w14:paraId="0F47966B" w14:textId="77777777" w:rsidR="00EF4933" w:rsidRDefault="00BB50D7">
      <w:pPr>
        <w:shd w:val="clear" w:color="auto" w:fill="FFFFFF"/>
        <w:tabs>
          <w:tab w:val="left" w:pos="2500"/>
        </w:tabs>
        <w:rPr>
          <w:sz w:val="24"/>
          <w:szCs w:val="24"/>
        </w:rPr>
      </w:pPr>
      <w:r>
        <w:rPr>
          <w:b/>
          <w:bCs/>
          <w:sz w:val="24"/>
          <w:szCs w:val="24"/>
        </w:rPr>
        <w:t>Área de Interesse do Simpósio</w:t>
      </w:r>
      <w:r>
        <w:rPr>
          <w:sz w:val="24"/>
          <w:szCs w:val="24"/>
        </w:rPr>
        <w:t>:Engenharias.</w:t>
      </w:r>
    </w:p>
    <w:p w14:paraId="48622FA2" w14:textId="77777777" w:rsidR="00EF4933" w:rsidRDefault="00EF4933">
      <w:pPr>
        <w:shd w:val="clear" w:color="auto" w:fill="FFFFFF"/>
        <w:tabs>
          <w:tab w:val="left" w:pos="2500"/>
        </w:tabs>
        <w:rPr>
          <w:sz w:val="24"/>
          <w:szCs w:val="24"/>
        </w:rPr>
      </w:pPr>
    </w:p>
    <w:p w14:paraId="79CA2C7F" w14:textId="77777777" w:rsidR="00EF4933" w:rsidRDefault="00EF4933">
      <w:pPr>
        <w:shd w:val="clear" w:color="auto" w:fill="FFFFFF"/>
        <w:tabs>
          <w:tab w:val="left" w:pos="2500"/>
        </w:tabs>
        <w:rPr>
          <w:sz w:val="24"/>
          <w:szCs w:val="24"/>
        </w:rPr>
      </w:pPr>
    </w:p>
    <w:p w14:paraId="5C19EB63" w14:textId="77777777" w:rsidR="00EF4933" w:rsidRDefault="00EF4933">
      <w:pPr>
        <w:shd w:val="clear" w:color="auto" w:fill="FFFFFF"/>
        <w:tabs>
          <w:tab w:val="left" w:pos="2500"/>
        </w:tabs>
        <w:rPr>
          <w:sz w:val="24"/>
          <w:szCs w:val="24"/>
        </w:rPr>
      </w:pPr>
    </w:p>
    <w:p w14:paraId="69681A7E" w14:textId="77777777" w:rsidR="00EF4933" w:rsidRDefault="00EF4933">
      <w:pPr>
        <w:shd w:val="clear" w:color="auto" w:fill="FFFFFF"/>
        <w:tabs>
          <w:tab w:val="left" w:pos="2500"/>
        </w:tabs>
        <w:rPr>
          <w:sz w:val="24"/>
          <w:szCs w:val="24"/>
        </w:rPr>
      </w:pPr>
    </w:p>
    <w:p w14:paraId="00F8C78D" w14:textId="77777777" w:rsidR="00191E8B" w:rsidRDefault="00191E8B">
      <w:pPr>
        <w:shd w:val="clear" w:color="auto" w:fill="FFFFFF"/>
        <w:tabs>
          <w:tab w:val="left" w:pos="2500"/>
        </w:tabs>
        <w:rPr>
          <w:sz w:val="24"/>
          <w:szCs w:val="24"/>
        </w:rPr>
      </w:pPr>
    </w:p>
    <w:p w14:paraId="59CD3255" w14:textId="77777777" w:rsidR="00EF4933" w:rsidRDefault="00EF4933">
      <w:pPr>
        <w:shd w:val="clear" w:color="auto" w:fill="FFFFFF"/>
        <w:tabs>
          <w:tab w:val="left" w:pos="2500"/>
        </w:tabs>
        <w:rPr>
          <w:sz w:val="24"/>
          <w:szCs w:val="24"/>
        </w:rPr>
      </w:pPr>
    </w:p>
    <w:p w14:paraId="3010C990" w14:textId="77777777" w:rsidR="00EF4933" w:rsidRDefault="00BB50D7">
      <w:pPr>
        <w:pBdr>
          <w:bottom w:val="none" w:sz="0" w:space="18" w:color="000000"/>
        </w:pBdr>
        <w:shd w:val="clear" w:color="auto" w:fill="FFFFFF"/>
        <w:tabs>
          <w:tab w:val="left" w:pos="2500"/>
        </w:tabs>
        <w:spacing w:line="360" w:lineRule="auto"/>
        <w:jc w:val="both"/>
        <w:rPr>
          <w:b/>
          <w:bCs/>
          <w:sz w:val="24"/>
          <w:szCs w:val="24"/>
        </w:rPr>
      </w:pPr>
      <w:r>
        <w:rPr>
          <w:b/>
          <w:bCs/>
          <w:sz w:val="24"/>
          <w:szCs w:val="24"/>
        </w:rPr>
        <w:t>1. INTRODUÇÃO</w:t>
      </w:r>
    </w:p>
    <w:p w14:paraId="0F115542" w14:textId="77777777"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 intensificação das mudanças climáticas representa um dos maiores desafios globais enfrentados atualmente (Miranda et al., 2025). O Painel Intergovernamental sobre Mudanças Climáticas (IPCC, 2023) destaca que o aumento da temperatura global, a intensificação de eventos climáticos extremos e a elevação do nível do mar demandam respostas urgentes e coordenadas. Nesse contexto, o Objetivo de Desenvolvimento Sustentável (ODS) 13 (Ação contra a Mudança Global do Clima), da Agenda 2030 da Organização das Nações Unidas (ONU) convoca os países a adotar medidas urgentes para combater a mudança climática e seus impactos (ONU, 2015). </w:t>
      </w:r>
    </w:p>
    <w:p w14:paraId="27008471" w14:textId="77777777"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O relatório "Política Climática por Inteiro 2023" mostra que, embora haja avanços em algumas áreas, persistem desafios significativos na efetivação de políticas públicas para enfrentar as mudanças climáticas no Brasil. Por outro lado, é importante reconhecer que o país também apresenta avanços em termos de institucionalidade e produção científica voltada às mudanças climáticas. Hochstetler (2021) evidencia que, mesmo diante de obstáculos, o Brasil construiu uma trajetória de amadurecimento institucional no tema, com a criação de estruturas como o Plano Nacional sobre Mudança do Clima e o fortalecimento de redes científicas voltadas à análise dos impactos e estratégias de adaptação. O panorama das publicações acadêmicas também revela um crescente interesse pelo ODS 13, com estudos que discutem questões como aspectos técnicos de mitigação e desafios socioeconômicos da transição sustentável (Silva et al., 2022). No entanto, a produção ainda é concentrada em algumas regiões e carece de articulação direta com a formulação e monitoramento de políticas públicas (Gaertner et al., 2021). </w:t>
      </w:r>
    </w:p>
    <w:p w14:paraId="59E5B71E" w14:textId="77777777"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Diante disso, objetivou-se identificar as barreiras apontadas na literatura científica brasileira para a implementação de medidas voltadas ao cumprimento do ODS 13. Para isso, foi realizada uma Revisão Sistemática da Literatura (RSL) que buscou mapear a produção acadêmica nacional sobre o tema, identificando os principais desafios e as recomendações propostas pelos autores para superá-los. Assim, a pergunta que norteou este estudo foi: Quais são as principais barreiras e desafios identificadas na literatura para o cumprimento do ODS 13 no Brasil, e como os estudos analisados propõem enfrentar esses desafios?</w:t>
      </w:r>
    </w:p>
    <w:p w14:paraId="5CAEF275" w14:textId="77777777" w:rsidR="00EF4933" w:rsidRDefault="00BB50D7">
      <w:pPr>
        <w:pBdr>
          <w:bottom w:val="none" w:sz="0" w:space="8" w:color="000000"/>
        </w:pBdr>
        <w:shd w:val="clear" w:color="auto" w:fill="FFFFFF"/>
        <w:tabs>
          <w:tab w:val="left" w:pos="699"/>
        </w:tabs>
        <w:spacing w:line="360" w:lineRule="auto"/>
        <w:jc w:val="both"/>
        <w:rPr>
          <w:b/>
          <w:bCs/>
          <w:sz w:val="24"/>
          <w:szCs w:val="24"/>
        </w:rPr>
      </w:pPr>
      <w:r>
        <w:rPr>
          <w:b/>
          <w:bCs/>
          <w:sz w:val="24"/>
          <w:szCs w:val="24"/>
        </w:rPr>
        <w:t>2. METODOLOGIA</w:t>
      </w:r>
    </w:p>
    <w:p w14:paraId="3E98564F"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O método empregado para a realização desta pesquisa consistiu na RSL. A aplicação desse método exige o cumprimento de etapas rigorosas e bem definidas, estruturadas em três fases principais: Planejamento da Revisão, Condução da Revisão e Relatório da Revisão. </w:t>
      </w:r>
    </w:p>
    <w:p w14:paraId="7533EC70"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Na primeira etapa foi realizado o planejamento e a definição do escopo e do protocolo de pesquisa. Para delimitar o escopo da pesquisa, primeiramente, foram definidos o título provisório, o objetivo geral e as perguntas norteadoras. Em seguida foi elaborado o protocolo de pesquisa (Tabela 1), que incluiu os parâmetros, critérios e a string necessários para a busca dos artigos nas bases de dados.</w:t>
      </w:r>
    </w:p>
    <w:p w14:paraId="6402796D" w14:textId="77777777" w:rsidR="00EF4933" w:rsidRDefault="00BB50D7">
      <w:pPr>
        <w:widowControl/>
        <w:ind w:left="119" w:right="660" w:firstLine="731"/>
        <w:jc w:val="center"/>
        <w:rPr>
          <w:sz w:val="26"/>
          <w:szCs w:val="26"/>
        </w:rPr>
      </w:pPr>
      <w:r>
        <w:rPr>
          <w:rFonts w:ascii="Cambria" w:eastAsia="Cambria" w:hAnsi="Cambria" w:cs="Cambria"/>
          <w:b/>
          <w:bCs/>
          <w:color w:val="000000"/>
        </w:rPr>
        <w:t>Tabela 1</w:t>
      </w:r>
      <w:r>
        <w:rPr>
          <w:rFonts w:ascii="Cambria" w:eastAsia="Cambria" w:hAnsi="Cambria" w:cs="Cambria"/>
          <w:color w:val="000000"/>
        </w:rPr>
        <w:t xml:space="preserve"> – Protocolo de Pesquisa</w:t>
      </w:r>
    </w:p>
    <w:tbl>
      <w:tblPr>
        <w:tblStyle w:val="a"/>
        <w:tblW w:w="9065" w:type="dxa"/>
        <w:tblInd w:w="0" w:type="dxa"/>
        <w:tblLayout w:type="fixed"/>
        <w:tblLook w:val="0400" w:firstRow="0" w:lastRow="0" w:firstColumn="0" w:lastColumn="0" w:noHBand="0" w:noVBand="1"/>
      </w:tblPr>
      <w:tblGrid>
        <w:gridCol w:w="1576"/>
        <w:gridCol w:w="7489"/>
      </w:tblGrid>
      <w:tr w:rsidR="00EF4933" w:rsidRPr="00A00928" w14:paraId="5DE8D8CF" w14:textId="77777777">
        <w:trPr>
          <w:trHeight w:val="44"/>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4DF92470" w14:textId="77777777" w:rsidR="00EF4933" w:rsidRDefault="00BB50D7">
            <w:pPr>
              <w:widowControl/>
              <w:ind w:right="229"/>
              <w:jc w:val="both"/>
              <w:rPr>
                <w:sz w:val="24"/>
                <w:szCs w:val="24"/>
              </w:rPr>
            </w:pPr>
            <w:r>
              <w:rPr>
                <w:rFonts w:ascii="Cambria" w:eastAsia="Cambria" w:hAnsi="Cambria" w:cs="Cambria"/>
                <w:b/>
                <w:bCs/>
                <w:color w:val="000000"/>
                <w:sz w:val="20"/>
                <w:szCs w:val="20"/>
              </w:rPr>
              <w:t>Bases de dados</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69F7AE5B" w14:textId="77777777" w:rsidR="00EF4933" w:rsidRPr="00A00928" w:rsidRDefault="00BB50D7">
            <w:pPr>
              <w:widowControl/>
              <w:ind w:right="229"/>
              <w:jc w:val="both"/>
              <w:rPr>
                <w:sz w:val="24"/>
                <w:szCs w:val="24"/>
                <w:lang w:val="en-US"/>
              </w:rPr>
            </w:pPr>
            <w:r w:rsidRPr="00A00928">
              <w:rPr>
                <w:rFonts w:ascii="Cambria" w:eastAsia="Cambria" w:hAnsi="Cambria" w:cs="Cambria"/>
                <w:color w:val="000000"/>
                <w:sz w:val="20"/>
                <w:szCs w:val="20"/>
                <w:lang w:val="en-US"/>
              </w:rPr>
              <w:t>Scopus e Web of Science</w:t>
            </w:r>
          </w:p>
        </w:tc>
      </w:tr>
      <w:tr w:rsidR="00EF4933" w14:paraId="37E4F0B1" w14:textId="77777777">
        <w:trPr>
          <w:trHeight w:val="9"/>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48D271CA" w14:textId="77777777" w:rsidR="00EF4933" w:rsidRDefault="00BB50D7">
            <w:pPr>
              <w:widowControl/>
              <w:ind w:right="229"/>
              <w:jc w:val="both"/>
              <w:rPr>
                <w:sz w:val="24"/>
                <w:szCs w:val="24"/>
              </w:rPr>
            </w:pPr>
            <w:r>
              <w:rPr>
                <w:rFonts w:ascii="Cambria" w:eastAsia="Cambria" w:hAnsi="Cambria" w:cs="Cambria"/>
                <w:b/>
                <w:bCs/>
                <w:color w:val="000000"/>
                <w:sz w:val="20"/>
                <w:szCs w:val="20"/>
              </w:rPr>
              <w:t>Idioma</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4C641E23" w14:textId="77777777" w:rsidR="00EF4933" w:rsidRDefault="00BB50D7">
            <w:pPr>
              <w:widowControl/>
              <w:ind w:right="229"/>
              <w:jc w:val="both"/>
              <w:rPr>
                <w:sz w:val="24"/>
                <w:szCs w:val="24"/>
              </w:rPr>
            </w:pPr>
            <w:commentRangeStart w:id="2"/>
            <w:commentRangeStart w:id="3"/>
            <w:r>
              <w:rPr>
                <w:rFonts w:ascii="Cambria" w:eastAsia="Cambria" w:hAnsi="Cambria" w:cs="Cambria"/>
                <w:color w:val="000000"/>
                <w:sz w:val="20"/>
                <w:szCs w:val="20"/>
              </w:rPr>
              <w:t>Inglês</w:t>
            </w:r>
            <w:commentRangeEnd w:id="2"/>
            <w:r>
              <w:commentReference w:id="2"/>
            </w:r>
            <w:commentRangeEnd w:id="3"/>
            <w:r w:rsidR="00AC0BC0">
              <w:rPr>
                <w:rStyle w:val="Refdecomentrio"/>
              </w:rPr>
              <w:commentReference w:id="3"/>
            </w:r>
            <w:r>
              <w:rPr>
                <w:rFonts w:ascii="Cambria" w:eastAsia="Cambria" w:hAnsi="Cambria" w:cs="Cambria"/>
                <w:color w:val="000000"/>
                <w:sz w:val="20"/>
                <w:szCs w:val="20"/>
              </w:rPr>
              <w:t xml:space="preserve"> e Português</w:t>
            </w:r>
            <w:r>
              <w:rPr>
                <w:rFonts w:ascii="Cambria" w:eastAsia="Cambria" w:hAnsi="Cambria" w:cs="Cambria"/>
                <w:sz w:val="20"/>
                <w:szCs w:val="20"/>
              </w:rPr>
              <w:t xml:space="preserve">. </w:t>
            </w:r>
          </w:p>
        </w:tc>
      </w:tr>
      <w:tr w:rsidR="00EF4933" w14:paraId="69692EDC" w14:textId="77777777">
        <w:trPr>
          <w:trHeight w:val="257"/>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64F2972E" w14:textId="77777777" w:rsidR="00EF4933" w:rsidRDefault="00BB50D7">
            <w:pPr>
              <w:widowControl/>
              <w:ind w:right="229"/>
              <w:jc w:val="both"/>
              <w:rPr>
                <w:sz w:val="24"/>
                <w:szCs w:val="24"/>
              </w:rPr>
            </w:pPr>
            <w:r>
              <w:rPr>
                <w:rFonts w:ascii="Cambria" w:eastAsia="Cambria" w:hAnsi="Cambria" w:cs="Cambria"/>
                <w:b/>
                <w:bCs/>
                <w:color w:val="000000"/>
                <w:sz w:val="20"/>
                <w:szCs w:val="20"/>
              </w:rPr>
              <w:t>Restrição de ano</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499EBA98" w14:textId="77777777" w:rsidR="00EF4933" w:rsidRDefault="00BB50D7">
            <w:pPr>
              <w:widowControl/>
              <w:ind w:right="229"/>
              <w:jc w:val="both"/>
              <w:rPr>
                <w:sz w:val="24"/>
                <w:szCs w:val="24"/>
              </w:rPr>
            </w:pPr>
            <w:r>
              <w:rPr>
                <w:rFonts w:ascii="Cambria" w:eastAsia="Cambria" w:hAnsi="Cambria" w:cs="Cambria"/>
                <w:color w:val="000000"/>
                <w:sz w:val="20"/>
                <w:szCs w:val="20"/>
              </w:rPr>
              <w:t>Sem restrição</w:t>
            </w:r>
          </w:p>
        </w:tc>
      </w:tr>
      <w:tr w:rsidR="00EF4933" w:rsidRPr="00A00928" w14:paraId="25CA678B" w14:textId="77777777">
        <w:trPr>
          <w:trHeight w:val="532"/>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3379F5E" w14:textId="77777777" w:rsidR="00EF4933" w:rsidRDefault="00BB50D7">
            <w:pPr>
              <w:widowControl/>
              <w:ind w:right="229"/>
              <w:jc w:val="both"/>
              <w:rPr>
                <w:sz w:val="24"/>
                <w:szCs w:val="24"/>
              </w:rPr>
            </w:pPr>
            <w:r>
              <w:rPr>
                <w:rFonts w:ascii="Cambria" w:eastAsia="Cambria" w:hAnsi="Cambria" w:cs="Cambria"/>
                <w:b/>
                <w:bCs/>
                <w:color w:val="000000"/>
                <w:sz w:val="20"/>
                <w:szCs w:val="20"/>
              </w:rPr>
              <w:t>String de busca</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7E98CC7" w14:textId="77777777" w:rsidR="00EF4933" w:rsidRPr="00A00928" w:rsidRDefault="00BB50D7">
            <w:pPr>
              <w:widowControl/>
              <w:ind w:right="229"/>
              <w:jc w:val="both"/>
              <w:rPr>
                <w:sz w:val="24"/>
                <w:szCs w:val="24"/>
                <w:lang w:val="en-US"/>
              </w:rPr>
            </w:pPr>
            <w:r w:rsidRPr="00A00928">
              <w:rPr>
                <w:rFonts w:ascii="Cambria" w:eastAsia="Cambria" w:hAnsi="Cambria" w:cs="Cambria"/>
                <w:color w:val="000000"/>
                <w:sz w:val="20"/>
                <w:szCs w:val="20"/>
                <w:lang w:val="en-US"/>
              </w:rPr>
              <w:t>("sustainable development goal 13" OR "SDG 13" OR "climate action" OR "action against global climate change" OR "global goal 13") AND ("Brazil" OR "Brazilian") AND (barriers OR "obstacles" OR "restrictions" OR "difficulties" OR "challenges" OR "constraints" OR "limitations")</w:t>
            </w:r>
          </w:p>
        </w:tc>
      </w:tr>
      <w:tr w:rsidR="00EF4933" w14:paraId="2F7EB735" w14:textId="77777777">
        <w:trPr>
          <w:trHeight w:val="478"/>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60F30146" w14:textId="77777777" w:rsidR="00EF4933" w:rsidRDefault="00BB50D7">
            <w:pPr>
              <w:widowControl/>
              <w:ind w:right="229"/>
              <w:jc w:val="both"/>
              <w:rPr>
                <w:sz w:val="24"/>
                <w:szCs w:val="24"/>
              </w:rPr>
            </w:pPr>
            <w:r>
              <w:rPr>
                <w:rFonts w:ascii="Cambria" w:eastAsia="Cambria" w:hAnsi="Cambria" w:cs="Cambria"/>
                <w:b/>
                <w:bCs/>
                <w:color w:val="000000"/>
                <w:sz w:val="20"/>
                <w:szCs w:val="20"/>
              </w:rPr>
              <w:t>Critérios de Inclusão</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6584B774" w14:textId="77777777" w:rsidR="00EF4933" w:rsidRDefault="00BB50D7">
            <w:pPr>
              <w:widowControl/>
              <w:ind w:right="229"/>
              <w:jc w:val="both"/>
              <w:rPr>
                <w:sz w:val="24"/>
                <w:szCs w:val="24"/>
              </w:rPr>
            </w:pPr>
            <w:r>
              <w:rPr>
                <w:rFonts w:ascii="Cambria" w:eastAsia="Cambria" w:hAnsi="Cambria" w:cs="Cambria"/>
                <w:color w:val="000000"/>
                <w:sz w:val="20"/>
                <w:szCs w:val="20"/>
              </w:rPr>
              <w:t>Artigos que abordam diretamente barreiras, desafios ou dificuldades para a implementação do ODS 13 no Brasil; Artigos que tratem de aspectos ligados à mudança climática no contexto brasileiro; Artigos que abordam o ODS 13.</w:t>
            </w:r>
          </w:p>
        </w:tc>
      </w:tr>
      <w:tr w:rsidR="00EF4933" w14:paraId="6160D71C" w14:textId="77777777">
        <w:trPr>
          <w:trHeight w:val="587"/>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2B472C78" w14:textId="77777777" w:rsidR="00EF4933" w:rsidRDefault="00BB50D7">
            <w:pPr>
              <w:widowControl/>
              <w:ind w:right="229"/>
              <w:jc w:val="both"/>
              <w:rPr>
                <w:sz w:val="24"/>
                <w:szCs w:val="24"/>
              </w:rPr>
            </w:pPr>
            <w:r>
              <w:rPr>
                <w:rFonts w:ascii="Cambria" w:eastAsia="Cambria" w:hAnsi="Cambria" w:cs="Cambria"/>
                <w:b/>
                <w:bCs/>
                <w:color w:val="000000"/>
                <w:sz w:val="20"/>
                <w:szCs w:val="20"/>
              </w:rPr>
              <w:t>Critérios de Exclusão</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6481C49E" w14:textId="77777777" w:rsidR="00EF4933" w:rsidRDefault="00BB50D7">
            <w:pPr>
              <w:widowControl/>
              <w:ind w:right="229"/>
              <w:jc w:val="both"/>
              <w:rPr>
                <w:sz w:val="24"/>
                <w:szCs w:val="24"/>
              </w:rPr>
            </w:pPr>
            <w:r>
              <w:rPr>
                <w:rFonts w:ascii="Cambria" w:eastAsia="Cambria" w:hAnsi="Cambria" w:cs="Cambria"/>
                <w:color w:val="000000"/>
                <w:sz w:val="20"/>
                <w:szCs w:val="20"/>
              </w:rPr>
              <w:t>Artigos que tratem do ODS 13 de forma geral, sem abordar o Brasil em nenhuma hipótese; Artigos impossibilitados de acesso; Artigos que abordam o ODS 13 de forma superficial e generalizada, sem o enfoque da pesquisa.</w:t>
            </w:r>
          </w:p>
        </w:tc>
      </w:tr>
      <w:tr w:rsidR="00EF4933" w14:paraId="49841738" w14:textId="77777777">
        <w:trPr>
          <w:trHeight w:val="478"/>
        </w:trPr>
        <w:tc>
          <w:tcPr>
            <w:tcW w:w="157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5B2934B9" w14:textId="77777777" w:rsidR="00EF4933" w:rsidRDefault="00BB50D7">
            <w:pPr>
              <w:widowControl/>
              <w:ind w:right="229"/>
              <w:jc w:val="both"/>
              <w:rPr>
                <w:sz w:val="24"/>
                <w:szCs w:val="24"/>
              </w:rPr>
            </w:pPr>
            <w:r>
              <w:rPr>
                <w:rFonts w:ascii="Cambria" w:eastAsia="Cambria" w:hAnsi="Cambria" w:cs="Cambria"/>
                <w:b/>
                <w:bCs/>
                <w:color w:val="000000"/>
                <w:sz w:val="20"/>
                <w:szCs w:val="20"/>
              </w:rPr>
              <w:t>Parâmetros</w:t>
            </w:r>
          </w:p>
        </w:tc>
        <w:tc>
          <w:tcPr>
            <w:tcW w:w="748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56D87818" w14:textId="77777777" w:rsidR="00EF4933" w:rsidRDefault="00BB50D7">
            <w:pPr>
              <w:widowControl/>
              <w:ind w:right="229"/>
              <w:jc w:val="both"/>
              <w:rPr>
                <w:sz w:val="24"/>
                <w:szCs w:val="24"/>
              </w:rPr>
            </w:pPr>
            <w:r>
              <w:rPr>
                <w:rFonts w:ascii="Cambria" w:eastAsia="Cambria" w:hAnsi="Cambria" w:cs="Cambria"/>
                <w:color w:val="000000"/>
                <w:sz w:val="20"/>
                <w:szCs w:val="20"/>
              </w:rPr>
              <w:t>Barreiras identificadas; Dimensões da barreira; Propostas ou recomendações; Contribuições para o ODS 13.</w:t>
            </w:r>
          </w:p>
        </w:tc>
      </w:tr>
    </w:tbl>
    <w:p w14:paraId="6B7BABC3" w14:textId="77777777" w:rsidR="00EF4933" w:rsidRDefault="00BB50D7">
      <w:pPr>
        <w:widowControl/>
        <w:ind w:right="660"/>
        <w:jc w:val="center"/>
        <w:rPr>
          <w:rFonts w:ascii="Cambria" w:eastAsia="Cambria" w:hAnsi="Cambria" w:cs="Cambria"/>
          <w:color w:val="000000"/>
        </w:rPr>
      </w:pPr>
      <w:r>
        <w:rPr>
          <w:rFonts w:ascii="Cambria" w:eastAsia="Cambria" w:hAnsi="Cambria" w:cs="Cambria"/>
          <w:b/>
          <w:bCs/>
          <w:color w:val="000000"/>
        </w:rPr>
        <w:t>Fonte</w:t>
      </w:r>
      <w:r>
        <w:rPr>
          <w:rFonts w:ascii="Cambria" w:eastAsia="Cambria" w:hAnsi="Cambria" w:cs="Cambria"/>
          <w:color w:val="000000"/>
        </w:rPr>
        <w:t>: Autores (2025).</w:t>
      </w:r>
    </w:p>
    <w:p w14:paraId="027951AD" w14:textId="77777777" w:rsidR="00EF4933" w:rsidRDefault="00EF4933">
      <w:pPr>
        <w:widowControl/>
        <w:rPr>
          <w:sz w:val="24"/>
          <w:szCs w:val="24"/>
        </w:rPr>
      </w:pPr>
    </w:p>
    <w:p w14:paraId="033F1AD1"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Na segunda etapa, para a aquisição dos artigos, utilizou-se as pré-definições e a string de pesquisa estabelecidas no protocolo para realizar as buscas nas bases de dados Scopus e Web of Science (WOS), optou-se por essas bases devido à sua abrangência internacional, relevância acadêmica e rigor nos critérios de indexação, o que garante a qualidade dos estudos incluídos. Os artigos encontrados foram organizados em uma planilha no Excel. </w:t>
      </w:r>
    </w:p>
    <w:p w14:paraId="26F4638D"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Na terceira etapa, realizou-se o tratamento dos artigos obtidos, inicialmente com a exclusão dos duplicados que se encontravam nas duas bases de dados, considerando a ordem de prioridade: 1) Scopus e 2) WOS. Ainda nessa etapa, os artigos que permaneceram passaram por análise de título, resumo e palavras-chave para verificação da aderência aos critérios de inclusão e exclusão. Por fim,  foram inseridos na planilha de artigos incluídos.</w:t>
      </w:r>
    </w:p>
    <w:p w14:paraId="089BD55D"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Na quarta etapa, prosseguiu-se para a extração dos dados, na qual os artigos que foram selecionados após passar pelo processo de filtragem, foram submetidos à leitura na íntegra a fim de se obter as informações estipuladas nos parâmetros do protocolo de pesquisa. </w:t>
      </w:r>
    </w:p>
    <w:p w14:paraId="5D550502" w14:textId="77777777" w:rsidR="00EF4933" w:rsidRDefault="00BB50D7">
      <w:pPr>
        <w:pBdr>
          <w:bottom w:val="none" w:sz="0" w:space="8" w:color="000000"/>
        </w:pBdr>
        <w:shd w:val="clear" w:color="auto" w:fill="FFFFFF"/>
        <w:tabs>
          <w:tab w:val="left" w:pos="699"/>
        </w:tabs>
        <w:spacing w:line="360" w:lineRule="auto"/>
        <w:ind w:firstLine="708"/>
        <w:jc w:val="both"/>
        <w:rPr>
          <w:sz w:val="24"/>
          <w:szCs w:val="24"/>
        </w:rPr>
      </w:pPr>
      <w:r>
        <w:rPr>
          <w:sz w:val="24"/>
          <w:szCs w:val="24"/>
        </w:rPr>
        <w:t xml:space="preserve">Na quinta e última etapa, os dados obtidos com a extração foram submetidos a uma análise de conteúdo qualitativa, ou seja, os resultados foram organizados, comparados e contextualizados, a fim de identificar padrões, tendências e lacunas presentes na literatura. Além disso, analisaram-se as propostas e soluções apresentadas pelos estudos para enfrentar as barreiras identificadas. </w:t>
      </w:r>
    </w:p>
    <w:p w14:paraId="21AE0EB8" w14:textId="77777777" w:rsidR="00EF4933" w:rsidRDefault="00EF4933">
      <w:pPr>
        <w:pBdr>
          <w:bottom w:val="none" w:sz="0" w:space="8" w:color="000000"/>
        </w:pBdr>
        <w:shd w:val="clear" w:color="auto" w:fill="FFFFFF"/>
        <w:tabs>
          <w:tab w:val="left" w:pos="699"/>
        </w:tabs>
        <w:spacing w:line="360" w:lineRule="auto"/>
        <w:ind w:firstLine="708"/>
        <w:jc w:val="both"/>
        <w:rPr>
          <w:sz w:val="24"/>
          <w:szCs w:val="24"/>
        </w:rPr>
      </w:pPr>
    </w:p>
    <w:p w14:paraId="2D777F63" w14:textId="77777777" w:rsidR="00EF4933" w:rsidRDefault="00BB50D7">
      <w:pPr>
        <w:pBdr>
          <w:bottom w:val="none" w:sz="0" w:space="18" w:color="000000"/>
        </w:pBdr>
        <w:shd w:val="clear" w:color="auto" w:fill="FFFFFF"/>
        <w:tabs>
          <w:tab w:val="left" w:pos="2500"/>
        </w:tabs>
        <w:spacing w:line="360" w:lineRule="auto"/>
        <w:jc w:val="both"/>
        <w:rPr>
          <w:b/>
          <w:bCs/>
          <w:sz w:val="28"/>
          <w:szCs w:val="28"/>
        </w:rPr>
      </w:pPr>
      <w:r>
        <w:rPr>
          <w:b/>
          <w:bCs/>
          <w:sz w:val="24"/>
          <w:szCs w:val="24"/>
        </w:rPr>
        <w:t>3. RESULTADOS E DISCUSSÃO</w:t>
      </w:r>
    </w:p>
    <w:p w14:paraId="5C5ECAEF" w14:textId="77777777"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O levantamento da literatura, de acordo com o que foi definido no protocolo de pesquisa, resultou em 78 artigos, 46 na Scopus e 32 na WOS. Entretanto, com a exclusão dos duplicados, restaram 54 artigos, sendo 47 na Scopus e 7 na WOS, totalizando 24 artigos duplicados que foram excluídos. Na etapa que se sucedeu, foram excluídos mais 39 artigos, pois não entravam nos critérios para a inclusão que foram pré-definidos, resultando na quantidade final de 15 artigos a serem utilizados na extração de dados. </w:t>
      </w:r>
    </w:p>
    <w:p w14:paraId="7FF98BB0" w14:textId="2370D7E0" w:rsidR="005D7C97" w:rsidRDefault="00BB50D7" w:rsidP="005D7C97">
      <w:pPr>
        <w:pBdr>
          <w:bottom w:val="none" w:sz="0" w:space="18" w:color="000000"/>
        </w:pBdr>
        <w:shd w:val="clear" w:color="auto" w:fill="FFFFFF"/>
        <w:tabs>
          <w:tab w:val="left" w:pos="2500"/>
        </w:tabs>
        <w:spacing w:line="360" w:lineRule="auto"/>
        <w:ind w:firstLine="708"/>
        <w:jc w:val="both"/>
        <w:rPr>
          <w:sz w:val="24"/>
          <w:szCs w:val="24"/>
        </w:rPr>
      </w:pPr>
      <w:r>
        <w:rPr>
          <w:sz w:val="24"/>
          <w:szCs w:val="24"/>
        </w:rPr>
        <w:t>Os dados extraídos dos estudos foram organizados com o intuito de responder à questão norteadora. Com base no conjunto de parâmetros apresentados no protocolo de pesquisa, a seguir, será apresentada a discussão dos resultados obtidos</w:t>
      </w:r>
      <w:r w:rsidR="00AC0BC0">
        <w:rPr>
          <w:sz w:val="24"/>
          <w:szCs w:val="24"/>
        </w:rPr>
        <w:t>.</w:t>
      </w:r>
    </w:p>
    <w:p w14:paraId="2889DEE4" w14:textId="77777777" w:rsidR="00BF09FC" w:rsidRDefault="00BF09FC" w:rsidP="00191E8B">
      <w:pPr>
        <w:pBdr>
          <w:bottom w:val="none" w:sz="0" w:space="18" w:color="000000"/>
        </w:pBdr>
        <w:shd w:val="clear" w:color="auto" w:fill="FFFFFF"/>
        <w:tabs>
          <w:tab w:val="left" w:pos="2500"/>
        </w:tabs>
        <w:spacing w:line="360" w:lineRule="auto"/>
        <w:jc w:val="both"/>
        <w:rPr>
          <w:sz w:val="24"/>
          <w:szCs w:val="24"/>
        </w:rPr>
      </w:pPr>
    </w:p>
    <w:p w14:paraId="7716155A" w14:textId="4C388FB2" w:rsidR="00191E8B" w:rsidRDefault="00191E8B" w:rsidP="00191E8B">
      <w:pPr>
        <w:pBdr>
          <w:bottom w:val="none" w:sz="0" w:space="18" w:color="000000"/>
        </w:pBdr>
        <w:shd w:val="clear" w:color="auto" w:fill="FFFFFF"/>
        <w:tabs>
          <w:tab w:val="left" w:pos="2500"/>
        </w:tabs>
        <w:spacing w:line="360" w:lineRule="auto"/>
        <w:jc w:val="both"/>
        <w:rPr>
          <w:sz w:val="24"/>
          <w:szCs w:val="24"/>
        </w:rPr>
      </w:pPr>
      <w:r>
        <w:rPr>
          <w:sz w:val="24"/>
          <w:szCs w:val="24"/>
        </w:rPr>
        <w:t>3.1 BARREIRAS</w:t>
      </w:r>
    </w:p>
    <w:p w14:paraId="1B577A75" w14:textId="3462905A" w:rsidR="00AC0BC0" w:rsidRDefault="00BB50D7" w:rsidP="00AC0BC0">
      <w:pPr>
        <w:pBdr>
          <w:bottom w:val="none" w:sz="0" w:space="18" w:color="000000"/>
        </w:pBdr>
        <w:shd w:val="clear" w:color="auto" w:fill="FFFFFF"/>
        <w:tabs>
          <w:tab w:val="left" w:pos="2500"/>
        </w:tabs>
        <w:spacing w:line="360" w:lineRule="auto"/>
        <w:ind w:firstLine="708"/>
        <w:jc w:val="both"/>
        <w:rPr>
          <w:sz w:val="24"/>
          <w:szCs w:val="24"/>
        </w:rPr>
      </w:pPr>
      <w:commentRangeStart w:id="4"/>
      <w:commentRangeStart w:id="5"/>
      <w:r>
        <w:rPr>
          <w:sz w:val="24"/>
          <w:szCs w:val="24"/>
        </w:rPr>
        <w:t>As “barreiras” e as “dimensões das barreiras” revelam que a implementação do ODS 13 enfrenta uma série de barreiras estruturais no Brasil. Essas barreiras foram classificadas em categorias temáticas com base nas dimensões mais recorrentes na literatura: institucional e política, econômica e financeira, tecnológica e de capacitação, sociocultural e educaciona</w:t>
      </w:r>
      <w:r w:rsidR="00191E8B">
        <w:rPr>
          <w:sz w:val="24"/>
          <w:szCs w:val="24"/>
        </w:rPr>
        <w:t>l</w:t>
      </w:r>
      <w:r>
        <w:rPr>
          <w:sz w:val="24"/>
          <w:szCs w:val="24"/>
        </w:rPr>
        <w:t xml:space="preserve">. </w:t>
      </w:r>
    </w:p>
    <w:p w14:paraId="6B057914" w14:textId="026FF45B" w:rsidR="00AC0BC0" w:rsidRPr="00191E8B" w:rsidRDefault="00AC0BC0" w:rsidP="00AC0BC0">
      <w:pPr>
        <w:pBdr>
          <w:bottom w:val="none" w:sz="0" w:space="18" w:color="000000"/>
        </w:pBdr>
        <w:shd w:val="clear" w:color="auto" w:fill="FFFFFF"/>
        <w:tabs>
          <w:tab w:val="left" w:pos="2500"/>
        </w:tabs>
        <w:spacing w:line="360" w:lineRule="auto"/>
        <w:jc w:val="both"/>
        <w:rPr>
          <w:b/>
          <w:bCs/>
          <w:sz w:val="24"/>
          <w:szCs w:val="24"/>
        </w:rPr>
      </w:pPr>
      <w:r w:rsidRPr="00191E8B">
        <w:rPr>
          <w:b/>
          <w:bCs/>
          <w:sz w:val="24"/>
          <w:szCs w:val="24"/>
        </w:rPr>
        <w:t>3.1</w:t>
      </w:r>
      <w:r w:rsidR="00191E8B" w:rsidRPr="00191E8B">
        <w:rPr>
          <w:b/>
          <w:bCs/>
          <w:sz w:val="24"/>
          <w:szCs w:val="24"/>
        </w:rPr>
        <w:t>.1</w:t>
      </w:r>
      <w:r w:rsidRPr="00191E8B">
        <w:rPr>
          <w:b/>
          <w:bCs/>
          <w:sz w:val="24"/>
          <w:szCs w:val="24"/>
        </w:rPr>
        <w:t xml:space="preserve"> </w:t>
      </w:r>
      <w:r w:rsidR="00191E8B">
        <w:rPr>
          <w:b/>
          <w:bCs/>
          <w:sz w:val="24"/>
          <w:szCs w:val="24"/>
        </w:rPr>
        <w:t>B</w:t>
      </w:r>
      <w:r w:rsidR="004E3C0D" w:rsidRPr="00191E8B">
        <w:rPr>
          <w:b/>
          <w:bCs/>
          <w:sz w:val="24"/>
          <w:szCs w:val="24"/>
        </w:rPr>
        <w:t xml:space="preserve">arreiras de </w:t>
      </w:r>
      <w:r w:rsidR="00191E8B">
        <w:rPr>
          <w:b/>
          <w:bCs/>
          <w:sz w:val="24"/>
          <w:szCs w:val="24"/>
        </w:rPr>
        <w:t>D</w:t>
      </w:r>
      <w:r w:rsidR="004E3C0D" w:rsidRPr="00191E8B">
        <w:rPr>
          <w:b/>
          <w:bCs/>
          <w:sz w:val="24"/>
          <w:szCs w:val="24"/>
        </w:rPr>
        <w:t xml:space="preserve">imensões </w:t>
      </w:r>
      <w:r w:rsidR="00191E8B">
        <w:rPr>
          <w:b/>
          <w:bCs/>
          <w:sz w:val="24"/>
          <w:szCs w:val="24"/>
        </w:rPr>
        <w:t>I</w:t>
      </w:r>
      <w:r w:rsidR="004E3C0D" w:rsidRPr="00191E8B">
        <w:rPr>
          <w:b/>
          <w:bCs/>
          <w:sz w:val="24"/>
          <w:szCs w:val="24"/>
        </w:rPr>
        <w:t>nstitucionais</w:t>
      </w:r>
    </w:p>
    <w:p w14:paraId="557C3B3D" w14:textId="77777777" w:rsidR="00AC0BC0"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As barreiras de dimensões institucionais foram as mais frequentemente mencionadas nos estudos analisados. A literatura destaca a falta de continuidade política nas ações climáticas como um fator crítico, mudanças de governo frequentemente resultam na desmobilização de políticas públicas já iniciadas, afetando negativamente a capacidade de planejamento de longo prazo. Outro aspecto recorrente é a fragmentação da governança ambiental, com baixa articulação entre os diferentes níveis de governo (federal, estadual e municipal) e entre setores da administração pública. A ausência de mecanismos de coordenação intersetorial compromete a integração de ações climáticas com outras políticas de desenvolvimento, saúde, transporte e energia. Além disso, há transferência excessiva de responsabilidades para ONGs e parceiros externos, devido à burocracia ineficiente e à fragilidade administrativa em muitas gestões locais. Essas barreiras revelam um cenário de governança frágil, no qual a ausência de uma boa estratégia nacional dificulta a implementação efetiva do ODS 13 em diversas escalas territoriais. </w:t>
      </w:r>
    </w:p>
    <w:p w14:paraId="2C98FB03" w14:textId="47E8D798" w:rsidR="00AC0BC0" w:rsidRPr="00191E8B" w:rsidRDefault="00191E8B" w:rsidP="00AC0BC0">
      <w:pPr>
        <w:pBdr>
          <w:bottom w:val="none" w:sz="0" w:space="18" w:color="000000"/>
        </w:pBdr>
        <w:shd w:val="clear" w:color="auto" w:fill="FFFFFF"/>
        <w:tabs>
          <w:tab w:val="left" w:pos="2500"/>
        </w:tabs>
        <w:spacing w:line="360" w:lineRule="auto"/>
        <w:jc w:val="both"/>
        <w:rPr>
          <w:b/>
          <w:bCs/>
          <w:sz w:val="24"/>
          <w:szCs w:val="24"/>
        </w:rPr>
      </w:pPr>
      <w:r w:rsidRPr="00191E8B">
        <w:rPr>
          <w:b/>
          <w:bCs/>
          <w:sz w:val="24"/>
          <w:szCs w:val="24"/>
        </w:rPr>
        <w:t>3.1.</w:t>
      </w:r>
      <w:r w:rsidRPr="00191E8B">
        <w:rPr>
          <w:b/>
          <w:bCs/>
          <w:sz w:val="24"/>
          <w:szCs w:val="24"/>
        </w:rPr>
        <w:t>2 B</w:t>
      </w:r>
      <w:r w:rsidRPr="00191E8B">
        <w:rPr>
          <w:b/>
          <w:bCs/>
          <w:sz w:val="24"/>
          <w:szCs w:val="24"/>
        </w:rPr>
        <w:t xml:space="preserve">arreiras de </w:t>
      </w:r>
      <w:r w:rsidRPr="00191E8B">
        <w:rPr>
          <w:b/>
          <w:bCs/>
          <w:sz w:val="24"/>
          <w:szCs w:val="24"/>
        </w:rPr>
        <w:t>D</w:t>
      </w:r>
      <w:r w:rsidRPr="00191E8B">
        <w:rPr>
          <w:b/>
          <w:bCs/>
          <w:sz w:val="24"/>
          <w:szCs w:val="24"/>
        </w:rPr>
        <w:t xml:space="preserve">imensões </w:t>
      </w:r>
      <w:r w:rsidRPr="00191E8B">
        <w:rPr>
          <w:b/>
          <w:bCs/>
          <w:sz w:val="24"/>
          <w:szCs w:val="24"/>
        </w:rPr>
        <w:t>E</w:t>
      </w:r>
      <w:r w:rsidRPr="00191E8B">
        <w:rPr>
          <w:b/>
          <w:bCs/>
          <w:sz w:val="24"/>
          <w:szCs w:val="24"/>
        </w:rPr>
        <w:t xml:space="preserve">conômicas e </w:t>
      </w:r>
      <w:r w:rsidRPr="00191E8B">
        <w:rPr>
          <w:b/>
          <w:bCs/>
          <w:sz w:val="24"/>
          <w:szCs w:val="24"/>
        </w:rPr>
        <w:t>F</w:t>
      </w:r>
      <w:r w:rsidRPr="00191E8B">
        <w:rPr>
          <w:b/>
          <w:bCs/>
          <w:sz w:val="24"/>
          <w:szCs w:val="24"/>
        </w:rPr>
        <w:t>inanceiras</w:t>
      </w:r>
    </w:p>
    <w:p w14:paraId="14B9FDEE" w14:textId="77777777" w:rsidR="00AC0BC0"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As barreiras de dimensões econômicas e financeiras também se destacam. A falta de recursos financeiros constantes e a ausência de incentivos econômicos específicos para ações climáticas dificultam a transição para práticas sustentáveis, principalmente no setor energético e na agricultura. A instabilidade econômica brasileira e a falta de segurança jurídica são mencionadas como fatores que reduzem a confiança de empresas e governos por investimentos de longo prazo em tecnologias de baixo carbono. Além disso, a resistência a instrumentos financeiros inovadores, como os títulos verdes, e a ausência de uma política de financiamento climático estruturada são barreiras apontadas por estudos que tratam da viabilidade de implementação de projetos sustentáveis, sobretudo em regiões com infraestrutura financeira subdesenvolvida. </w:t>
      </w:r>
    </w:p>
    <w:p w14:paraId="0455F570" w14:textId="563C2156" w:rsidR="00191E8B" w:rsidRDefault="00191E8B" w:rsidP="00191E8B">
      <w:pPr>
        <w:pBdr>
          <w:bottom w:val="none" w:sz="0" w:space="18" w:color="000000"/>
        </w:pBdr>
        <w:shd w:val="clear" w:color="auto" w:fill="FFFFFF"/>
        <w:tabs>
          <w:tab w:val="left" w:pos="2500"/>
        </w:tabs>
        <w:spacing w:line="360" w:lineRule="auto"/>
        <w:jc w:val="both"/>
        <w:rPr>
          <w:sz w:val="24"/>
          <w:szCs w:val="24"/>
        </w:rPr>
      </w:pPr>
      <w:r w:rsidRPr="00191E8B">
        <w:rPr>
          <w:b/>
          <w:bCs/>
          <w:sz w:val="24"/>
          <w:szCs w:val="24"/>
        </w:rPr>
        <w:t>3.1.</w:t>
      </w:r>
      <w:r>
        <w:rPr>
          <w:b/>
          <w:bCs/>
          <w:sz w:val="24"/>
          <w:szCs w:val="24"/>
        </w:rPr>
        <w:t>3</w:t>
      </w:r>
      <w:r w:rsidRPr="00191E8B">
        <w:rPr>
          <w:b/>
          <w:bCs/>
          <w:sz w:val="24"/>
          <w:szCs w:val="24"/>
        </w:rPr>
        <w:t xml:space="preserve"> B</w:t>
      </w:r>
      <w:r w:rsidRPr="00191E8B">
        <w:rPr>
          <w:b/>
          <w:bCs/>
          <w:sz w:val="24"/>
          <w:szCs w:val="24"/>
        </w:rPr>
        <w:t xml:space="preserve">arreiras </w:t>
      </w:r>
      <w:r>
        <w:rPr>
          <w:b/>
          <w:bCs/>
          <w:sz w:val="24"/>
          <w:szCs w:val="24"/>
        </w:rPr>
        <w:t>de</w:t>
      </w:r>
      <w:r w:rsidRPr="00191E8B">
        <w:rPr>
          <w:b/>
          <w:bCs/>
          <w:sz w:val="24"/>
          <w:szCs w:val="24"/>
        </w:rPr>
        <w:t xml:space="preserve"> Dimensões Tecnológicas</w:t>
      </w:r>
    </w:p>
    <w:p w14:paraId="0158C2C3" w14:textId="77777777" w:rsidR="00AC0BC0"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As barreiras de dimensões tecnológicas são muitas vezes associadas à falta de infraestrutura adequada para adoção de tecnologias limpas e à baixa capacidade técnica de profissionais e instituições. Diversos estudos abordam a falta de dados climáticos confiáveis, de sistemas de monitoramento que atendam as necessidades e a dificuldade em operacionalizar metodologias de contabilidade de carbono como obstáculos concretos à implementação de políticas climáticas. No setor privado, muitas empresas precisam de conhecimento técnico para definir metas de descarbonização ou implementar soluções baseadas em energia renovável. A falta de capacitação continuada e a baixa integração da ciência com a formulação de políticas públicas também dificultam a adoção de estratégias baseadas em evidências. </w:t>
      </w:r>
    </w:p>
    <w:p w14:paraId="104B6197" w14:textId="377E1994" w:rsidR="00191E8B" w:rsidRPr="00191E8B" w:rsidRDefault="00191E8B" w:rsidP="00191E8B">
      <w:pPr>
        <w:pBdr>
          <w:bottom w:val="none" w:sz="0" w:space="18" w:color="000000"/>
        </w:pBdr>
        <w:shd w:val="clear" w:color="auto" w:fill="FFFFFF"/>
        <w:tabs>
          <w:tab w:val="left" w:pos="2500"/>
        </w:tabs>
        <w:spacing w:line="360" w:lineRule="auto"/>
        <w:jc w:val="both"/>
        <w:rPr>
          <w:b/>
          <w:bCs/>
          <w:sz w:val="24"/>
          <w:szCs w:val="24"/>
        </w:rPr>
      </w:pPr>
      <w:r w:rsidRPr="00191E8B">
        <w:rPr>
          <w:b/>
          <w:bCs/>
          <w:sz w:val="24"/>
          <w:szCs w:val="24"/>
        </w:rPr>
        <w:t>3.1.4 B</w:t>
      </w:r>
      <w:r w:rsidRPr="00191E8B">
        <w:rPr>
          <w:b/>
          <w:bCs/>
          <w:sz w:val="24"/>
          <w:szCs w:val="24"/>
        </w:rPr>
        <w:t xml:space="preserve">arreiras </w:t>
      </w:r>
      <w:r w:rsidRPr="00191E8B">
        <w:rPr>
          <w:b/>
          <w:bCs/>
          <w:sz w:val="24"/>
          <w:szCs w:val="24"/>
        </w:rPr>
        <w:t xml:space="preserve">Socioculturais </w:t>
      </w:r>
      <w:r>
        <w:rPr>
          <w:b/>
          <w:bCs/>
          <w:sz w:val="24"/>
          <w:szCs w:val="24"/>
        </w:rPr>
        <w:t>e</w:t>
      </w:r>
      <w:r w:rsidRPr="00191E8B">
        <w:rPr>
          <w:b/>
          <w:bCs/>
          <w:sz w:val="24"/>
          <w:szCs w:val="24"/>
        </w:rPr>
        <w:t xml:space="preserve"> Educacionais</w:t>
      </w:r>
    </w:p>
    <w:p w14:paraId="05884BA3" w14:textId="77777777" w:rsidR="00AC0BC0"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As barreiras socioculturais e educacionais foram menos abordadas na literatura,  principalmente tratando-se de contextos locais e comunidades tradicionais. Estudos mencionam a resistência ao reconhecimento das mudanças climáticas, influenciada por narrativas negacionistas ou falta de acesso à educação ambiental de qualidade. A desvalorização dos saberes tradicionais, como no caso de comunidades quilombolas, e a baixa participação da sociedade civil na construção de soluções também surgem como fatores que dificultam a implementação efetiva de políticas climáticas adaptadas à realidade local. Além disso, uma cultura tecnocrática, centrada em soluções exclusivamente técnicas, é vista como barreira à inclusão de abordagens mais sociais, colaborativas e sensíveis às diversidades culturais. </w:t>
      </w:r>
    </w:p>
    <w:p w14:paraId="70BAB818" w14:textId="4534615F"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 análise integrada dos estudos permite concluir que as barreiras e suas dimensões são multifatoriais e interdependentes, exigindo respostas que envolvam reformas institucionais e mobilização de recursos, capacitação técnica e engajamento social. </w:t>
      </w:r>
      <w:commentRangeEnd w:id="4"/>
      <w:r>
        <w:commentReference w:id="4"/>
      </w:r>
      <w:commentRangeEnd w:id="5"/>
      <w:r w:rsidR="00AC0BC0">
        <w:rPr>
          <w:rStyle w:val="Refdecomentrio"/>
        </w:rPr>
        <w:commentReference w:id="5"/>
      </w:r>
    </w:p>
    <w:p w14:paraId="62AF5C60" w14:textId="77777777" w:rsidR="00BF09FC" w:rsidRDefault="00BF09FC" w:rsidP="005D7C97">
      <w:pPr>
        <w:pBdr>
          <w:bottom w:val="none" w:sz="0" w:space="18" w:color="000000"/>
        </w:pBdr>
        <w:shd w:val="clear" w:color="auto" w:fill="FFFFFF"/>
        <w:tabs>
          <w:tab w:val="left" w:pos="2500"/>
        </w:tabs>
        <w:spacing w:line="360" w:lineRule="auto"/>
        <w:jc w:val="both"/>
        <w:rPr>
          <w:sz w:val="24"/>
          <w:szCs w:val="24"/>
        </w:rPr>
      </w:pPr>
    </w:p>
    <w:p w14:paraId="09AC054F" w14:textId="21555BCC" w:rsidR="005D7C97" w:rsidRDefault="005D7C97" w:rsidP="005D7C97">
      <w:pPr>
        <w:pBdr>
          <w:bottom w:val="none" w:sz="0" w:space="18" w:color="000000"/>
        </w:pBdr>
        <w:shd w:val="clear" w:color="auto" w:fill="FFFFFF"/>
        <w:tabs>
          <w:tab w:val="left" w:pos="2500"/>
        </w:tabs>
        <w:spacing w:line="360" w:lineRule="auto"/>
        <w:jc w:val="both"/>
        <w:rPr>
          <w:sz w:val="24"/>
          <w:szCs w:val="24"/>
        </w:rPr>
      </w:pPr>
      <w:r>
        <w:rPr>
          <w:sz w:val="24"/>
          <w:szCs w:val="24"/>
        </w:rPr>
        <w:t>3.2 PROPOSTAS</w:t>
      </w:r>
    </w:p>
    <w:p w14:paraId="5A30402C" w14:textId="77777777" w:rsidR="005D7C97" w:rsidRDefault="00BB50D7">
      <w:pPr>
        <w:pBdr>
          <w:bottom w:val="none" w:sz="0" w:space="18" w:color="000000"/>
        </w:pBdr>
        <w:shd w:val="clear" w:color="auto" w:fill="FFFFFF"/>
        <w:tabs>
          <w:tab w:val="left" w:pos="2500"/>
        </w:tabs>
        <w:spacing w:line="360" w:lineRule="auto"/>
        <w:ind w:firstLine="708"/>
        <w:jc w:val="both"/>
        <w:rPr>
          <w:sz w:val="24"/>
          <w:szCs w:val="24"/>
        </w:rPr>
      </w:pPr>
      <w:commentRangeStart w:id="6"/>
      <w:commentRangeStart w:id="7"/>
      <w:r>
        <w:rPr>
          <w:sz w:val="24"/>
          <w:szCs w:val="24"/>
        </w:rPr>
        <w:t xml:space="preserve">A partir disso, foram analisadas as “propostas ou recomendações” sugeridas pelos autores, com o objetivo de identificar possíveis caminhos para a superação das barreiras. As soluções são diversas, mas tendem a convergir em torno de algumas frentes principais de ação: fortalecimento institucional, incentivo à inovação tecnológica, criação de mecanismos financeiros e maior integração entre ciência, política e sociedade. </w:t>
      </w:r>
    </w:p>
    <w:p w14:paraId="6FF014B8" w14:textId="01AE962B" w:rsidR="005D7C97" w:rsidRPr="005D7C97" w:rsidRDefault="005D7C97" w:rsidP="005D7C97">
      <w:pPr>
        <w:pBdr>
          <w:bottom w:val="none" w:sz="0" w:space="18" w:color="000000"/>
        </w:pBdr>
        <w:shd w:val="clear" w:color="auto" w:fill="FFFFFF"/>
        <w:tabs>
          <w:tab w:val="left" w:pos="2500"/>
        </w:tabs>
        <w:spacing w:line="360" w:lineRule="auto"/>
        <w:jc w:val="both"/>
        <w:rPr>
          <w:b/>
          <w:bCs/>
          <w:sz w:val="24"/>
          <w:szCs w:val="24"/>
        </w:rPr>
      </w:pPr>
      <w:r w:rsidRPr="005D7C97">
        <w:rPr>
          <w:b/>
          <w:bCs/>
          <w:sz w:val="24"/>
          <w:szCs w:val="24"/>
        </w:rPr>
        <w:t>3.2.1 Fortalecimento Institucional</w:t>
      </w:r>
    </w:p>
    <w:p w14:paraId="45111B87" w14:textId="33889758" w:rsidR="005D7C97" w:rsidRDefault="00BB50D7" w:rsidP="00C263A1">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No que se refere ao fortalecimento institucional e à governança climática, dentre as recomendações estão: o desenvolvimento de capacidades técnicas e interpessoais dos servidores públicos; a criação de mecanismos de responsabilização e de incentivos à carreira para profissionais da gestão ambiental; a melhoria da coordenação intersetorial e intergovernamental, com foco em políticas climáticas articuladas e integradas; e a continuidade das políticas públicas, mesmo diante de mudanças de governo. </w:t>
      </w:r>
    </w:p>
    <w:p w14:paraId="5F7127CE" w14:textId="6F28645D" w:rsidR="005D7C97" w:rsidRPr="005D7C97" w:rsidRDefault="005D7C97" w:rsidP="005D7C97">
      <w:pPr>
        <w:pBdr>
          <w:bottom w:val="none" w:sz="0" w:space="18" w:color="000000"/>
        </w:pBdr>
        <w:shd w:val="clear" w:color="auto" w:fill="FFFFFF"/>
        <w:tabs>
          <w:tab w:val="left" w:pos="2500"/>
        </w:tabs>
        <w:spacing w:line="360" w:lineRule="auto"/>
        <w:jc w:val="both"/>
        <w:rPr>
          <w:b/>
          <w:bCs/>
          <w:sz w:val="24"/>
          <w:szCs w:val="24"/>
        </w:rPr>
      </w:pPr>
      <w:r w:rsidRPr="005D7C97">
        <w:rPr>
          <w:b/>
          <w:bCs/>
          <w:sz w:val="24"/>
          <w:szCs w:val="24"/>
        </w:rPr>
        <w:t xml:space="preserve">3.2.2 Incentivo </w:t>
      </w:r>
      <w:r>
        <w:rPr>
          <w:b/>
          <w:bCs/>
          <w:sz w:val="24"/>
          <w:szCs w:val="24"/>
        </w:rPr>
        <w:t>à</w:t>
      </w:r>
      <w:r w:rsidRPr="005D7C97">
        <w:rPr>
          <w:b/>
          <w:bCs/>
          <w:sz w:val="24"/>
          <w:szCs w:val="24"/>
        </w:rPr>
        <w:t xml:space="preserve"> Inovação Tecnológica</w:t>
      </w:r>
    </w:p>
    <w:p w14:paraId="23E6E1F0" w14:textId="77777777" w:rsidR="005D7C97"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No que diz respeito ao incentivo à inovação tecnológica e ao acesso a dados, frente à escassez de infraestrutura e à baixa qualificação técnica, algumas propostas visam: o desenvolvimento de plataformas digitais e ferramentas analíticas, como o sistema YARA, para centralizar e democratizar o acesso a dados científicos; a adoção de metodologias mais robustas para contabilidade de carbono, com ênfase na transparência, padronização e comparabilidade dos dados; o investimento em tecnologias de energia limpa e renovável, adaptadas às condições do contexto brasileiro; e a promoção da coprodução de conhecimento, envolvendo cientistas, formuladores de políticas e comunidades locais. Essas ações buscam superar o déficit técnico e aumentar a confiabilidade e aplicabilidade das informações no processo de tomada de decisão. </w:t>
      </w:r>
    </w:p>
    <w:p w14:paraId="3BAF912F" w14:textId="6FAF4572" w:rsidR="005D7C97" w:rsidRPr="005D7C97" w:rsidRDefault="005D7C97" w:rsidP="005D7C97">
      <w:pPr>
        <w:pBdr>
          <w:bottom w:val="none" w:sz="0" w:space="18" w:color="000000"/>
        </w:pBdr>
        <w:shd w:val="clear" w:color="auto" w:fill="FFFFFF"/>
        <w:tabs>
          <w:tab w:val="left" w:pos="2500"/>
        </w:tabs>
        <w:spacing w:line="360" w:lineRule="auto"/>
        <w:jc w:val="both"/>
        <w:rPr>
          <w:b/>
          <w:bCs/>
          <w:sz w:val="24"/>
          <w:szCs w:val="24"/>
        </w:rPr>
      </w:pPr>
      <w:r w:rsidRPr="005D7C97">
        <w:rPr>
          <w:b/>
          <w:bCs/>
          <w:sz w:val="24"/>
          <w:szCs w:val="24"/>
        </w:rPr>
        <w:t xml:space="preserve">3.2.3 Criação </w:t>
      </w:r>
      <w:r>
        <w:rPr>
          <w:b/>
          <w:bCs/>
          <w:sz w:val="24"/>
          <w:szCs w:val="24"/>
        </w:rPr>
        <w:t>de</w:t>
      </w:r>
      <w:r w:rsidRPr="005D7C97">
        <w:rPr>
          <w:b/>
          <w:bCs/>
          <w:sz w:val="24"/>
          <w:szCs w:val="24"/>
        </w:rPr>
        <w:t xml:space="preserve"> Mecanismos Financeiros</w:t>
      </w:r>
    </w:p>
    <w:p w14:paraId="7BFDE151" w14:textId="77777777" w:rsidR="005D7C97"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Visando à criação de mecanismos de financiamento climático, diversos artigos trataram da viabilidade econômica das ações climáticas e recomendaram: o estabelecimento de incentivos fiscais e financeiros para empresas que adotem práticas sustentáveis; a criação e ampliação de instrumentos como os títulos verdes, para captar recursos destinados à mitigação e adaptação; a promoção de fundos públicos específicos para financiamento climático, com critérios claros e metas monitoráveis; e o fortalecimento das finanças sustentáveis e verdes, com apoio a países em desenvolvimento. </w:t>
      </w:r>
    </w:p>
    <w:p w14:paraId="5680F718" w14:textId="74E9ABA2" w:rsidR="005D7C97" w:rsidRPr="005D7C97" w:rsidRDefault="005D7C97" w:rsidP="005D7C97">
      <w:pPr>
        <w:pBdr>
          <w:bottom w:val="none" w:sz="0" w:space="18" w:color="000000"/>
        </w:pBdr>
        <w:shd w:val="clear" w:color="auto" w:fill="FFFFFF"/>
        <w:tabs>
          <w:tab w:val="left" w:pos="2500"/>
        </w:tabs>
        <w:spacing w:line="360" w:lineRule="auto"/>
        <w:jc w:val="both"/>
        <w:rPr>
          <w:b/>
          <w:bCs/>
          <w:sz w:val="24"/>
          <w:szCs w:val="24"/>
        </w:rPr>
      </w:pPr>
      <w:r w:rsidRPr="005D7C97">
        <w:rPr>
          <w:b/>
          <w:bCs/>
          <w:sz w:val="24"/>
          <w:szCs w:val="24"/>
        </w:rPr>
        <w:t xml:space="preserve">3.2.4 Maior Integração Entre Ciência, Política </w:t>
      </w:r>
      <w:r>
        <w:rPr>
          <w:b/>
          <w:bCs/>
          <w:sz w:val="24"/>
          <w:szCs w:val="24"/>
        </w:rPr>
        <w:t>e</w:t>
      </w:r>
      <w:r w:rsidRPr="005D7C97">
        <w:rPr>
          <w:b/>
          <w:bCs/>
          <w:sz w:val="24"/>
          <w:szCs w:val="24"/>
        </w:rPr>
        <w:t xml:space="preserve"> Sociedade</w:t>
      </w:r>
    </w:p>
    <w:p w14:paraId="652D2992" w14:textId="77777777" w:rsidR="005D7C97"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Para a valorização do conhecimento local e da participação comunitária, alguns estudos sugerem caminhos baseados na resiliência sociocultural e nos saberes tradicionais, destacando a importância de: fortalecer o diálogo com comunidades tradicionais, como quilombolas e indígenas; fomentar a educação climática e a conscientização ambiental como estratégias de longo prazo; ampliar a participação da sociedade civil na formulação e fiscalização das políticas climáticas; e reconhecer as resistências culturais como parte do processo de adaptação, e não como um obstáculo a ser descartado. </w:t>
      </w:r>
    </w:p>
    <w:p w14:paraId="46356455" w14:textId="436A6EE5" w:rsidR="00EF4933" w:rsidRDefault="00BB50D7">
      <w:pPr>
        <w:pBdr>
          <w:bottom w:val="none" w:sz="0" w:space="18" w:color="000000"/>
        </w:pBdr>
        <w:shd w:val="clear" w:color="auto" w:fill="FFFFFF"/>
        <w:tabs>
          <w:tab w:val="left" w:pos="2500"/>
        </w:tabs>
        <w:spacing w:line="360" w:lineRule="auto"/>
        <w:ind w:firstLine="708"/>
        <w:jc w:val="both"/>
        <w:rPr>
          <w:sz w:val="24"/>
          <w:szCs w:val="24"/>
        </w:rPr>
      </w:pPr>
      <w:r>
        <w:rPr>
          <w:sz w:val="24"/>
          <w:szCs w:val="24"/>
        </w:rPr>
        <w:t>As propostas identificadas nos estudos revisados demonstram que, embora as barreiras à implementação do ODS 13 no Brasil sejam significativas, existem caminhos viáveis e já em curso para enfrentá-las.</w:t>
      </w:r>
      <w:commentRangeEnd w:id="6"/>
      <w:r>
        <w:commentReference w:id="6"/>
      </w:r>
      <w:commentRangeEnd w:id="7"/>
      <w:r w:rsidR="00BF09FC">
        <w:rPr>
          <w:rStyle w:val="Refdecomentrio"/>
        </w:rPr>
        <w:commentReference w:id="7"/>
      </w:r>
    </w:p>
    <w:p w14:paraId="1975B947" w14:textId="77777777" w:rsidR="00BF09FC" w:rsidRDefault="00BF09FC" w:rsidP="00C263A1">
      <w:pPr>
        <w:pBdr>
          <w:bottom w:val="none" w:sz="0" w:space="18" w:color="000000"/>
        </w:pBdr>
        <w:shd w:val="clear" w:color="auto" w:fill="FFFFFF"/>
        <w:tabs>
          <w:tab w:val="left" w:pos="2500"/>
        </w:tabs>
        <w:spacing w:line="360" w:lineRule="auto"/>
        <w:jc w:val="both"/>
        <w:rPr>
          <w:sz w:val="24"/>
          <w:szCs w:val="24"/>
        </w:rPr>
      </w:pPr>
    </w:p>
    <w:p w14:paraId="4782ACF1" w14:textId="7C77C2B6" w:rsidR="00C263A1" w:rsidRDefault="00C263A1" w:rsidP="00C263A1">
      <w:pPr>
        <w:pBdr>
          <w:bottom w:val="none" w:sz="0" w:space="18" w:color="000000"/>
        </w:pBdr>
        <w:shd w:val="clear" w:color="auto" w:fill="FFFFFF"/>
        <w:tabs>
          <w:tab w:val="left" w:pos="2500"/>
        </w:tabs>
        <w:spacing w:line="360" w:lineRule="auto"/>
        <w:jc w:val="both"/>
        <w:rPr>
          <w:sz w:val="24"/>
          <w:szCs w:val="24"/>
          <w:highlight w:val="yellow"/>
        </w:rPr>
      </w:pPr>
      <w:r>
        <w:rPr>
          <w:sz w:val="24"/>
          <w:szCs w:val="24"/>
        </w:rPr>
        <w:t>3.3 CONTRIBUIÇÕES PARA O ODS 13</w:t>
      </w:r>
    </w:p>
    <w:p w14:paraId="7EE36D23" w14:textId="77777777" w:rsidR="00BF09FC" w:rsidRDefault="00BB50D7" w:rsidP="00BF09FC">
      <w:pPr>
        <w:pBdr>
          <w:bottom w:val="none" w:sz="0" w:space="18" w:color="000000"/>
        </w:pBdr>
        <w:shd w:val="clear" w:color="auto" w:fill="FFFFFF"/>
        <w:tabs>
          <w:tab w:val="left" w:pos="2500"/>
        </w:tabs>
        <w:spacing w:line="360" w:lineRule="auto"/>
        <w:ind w:firstLine="708"/>
        <w:jc w:val="both"/>
        <w:rPr>
          <w:sz w:val="24"/>
          <w:szCs w:val="24"/>
        </w:rPr>
      </w:pPr>
      <w:commentRangeStart w:id="8"/>
      <w:commentRangeStart w:id="9"/>
      <w:r>
        <w:rPr>
          <w:sz w:val="24"/>
          <w:szCs w:val="24"/>
        </w:rPr>
        <w:t xml:space="preserve">Por fim, foram observadas as “contribuições para o ODS 13” explicitadas pelos estudos, ou seja, como cada pesquisa tem colaborado para o avanço da agenda climática no país. Os estudos analisados oferecem contribuições valiosas para o avanço do ODS 13 no Brasil, os quais podem ser organizados em três eixos principais: diagnóstico das barreiras estruturais, proposição de soluções e instrumentos aplicáveis, e fortalecimento da base teórica e empírica para políticas climáticas mais eficazes. </w:t>
      </w:r>
    </w:p>
    <w:p w14:paraId="4B8B39D6" w14:textId="5B9B1567" w:rsidR="009F4BFD" w:rsidRDefault="00BB50D7" w:rsidP="00BF09FC">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A literatura revisada permitiu identificar as fragilidades institucionais, econômicas, técnicas e sociais que dificultam o avanço do ODS 13 no país. </w:t>
      </w:r>
      <w:r w:rsidR="00BF09FC">
        <w:rPr>
          <w:sz w:val="24"/>
          <w:szCs w:val="24"/>
        </w:rPr>
        <w:t xml:space="preserve"> </w:t>
      </w:r>
      <w:r>
        <w:rPr>
          <w:sz w:val="24"/>
          <w:szCs w:val="24"/>
        </w:rPr>
        <w:t>Dentre elas, destacam-se: a adaptação de metodologias de descarbonização ao setor elétrico brasileiro; o desenvolvimento de ferramentas digitais para integração de dados climáticos; o uso de modelagens aplicadas às Contribuições Nacionalmente Determinadas (NDCs); e práticas de gestão local baseadas na criatividade e no pragmatismo. Essas propostas mostram que é possível avançar na agenda climática mesmo em contextos de fragilidade institucional e limitação de recursos, desde que haja engajamento político, técnico e social. Os estudos também contribuem para o ODS 13 ao fortalecer a interface entre ciência e política, oferecendo evidências empíricas que podem subsidiar decisões públicas.</w:t>
      </w:r>
      <w:commentRangeEnd w:id="8"/>
      <w:r>
        <w:commentReference w:id="8"/>
      </w:r>
      <w:commentRangeEnd w:id="9"/>
      <w:r w:rsidR="00BF09FC">
        <w:rPr>
          <w:rStyle w:val="Refdecomentrio"/>
        </w:rPr>
        <w:commentReference w:id="9"/>
      </w:r>
    </w:p>
    <w:p w14:paraId="41548B29" w14:textId="77777777" w:rsidR="00BF09FC" w:rsidRPr="00BF09FC" w:rsidRDefault="00BF09FC" w:rsidP="00BF09FC">
      <w:pPr>
        <w:pBdr>
          <w:bottom w:val="none" w:sz="0" w:space="18" w:color="000000"/>
        </w:pBdr>
        <w:shd w:val="clear" w:color="auto" w:fill="FFFFFF"/>
        <w:tabs>
          <w:tab w:val="left" w:pos="2500"/>
        </w:tabs>
        <w:spacing w:line="360" w:lineRule="auto"/>
        <w:jc w:val="both"/>
        <w:rPr>
          <w:sz w:val="24"/>
          <w:szCs w:val="24"/>
        </w:rPr>
      </w:pPr>
    </w:p>
    <w:p w14:paraId="4BB44B07" w14:textId="6EE60881" w:rsidR="00BF09FC" w:rsidRPr="00BF09FC" w:rsidRDefault="00BB50D7" w:rsidP="00BF09FC">
      <w:pPr>
        <w:pBdr>
          <w:bottom w:val="none" w:sz="0" w:space="18" w:color="000000"/>
        </w:pBdr>
        <w:shd w:val="clear" w:color="auto" w:fill="FFFFFF"/>
        <w:tabs>
          <w:tab w:val="left" w:pos="2500"/>
        </w:tabs>
        <w:spacing w:line="360" w:lineRule="auto"/>
        <w:ind w:firstLine="708"/>
        <w:jc w:val="both"/>
        <w:rPr>
          <w:sz w:val="24"/>
          <w:szCs w:val="24"/>
        </w:rPr>
      </w:pPr>
      <w:r>
        <w:rPr>
          <w:sz w:val="24"/>
          <w:szCs w:val="24"/>
        </w:rPr>
        <w:t xml:space="preserve">De maneira geral, a RSL revelou um panorama multifacetado dos fatores que dificultam o cumprimento do ODS 13 no Brasil. Os resultados indicam que as barreiras não ocorrem de forma isolada, mas sim como parte de um sistema interligado de limitações políticas, institucionais, econômicas, tecnológicas e sociais. Essa interdependência demanda uma abordagem integrada na formulação de políticas públicas e na proposição de estratégias de pesquisa. A superação das barreiras identificadas não depende de soluções isoladas, mas de uma transformação sistêmica na forma como o país compreende e conduz sua resposta às mudanças climáticas. A revisão </w:t>
      </w:r>
      <w:r w:rsidR="009F4BFD">
        <w:rPr>
          <w:sz w:val="24"/>
          <w:szCs w:val="24"/>
        </w:rPr>
        <w:t>mostra</w:t>
      </w:r>
      <w:r>
        <w:rPr>
          <w:sz w:val="24"/>
          <w:szCs w:val="24"/>
        </w:rPr>
        <w:t xml:space="preserve"> que existem estratégias viáveis já propostas e, em alguns casos, testadas, mas ainda há uma lacuna entre o conhecimento disponível e sua real aplicação. Avançar no cumprimento do ODS 13 exigirá vontade política, coordenação institucional, investimentos estratégicos e inclusão social, pilares </w:t>
      </w:r>
      <w:r w:rsidR="00BF09FC">
        <w:rPr>
          <w:sz w:val="24"/>
          <w:szCs w:val="24"/>
        </w:rPr>
        <w:t>descritos</w:t>
      </w:r>
      <w:r>
        <w:rPr>
          <w:sz w:val="24"/>
          <w:szCs w:val="24"/>
        </w:rPr>
        <w:t xml:space="preserve"> como fundamentais</w:t>
      </w:r>
      <w:r w:rsidR="00BF09FC">
        <w:rPr>
          <w:sz w:val="24"/>
          <w:szCs w:val="24"/>
        </w:rPr>
        <w:t xml:space="preserve"> nos estudos</w:t>
      </w:r>
      <w:r>
        <w:rPr>
          <w:sz w:val="24"/>
          <w:szCs w:val="24"/>
        </w:rPr>
        <w:t>.</w:t>
      </w:r>
    </w:p>
    <w:p w14:paraId="4FA36D95" w14:textId="57E01C8E" w:rsidR="00EF4933" w:rsidRDefault="00BB50D7">
      <w:pPr>
        <w:widowControl/>
        <w:tabs>
          <w:tab w:val="left" w:pos="1290"/>
        </w:tabs>
        <w:spacing w:line="360" w:lineRule="auto"/>
        <w:jc w:val="both"/>
        <w:rPr>
          <w:sz w:val="24"/>
          <w:szCs w:val="24"/>
        </w:rPr>
      </w:pPr>
      <w:r>
        <w:rPr>
          <w:b/>
          <w:bCs/>
          <w:sz w:val="24"/>
          <w:szCs w:val="24"/>
        </w:rPr>
        <w:t xml:space="preserve">4. CONSIDERAÇÕES FINAIS </w:t>
      </w:r>
    </w:p>
    <w:p w14:paraId="14F689D7" w14:textId="3A9A7821" w:rsidR="00EF4933" w:rsidRDefault="00BB50D7" w:rsidP="00BF09FC">
      <w:pPr>
        <w:widowControl/>
        <w:tabs>
          <w:tab w:val="left" w:pos="1290"/>
        </w:tabs>
        <w:spacing w:after="160" w:line="360" w:lineRule="auto"/>
        <w:ind w:firstLine="708"/>
        <w:jc w:val="both"/>
        <w:rPr>
          <w:sz w:val="24"/>
          <w:szCs w:val="24"/>
          <w:highlight w:val="yellow"/>
        </w:rPr>
      </w:pPr>
      <w:r>
        <w:rPr>
          <w:sz w:val="24"/>
          <w:szCs w:val="24"/>
        </w:rPr>
        <w:t xml:space="preserve">Com base nos dados apresentados, pode-se concluir que a pesquisa atingiu o objetivo, pois, por meio da RSL, foi possível identificar e analisar as barreiras à implementação de medidas voltadas ao cumprimento do ODS 13 no Brasil. O estudo oferece um panorama sobre os desafios enfrentados pelo país. Observou-se que o total de trabalhos relacionados ao escopo da pesquisa é relativamente baixo e recente na literatura acadêmica, indicando que a temática da ação climática sob a ótica dos ODS ainda representa uma lacuna significativa no conhecimento científico consolidado, o que demanda maior atenção e investimento em pesquisa. A implementação do ODS 13 no Brasil enfrenta múltiplas barreiras que precisam ser superadas para que o país possa alcançar esse objetivo. As barreiras identificadas mostram que a transição para um modelo de desenvolvimento sustentável exige mudanças significativas em diversas áreas. </w:t>
      </w:r>
      <w:bookmarkStart w:id="10" w:name="_7g371nxyxgbe" w:colFirst="0" w:colLast="0"/>
      <w:bookmarkStart w:id="11" w:name="_6eat0fokpjx4" w:colFirst="0" w:colLast="0"/>
      <w:bookmarkEnd w:id="10"/>
      <w:bookmarkEnd w:id="11"/>
    </w:p>
    <w:p w14:paraId="27FF2C36" w14:textId="77777777" w:rsidR="00BF09FC" w:rsidRPr="00BF09FC" w:rsidRDefault="00BF09FC" w:rsidP="00BF09FC">
      <w:pPr>
        <w:widowControl/>
        <w:tabs>
          <w:tab w:val="left" w:pos="1290"/>
        </w:tabs>
        <w:spacing w:after="160" w:line="360" w:lineRule="auto"/>
        <w:ind w:firstLine="708"/>
        <w:jc w:val="both"/>
        <w:rPr>
          <w:sz w:val="24"/>
          <w:szCs w:val="24"/>
          <w:highlight w:val="yellow"/>
        </w:rPr>
      </w:pPr>
    </w:p>
    <w:p w14:paraId="5112C7BC" w14:textId="77777777" w:rsidR="00EF4933" w:rsidRPr="00BF09FC" w:rsidRDefault="00BB50D7">
      <w:pPr>
        <w:widowControl/>
        <w:tabs>
          <w:tab w:val="left" w:pos="1290"/>
        </w:tabs>
        <w:spacing w:after="160" w:line="259" w:lineRule="auto"/>
        <w:jc w:val="both"/>
        <w:rPr>
          <w:b/>
          <w:bCs/>
          <w:sz w:val="24"/>
          <w:szCs w:val="24"/>
        </w:rPr>
      </w:pPr>
      <w:bookmarkStart w:id="12" w:name="_drv8fxk0bdzj" w:colFirst="0" w:colLast="0"/>
      <w:bookmarkEnd w:id="12"/>
      <w:r w:rsidRPr="00BF09FC">
        <w:rPr>
          <w:b/>
          <w:bCs/>
          <w:sz w:val="24"/>
          <w:szCs w:val="24"/>
        </w:rPr>
        <w:t xml:space="preserve">REFERÊNCIAS </w:t>
      </w:r>
    </w:p>
    <w:p w14:paraId="58854DD6" w14:textId="77777777" w:rsidR="00EF4933" w:rsidRPr="00BF09FC" w:rsidRDefault="00BB50D7">
      <w:pPr>
        <w:widowControl/>
        <w:tabs>
          <w:tab w:val="left" w:pos="1290"/>
        </w:tabs>
        <w:spacing w:after="160"/>
        <w:jc w:val="both"/>
        <w:rPr>
          <w:sz w:val="24"/>
          <w:szCs w:val="24"/>
          <w:lang w:val="en-US"/>
        </w:rPr>
      </w:pPr>
      <w:bookmarkStart w:id="13" w:name="_d36zlxrks4zo" w:colFirst="0" w:colLast="0"/>
      <w:bookmarkEnd w:id="13"/>
      <w:r w:rsidRPr="00BF09FC">
        <w:rPr>
          <w:sz w:val="24"/>
          <w:szCs w:val="24"/>
        </w:rPr>
        <w:t xml:space="preserve">AMORIM, P. B.; SOUZA, K. I. S.; CHAFFE, P. L. B.  </w:t>
      </w:r>
      <w:r w:rsidRPr="00BF09FC">
        <w:rPr>
          <w:sz w:val="24"/>
          <w:szCs w:val="24"/>
          <w:lang w:val="en-US"/>
        </w:rPr>
        <w:t>A web-based tool for synthesis assessments of the impacts of climate change on water resources.</w:t>
      </w:r>
      <w:r w:rsidRPr="00BF09FC">
        <w:rPr>
          <w:b/>
          <w:bCs/>
          <w:sz w:val="24"/>
          <w:szCs w:val="24"/>
          <w:lang w:val="en-US"/>
        </w:rPr>
        <w:t xml:space="preserve"> Environmental Modelling and Software</w:t>
      </w:r>
      <w:r w:rsidRPr="00BF09FC">
        <w:rPr>
          <w:sz w:val="24"/>
          <w:szCs w:val="24"/>
          <w:lang w:val="en-US"/>
        </w:rPr>
        <w:t>, [S.l.], v. 133, p. 104848, 2020. DOI: https://doi.org/10.1016/j.envsoft.2020.104848.</w:t>
      </w:r>
    </w:p>
    <w:p w14:paraId="0D080315" w14:textId="77777777" w:rsidR="00EF4933" w:rsidRPr="00BF09FC" w:rsidRDefault="00BB50D7">
      <w:pPr>
        <w:widowControl/>
        <w:tabs>
          <w:tab w:val="left" w:pos="1290"/>
        </w:tabs>
        <w:spacing w:after="160"/>
        <w:jc w:val="both"/>
        <w:rPr>
          <w:sz w:val="24"/>
          <w:szCs w:val="24"/>
          <w:lang w:val="en-US"/>
        </w:rPr>
      </w:pPr>
      <w:bookmarkStart w:id="14" w:name="_gg0omnax73x8" w:colFirst="0" w:colLast="0"/>
      <w:bookmarkEnd w:id="14"/>
      <w:r w:rsidRPr="00BF09FC">
        <w:rPr>
          <w:sz w:val="24"/>
          <w:szCs w:val="24"/>
          <w:lang w:val="en-US"/>
        </w:rPr>
        <w:t xml:space="preserve">BOZELLI, H. B.; GUIMARÃES, B. S.; SANTOS, A. A.; GRUTZMACHER, P.; BOTTA, C. C.; DA ROCHA, J. E. N.; PEREIRA JR., A. O. Adaptation of existent methods for setting decarbonization targets in the Brazilian power sector companies. </w:t>
      </w:r>
      <w:r w:rsidRPr="00BF09FC">
        <w:rPr>
          <w:b/>
          <w:bCs/>
          <w:sz w:val="24"/>
          <w:szCs w:val="24"/>
          <w:lang w:val="en-US"/>
        </w:rPr>
        <w:t>Sustainability</w:t>
      </w:r>
      <w:r w:rsidRPr="00BF09FC">
        <w:rPr>
          <w:sz w:val="24"/>
          <w:szCs w:val="24"/>
          <w:lang w:val="en-US"/>
        </w:rPr>
        <w:t>, [S.l.], v. 17, art. 479, 2025. DOI: https://doi.org/10.3390/su17020479.</w:t>
      </w:r>
    </w:p>
    <w:p w14:paraId="076AE52B" w14:textId="77777777" w:rsidR="00EF4933" w:rsidRPr="00BF09FC" w:rsidRDefault="00BB50D7">
      <w:pPr>
        <w:widowControl/>
        <w:tabs>
          <w:tab w:val="left" w:pos="1290"/>
        </w:tabs>
        <w:spacing w:after="160"/>
        <w:jc w:val="both"/>
        <w:rPr>
          <w:sz w:val="24"/>
          <w:szCs w:val="24"/>
          <w:lang w:val="en-US"/>
        </w:rPr>
      </w:pPr>
      <w:bookmarkStart w:id="15" w:name="_l4bh0iyh2tj" w:colFirst="0" w:colLast="0"/>
      <w:bookmarkEnd w:id="15"/>
      <w:r w:rsidRPr="00BF09FC">
        <w:rPr>
          <w:sz w:val="24"/>
          <w:szCs w:val="24"/>
        </w:rPr>
        <w:t xml:space="preserve">GAERTNER, E. W; OLIVEIRA, R. K.; LIMONT, M.; FERNANDES, V. Alinhamento de Pesquisas Científicas com os ODS da Agenda 2030: um Recorte Territorial. </w:t>
      </w:r>
      <w:r w:rsidRPr="00BF09FC">
        <w:rPr>
          <w:sz w:val="24"/>
          <w:szCs w:val="24"/>
          <w:lang w:val="en-US"/>
        </w:rPr>
        <w:t>Fronteira:</w:t>
      </w:r>
      <w:r w:rsidRPr="00BF09FC">
        <w:rPr>
          <w:b/>
          <w:bCs/>
          <w:sz w:val="24"/>
          <w:szCs w:val="24"/>
          <w:lang w:val="en-US"/>
        </w:rPr>
        <w:t xml:space="preserve"> Journal of Social, Technological and Environmental Science</w:t>
      </w:r>
      <w:r w:rsidRPr="00BF09FC">
        <w:rPr>
          <w:sz w:val="24"/>
          <w:szCs w:val="24"/>
          <w:lang w:val="en-US"/>
        </w:rPr>
        <w:t>, [S. l.], v. 10, n. 2, p. 26–45, 2021. DOI: 10.21664/2238-</w:t>
      </w:r>
      <w:proofErr w:type="gramStart"/>
      <w:r w:rsidRPr="00BF09FC">
        <w:rPr>
          <w:sz w:val="24"/>
          <w:szCs w:val="24"/>
          <w:lang w:val="en-US"/>
        </w:rPr>
        <w:t>8869.2021v10i2.p</w:t>
      </w:r>
      <w:proofErr w:type="gramEnd"/>
      <w:r w:rsidRPr="00BF09FC">
        <w:rPr>
          <w:sz w:val="24"/>
          <w:szCs w:val="24"/>
          <w:lang w:val="en-US"/>
        </w:rPr>
        <w:t>5568.</w:t>
      </w:r>
    </w:p>
    <w:p w14:paraId="2AE6605D" w14:textId="77777777" w:rsidR="00EF4933" w:rsidRPr="00BF09FC" w:rsidRDefault="00BB50D7">
      <w:pPr>
        <w:widowControl/>
        <w:tabs>
          <w:tab w:val="left" w:pos="1290"/>
        </w:tabs>
        <w:spacing w:after="160"/>
        <w:jc w:val="both"/>
        <w:rPr>
          <w:sz w:val="24"/>
          <w:szCs w:val="24"/>
          <w:lang w:val="en-US"/>
        </w:rPr>
      </w:pPr>
      <w:bookmarkStart w:id="16" w:name="_ee5twm4mmbnn" w:colFirst="0" w:colLast="0"/>
      <w:bookmarkEnd w:id="16"/>
      <w:r w:rsidRPr="00BF09FC">
        <w:rPr>
          <w:sz w:val="24"/>
          <w:szCs w:val="24"/>
          <w:lang w:val="en-US"/>
        </w:rPr>
        <w:t>HARTINGER, S. M.; PALMEIRO-SILVA, Y. K.; LLERENA-CAYO, C.; BLANCO-VILLAFUERTE, L.; ESCOBAR, L. E.; DIAZ, A.; SARMIENTO, J. H.; LESCANO, A. G.; MELO, O.; ROJAS-RUEDA, D.; TAKAHASHI, B.; CALLAGHAN, M. W.; CHESINI, F.; DASGUPTA, S.; POSSE, C. G.; GOUVEIA, N.; MARTINS DE CARVALHO, A.; MIRANDA-CHACÓN, Z.; MOHAJERI, N.; PANTOJA, C.; ROBINSON, E. J. Z.; SALAS, M. F.; SANTIAGO, R.; SAUMA, E.; SANTOS-VEGA, M.; SCAMMAN, D.; SERGEEVA, M.; SOUZA DE CAMARGO, T.; SORENSEN, C.; UMAÑA, J. D.; YGLESIAS-GONZÁLEZ, M.; WALAWENDER, M.; BUSS, D.; ROMANELLO, M. The 2023 Latin America report of the Lancet Countdown on health and climate change: the imperative for health-centred climate-resilient development.</w:t>
      </w:r>
      <w:r w:rsidRPr="00BF09FC">
        <w:rPr>
          <w:b/>
          <w:bCs/>
          <w:sz w:val="24"/>
          <w:szCs w:val="24"/>
          <w:lang w:val="en-US"/>
        </w:rPr>
        <w:t xml:space="preserve"> The Lancet Regional Health – Americas</w:t>
      </w:r>
      <w:r w:rsidRPr="00BF09FC">
        <w:rPr>
          <w:sz w:val="24"/>
          <w:szCs w:val="24"/>
          <w:lang w:val="en-US"/>
        </w:rPr>
        <w:t>, v. 33, p. 100746, 2024. DOI: 10.1016/j.lana.2024.100746</w:t>
      </w:r>
    </w:p>
    <w:p w14:paraId="630B9D09" w14:textId="77777777" w:rsidR="00EF4933" w:rsidRPr="00BF09FC" w:rsidRDefault="00BB50D7">
      <w:pPr>
        <w:widowControl/>
        <w:tabs>
          <w:tab w:val="left" w:pos="1290"/>
        </w:tabs>
        <w:spacing w:after="160"/>
        <w:jc w:val="both"/>
        <w:rPr>
          <w:sz w:val="24"/>
          <w:szCs w:val="24"/>
        </w:rPr>
      </w:pPr>
      <w:bookmarkStart w:id="17" w:name="_wljy68jfm3yw" w:colFirst="0" w:colLast="0"/>
      <w:bookmarkEnd w:id="17"/>
      <w:r w:rsidRPr="00BF09FC">
        <w:rPr>
          <w:sz w:val="24"/>
          <w:szCs w:val="24"/>
          <w:lang w:val="en-US"/>
        </w:rPr>
        <w:t>HOCHSTETLER, Kathryn. Climate institutions in Brazil: three decades of building and dismantling climate capacity.</w:t>
      </w:r>
      <w:r w:rsidRPr="00BF09FC">
        <w:rPr>
          <w:b/>
          <w:bCs/>
          <w:sz w:val="24"/>
          <w:szCs w:val="24"/>
          <w:lang w:val="en-US"/>
        </w:rPr>
        <w:t xml:space="preserve"> </w:t>
      </w:r>
      <w:r w:rsidRPr="00BF09FC">
        <w:rPr>
          <w:b/>
          <w:bCs/>
          <w:sz w:val="24"/>
          <w:szCs w:val="24"/>
        </w:rPr>
        <w:t>Environmental Politics</w:t>
      </w:r>
      <w:r w:rsidRPr="00BF09FC">
        <w:rPr>
          <w:sz w:val="24"/>
          <w:szCs w:val="24"/>
        </w:rPr>
        <w:t>, v. 30, n. sup1, p. 49-70, 2021. DOI: 10.1080/09644016.2021.1957614.</w:t>
      </w:r>
    </w:p>
    <w:p w14:paraId="4F944686" w14:textId="77777777" w:rsidR="00EF4933" w:rsidRPr="00BF09FC" w:rsidRDefault="00BB50D7">
      <w:pPr>
        <w:widowControl/>
        <w:tabs>
          <w:tab w:val="left" w:pos="1290"/>
        </w:tabs>
        <w:spacing w:after="160"/>
        <w:jc w:val="both"/>
        <w:rPr>
          <w:sz w:val="24"/>
          <w:szCs w:val="24"/>
        </w:rPr>
      </w:pPr>
      <w:bookmarkStart w:id="18" w:name="_c9f5n55uiq8l" w:colFirst="0" w:colLast="0"/>
      <w:bookmarkEnd w:id="18"/>
      <w:r w:rsidRPr="00BF09FC">
        <w:rPr>
          <w:b/>
          <w:bCs/>
          <w:sz w:val="24"/>
          <w:szCs w:val="24"/>
        </w:rPr>
        <w:t>INSTITUTO TALANO</w:t>
      </w:r>
      <w:r w:rsidRPr="00BF09FC">
        <w:rPr>
          <w:sz w:val="24"/>
          <w:szCs w:val="24"/>
        </w:rPr>
        <w:t>. Política Climática por Inteiro: Análise das Políticas Climáticas no Brasil em 2023. Brasília: Instituto Talano, 2023. Disponível em: https://politicaporinteiro.org/relatorio-2023. Acesso em: 3 maio 2025.</w:t>
      </w:r>
    </w:p>
    <w:p w14:paraId="06625DDF" w14:textId="77777777" w:rsidR="00EF4933" w:rsidRPr="00BF09FC" w:rsidRDefault="00BB50D7">
      <w:pPr>
        <w:widowControl/>
        <w:tabs>
          <w:tab w:val="left" w:pos="1290"/>
        </w:tabs>
        <w:spacing w:after="160"/>
        <w:jc w:val="both"/>
        <w:rPr>
          <w:sz w:val="24"/>
          <w:szCs w:val="24"/>
        </w:rPr>
      </w:pPr>
      <w:bookmarkStart w:id="19" w:name="_u8j0sbwjn4w3" w:colFirst="0" w:colLast="0"/>
      <w:bookmarkEnd w:id="19"/>
      <w:r w:rsidRPr="00BF09FC">
        <w:rPr>
          <w:b/>
          <w:bCs/>
          <w:sz w:val="24"/>
          <w:szCs w:val="24"/>
          <w:lang w:val="en-US"/>
        </w:rPr>
        <w:t>IPCC – INTERGOVERNMENTAL PANEL ON CLIMATE CHANGE</w:t>
      </w:r>
      <w:r w:rsidRPr="00BF09FC">
        <w:rPr>
          <w:sz w:val="24"/>
          <w:szCs w:val="24"/>
          <w:lang w:val="en-US"/>
        </w:rPr>
        <w:t xml:space="preserve">. Climate Change 2023: Synthesis Report. Geneva: IPCC, 2023. </w:t>
      </w:r>
      <w:r w:rsidRPr="00BF09FC">
        <w:rPr>
          <w:sz w:val="24"/>
          <w:szCs w:val="24"/>
        </w:rPr>
        <w:t>Disponível em: https://www.ipcc.ch/report/ar6/syr/. Acesso em: 3 maio 2025.</w:t>
      </w:r>
    </w:p>
    <w:p w14:paraId="06B7E9AA" w14:textId="77777777" w:rsidR="00EF4933" w:rsidRPr="00BF09FC" w:rsidRDefault="00BB50D7">
      <w:pPr>
        <w:widowControl/>
        <w:tabs>
          <w:tab w:val="left" w:pos="1290"/>
        </w:tabs>
        <w:spacing w:after="160"/>
        <w:jc w:val="both"/>
        <w:rPr>
          <w:sz w:val="24"/>
          <w:szCs w:val="24"/>
          <w:lang w:val="en-US"/>
        </w:rPr>
      </w:pPr>
      <w:bookmarkStart w:id="20" w:name="_7mr5x2avtn1v" w:colFirst="0" w:colLast="0"/>
      <w:bookmarkEnd w:id="20"/>
      <w:r w:rsidRPr="00BF09FC">
        <w:rPr>
          <w:sz w:val="24"/>
          <w:szCs w:val="24"/>
          <w:lang w:val="en-US"/>
        </w:rPr>
        <w:t>KARTAL, M. T.; MUKHTAROV, S.; DEPREN, O.; AYHAN, F.; ULUSSEVER, T. How Can SDG‐13 Be Achieved by Energy, Environment, and Economy‐Related Policies? Evidence From Five Leading Emerging Countries.</w:t>
      </w:r>
      <w:r w:rsidRPr="00BF09FC">
        <w:rPr>
          <w:b/>
          <w:bCs/>
          <w:sz w:val="24"/>
          <w:szCs w:val="24"/>
          <w:lang w:val="en-US"/>
        </w:rPr>
        <w:t xml:space="preserve"> Sustainable Development</w:t>
      </w:r>
      <w:r w:rsidRPr="00BF09FC">
        <w:rPr>
          <w:sz w:val="24"/>
          <w:szCs w:val="24"/>
          <w:lang w:val="en-US"/>
        </w:rPr>
        <w:t>, [S.l.], v. 20, p. 492–504, 2025. DOI: https://doi.org/10.1002/sd.3391</w:t>
      </w:r>
    </w:p>
    <w:p w14:paraId="588BD455" w14:textId="77777777" w:rsidR="00EF4933" w:rsidRPr="00BF09FC" w:rsidRDefault="00BB50D7">
      <w:pPr>
        <w:widowControl/>
        <w:tabs>
          <w:tab w:val="left" w:pos="1290"/>
        </w:tabs>
        <w:spacing w:after="160"/>
        <w:jc w:val="both"/>
        <w:rPr>
          <w:sz w:val="24"/>
          <w:szCs w:val="24"/>
          <w:lang w:val="en-US"/>
        </w:rPr>
      </w:pPr>
      <w:bookmarkStart w:id="21" w:name="_37yictc287ky" w:colFirst="0" w:colLast="0"/>
      <w:bookmarkEnd w:id="21"/>
      <w:r w:rsidRPr="00BF09FC">
        <w:rPr>
          <w:sz w:val="24"/>
          <w:szCs w:val="24"/>
          <w:lang w:val="en-US"/>
        </w:rPr>
        <w:t xml:space="preserve">LEÃO, E. B. S.; NASCIMENTO, L. F. M.; ANDRADE, J. C. S.; OLIVEIRA, J. A. P. Carbon accounting approaches and reporting gaps in urban emissions: an analysis of the Greenhouse Gas inventories and climate action plans in Brazilian cities. </w:t>
      </w:r>
      <w:r w:rsidRPr="00BF09FC">
        <w:rPr>
          <w:b/>
          <w:bCs/>
          <w:sz w:val="24"/>
          <w:szCs w:val="24"/>
          <w:lang w:val="en-US"/>
        </w:rPr>
        <w:t>Journal of Cleaner Production</w:t>
      </w:r>
      <w:r w:rsidRPr="00BF09FC">
        <w:rPr>
          <w:sz w:val="24"/>
          <w:szCs w:val="24"/>
          <w:lang w:val="en-US"/>
        </w:rPr>
        <w:t>, [S.l.], v. 245, art. 118930, 2020. DOI: https://doi.org/10.1016/j.jclepro.2019.118930.</w:t>
      </w:r>
    </w:p>
    <w:p w14:paraId="075D95DA" w14:textId="77777777" w:rsidR="00EF4933" w:rsidRPr="00BF09FC" w:rsidRDefault="00BB50D7">
      <w:pPr>
        <w:widowControl/>
        <w:tabs>
          <w:tab w:val="left" w:pos="1290"/>
        </w:tabs>
        <w:spacing w:after="160"/>
        <w:jc w:val="both"/>
        <w:rPr>
          <w:sz w:val="24"/>
          <w:szCs w:val="24"/>
        </w:rPr>
      </w:pPr>
      <w:bookmarkStart w:id="22" w:name="_5empg0tiukwj" w:colFirst="0" w:colLast="0"/>
      <w:bookmarkEnd w:id="22"/>
      <w:r w:rsidRPr="00BF09FC">
        <w:rPr>
          <w:sz w:val="24"/>
          <w:szCs w:val="24"/>
          <w:lang w:val="en-US"/>
        </w:rPr>
        <w:t xml:space="preserve">LITRE, G.; BURSZTYN, M.; SIMONI, J.; REIS, R. Achieving the Sustainable Development Goals through good enough governance: lessons from Argentine and Brazilian municipalities. </w:t>
      </w:r>
      <w:r w:rsidRPr="00BF09FC">
        <w:rPr>
          <w:b/>
          <w:bCs/>
          <w:sz w:val="24"/>
          <w:szCs w:val="24"/>
        </w:rPr>
        <w:t>Agrociencia Uruguay</w:t>
      </w:r>
      <w:r w:rsidRPr="00BF09FC">
        <w:rPr>
          <w:sz w:val="24"/>
          <w:szCs w:val="24"/>
        </w:rPr>
        <w:t>, [S.l.], v. 24, n. 2, art. 139, 2020. DOI: https://doi.org/10.31285/AGRO.24.139.</w:t>
      </w:r>
    </w:p>
    <w:p w14:paraId="2C4A7EEC" w14:textId="77777777" w:rsidR="00EF4933" w:rsidRPr="00BF09FC" w:rsidRDefault="00BB50D7">
      <w:pPr>
        <w:widowControl/>
        <w:tabs>
          <w:tab w:val="left" w:pos="1290"/>
        </w:tabs>
        <w:spacing w:after="160"/>
        <w:jc w:val="both"/>
        <w:rPr>
          <w:sz w:val="24"/>
          <w:szCs w:val="24"/>
        </w:rPr>
      </w:pPr>
      <w:bookmarkStart w:id="23" w:name="_rgpsal85xhgg" w:colFirst="0" w:colLast="0"/>
      <w:bookmarkEnd w:id="23"/>
      <w:r w:rsidRPr="00BF09FC">
        <w:rPr>
          <w:sz w:val="24"/>
          <w:szCs w:val="24"/>
        </w:rPr>
        <w:t xml:space="preserve">MIRANDA , A. N.; WERKEMA , A. L. S.; CARVALHO, A. C. F.; LOPES , J. B. R. Políticas governamentais e o combate às mudanças climáticas no brasil. </w:t>
      </w:r>
      <w:r w:rsidRPr="00BF09FC">
        <w:rPr>
          <w:b/>
          <w:bCs/>
          <w:sz w:val="24"/>
          <w:szCs w:val="24"/>
        </w:rPr>
        <w:t>Global Crossings</w:t>
      </w:r>
      <w:r w:rsidRPr="00BF09FC">
        <w:rPr>
          <w:sz w:val="24"/>
          <w:szCs w:val="24"/>
        </w:rPr>
        <w:t>, Minas Gerais, Brasil, v. 1, n. 2, p. 91–117, 2025. DOI: 10.69818/gc.v1.n2.91-117.2024.</w:t>
      </w:r>
    </w:p>
    <w:p w14:paraId="40F3FC73" w14:textId="77777777" w:rsidR="00EF4933" w:rsidRPr="00BF09FC" w:rsidRDefault="00BB50D7">
      <w:pPr>
        <w:widowControl/>
        <w:tabs>
          <w:tab w:val="left" w:pos="1290"/>
        </w:tabs>
        <w:spacing w:after="160"/>
        <w:jc w:val="both"/>
        <w:rPr>
          <w:sz w:val="24"/>
          <w:szCs w:val="24"/>
          <w:lang w:val="en-US"/>
        </w:rPr>
      </w:pPr>
      <w:bookmarkStart w:id="24" w:name="_owpzvx8h0ifr" w:colFirst="0" w:colLast="0"/>
      <w:bookmarkEnd w:id="24"/>
      <w:r w:rsidRPr="00BF09FC">
        <w:rPr>
          <w:sz w:val="24"/>
          <w:szCs w:val="24"/>
          <w:lang w:val="en-US"/>
        </w:rPr>
        <w:t>MONTEIRO, N. B. R.; SILVA, E. A.; NETO, J. M. M. Sustainable development goals in mining.</w:t>
      </w:r>
      <w:r w:rsidRPr="00BF09FC">
        <w:rPr>
          <w:b/>
          <w:bCs/>
          <w:sz w:val="24"/>
          <w:szCs w:val="24"/>
          <w:lang w:val="en-US"/>
        </w:rPr>
        <w:t xml:space="preserve"> Journal of Cleaner Production</w:t>
      </w:r>
      <w:r w:rsidRPr="00BF09FC">
        <w:rPr>
          <w:sz w:val="24"/>
          <w:szCs w:val="24"/>
          <w:lang w:val="en-US"/>
        </w:rPr>
        <w:t>, v. 228, p. 509–520, 2019. DOI: https://doi.org/10.1016/j.jclepro.2019.04.332.</w:t>
      </w:r>
    </w:p>
    <w:p w14:paraId="6B28A403" w14:textId="77777777" w:rsidR="00EF4933" w:rsidRPr="00BF09FC" w:rsidRDefault="00BB50D7">
      <w:pPr>
        <w:widowControl/>
        <w:tabs>
          <w:tab w:val="left" w:pos="1290"/>
        </w:tabs>
        <w:spacing w:after="160"/>
        <w:jc w:val="both"/>
        <w:rPr>
          <w:sz w:val="24"/>
          <w:szCs w:val="24"/>
          <w:lang w:val="en-US"/>
        </w:rPr>
      </w:pPr>
      <w:bookmarkStart w:id="25" w:name="_1cq68esutp13" w:colFirst="0" w:colLast="0"/>
      <w:bookmarkEnd w:id="25"/>
      <w:r w:rsidRPr="00BF09FC">
        <w:rPr>
          <w:b/>
          <w:bCs/>
          <w:sz w:val="24"/>
          <w:szCs w:val="24"/>
        </w:rPr>
        <w:t>ORGANIZAÇÃO DAS NAÇÕES UNIDAS (ONU)</w:t>
      </w:r>
      <w:r w:rsidRPr="00BF09FC">
        <w:rPr>
          <w:sz w:val="24"/>
          <w:szCs w:val="24"/>
        </w:rPr>
        <w:t xml:space="preserve">. Transformando nosso mundo: a Agenda 2030 para o Desenvolvimento Sustentável. Tradução do Centro de Informação das Nações Unidas para o Brasil (UNIC Rio). [S.l.]: ONU, 2015. Disponível em:https://brasil.un.org/pt-br/91863-agenda-2030-para-o-desenvolvimento-sustentavel. </w:t>
      </w:r>
      <w:r w:rsidRPr="00BF09FC">
        <w:rPr>
          <w:sz w:val="24"/>
          <w:szCs w:val="24"/>
          <w:lang w:val="en-US"/>
        </w:rPr>
        <w:t>Acesso em: 3 maio 2025.</w:t>
      </w:r>
    </w:p>
    <w:p w14:paraId="1128F7EF" w14:textId="77777777" w:rsidR="00EF4933" w:rsidRPr="00BF09FC" w:rsidRDefault="00BB50D7">
      <w:pPr>
        <w:widowControl/>
        <w:tabs>
          <w:tab w:val="left" w:pos="1290"/>
        </w:tabs>
        <w:spacing w:after="160"/>
        <w:jc w:val="both"/>
        <w:rPr>
          <w:sz w:val="24"/>
          <w:szCs w:val="24"/>
          <w:lang w:val="en-US"/>
        </w:rPr>
      </w:pPr>
      <w:bookmarkStart w:id="26" w:name="_7iqah4chtboj" w:colFirst="0" w:colLast="0"/>
      <w:bookmarkEnd w:id="26"/>
      <w:r w:rsidRPr="00BF09FC">
        <w:rPr>
          <w:sz w:val="24"/>
          <w:szCs w:val="24"/>
          <w:lang w:val="en-US"/>
        </w:rPr>
        <w:t>MYSLIKOVA, Z. How informal institutions drive innovation: Insights from energy technology innovation systems in Latin America.</w:t>
      </w:r>
      <w:r w:rsidRPr="00BF09FC">
        <w:rPr>
          <w:b/>
          <w:bCs/>
          <w:sz w:val="24"/>
          <w:szCs w:val="24"/>
          <w:lang w:val="en-US"/>
        </w:rPr>
        <w:t xml:space="preserve"> Energy Research &amp; Social Science</w:t>
      </w:r>
      <w:r w:rsidRPr="00BF09FC">
        <w:rPr>
          <w:sz w:val="24"/>
          <w:szCs w:val="24"/>
          <w:lang w:val="en-US"/>
        </w:rPr>
        <w:t>, [S.l.], v. 119, p. 103899, 2025. DOI: https://doi.org/10.1016/j.erss.2024.103899.​</w:t>
      </w:r>
    </w:p>
    <w:p w14:paraId="6BBC5494" w14:textId="77777777" w:rsidR="00EF4933" w:rsidRPr="00BF09FC" w:rsidRDefault="00BB50D7">
      <w:pPr>
        <w:widowControl/>
        <w:tabs>
          <w:tab w:val="left" w:pos="1290"/>
        </w:tabs>
        <w:spacing w:after="160"/>
        <w:jc w:val="both"/>
        <w:rPr>
          <w:sz w:val="24"/>
          <w:szCs w:val="24"/>
          <w:lang w:val="en-US"/>
        </w:rPr>
      </w:pPr>
      <w:bookmarkStart w:id="27" w:name="_9x2kbt74voo4" w:colFirst="0" w:colLast="0"/>
      <w:bookmarkEnd w:id="27"/>
      <w:r w:rsidRPr="00BF09FC">
        <w:rPr>
          <w:sz w:val="24"/>
          <w:szCs w:val="24"/>
          <w:lang w:val="en-US"/>
        </w:rPr>
        <w:t>RAMAN, R.; CHAKRABORTY, D.; KUMAR, S.; JAIN, S.; PATEL, A.; SHARMA, A.; MEHRA, P.; KUMAR, A.; JAIN, M.; SHARMA, R. Innovations and barriers in sustainable and green finance for advancing sustainable development goals.</w:t>
      </w:r>
      <w:r w:rsidRPr="00BF09FC">
        <w:rPr>
          <w:b/>
          <w:bCs/>
          <w:sz w:val="24"/>
          <w:szCs w:val="24"/>
          <w:lang w:val="en-US"/>
        </w:rPr>
        <w:t xml:space="preserve"> Frontiers in Environmental Science</w:t>
      </w:r>
      <w:r w:rsidRPr="00BF09FC">
        <w:rPr>
          <w:sz w:val="24"/>
          <w:szCs w:val="24"/>
          <w:lang w:val="en-US"/>
        </w:rPr>
        <w:t>, [S.l.], v. 12, p. 1513204, 2025. DOI: https://doi.org/10.3389/fenvs.2025.1513204.</w:t>
      </w:r>
    </w:p>
    <w:p w14:paraId="330599EB" w14:textId="77777777" w:rsidR="00EF4933" w:rsidRPr="00BF09FC" w:rsidRDefault="00BB50D7">
      <w:pPr>
        <w:widowControl/>
        <w:tabs>
          <w:tab w:val="left" w:pos="1290"/>
        </w:tabs>
        <w:spacing w:after="160"/>
        <w:jc w:val="both"/>
        <w:rPr>
          <w:sz w:val="24"/>
          <w:szCs w:val="24"/>
          <w:lang w:val="en-US"/>
        </w:rPr>
      </w:pPr>
      <w:bookmarkStart w:id="28" w:name="_f8tu0gq2yg48" w:colFirst="0" w:colLast="0"/>
      <w:bookmarkEnd w:id="28"/>
      <w:r w:rsidRPr="00BF09FC">
        <w:rPr>
          <w:sz w:val="24"/>
          <w:szCs w:val="24"/>
          <w:lang w:val="en-US"/>
        </w:rPr>
        <w:t xml:space="preserve">ROMÁN, M. Introduction: SD-PAM and the potential of promoting climate action through development policies. </w:t>
      </w:r>
      <w:r w:rsidRPr="00BF09FC">
        <w:rPr>
          <w:b/>
          <w:bCs/>
          <w:sz w:val="24"/>
          <w:szCs w:val="24"/>
          <w:lang w:val="en-US"/>
        </w:rPr>
        <w:t>Climate and Development</w:t>
      </w:r>
      <w:r w:rsidRPr="00BF09FC">
        <w:rPr>
          <w:sz w:val="24"/>
          <w:szCs w:val="24"/>
          <w:lang w:val="en-US"/>
        </w:rPr>
        <w:t>, v. 4, n. 3, p. 167–174, 2012. DOI: 10.1080/17565529.2012.698586</w:t>
      </w:r>
    </w:p>
    <w:p w14:paraId="78EE926D" w14:textId="77777777" w:rsidR="00EF4933" w:rsidRPr="00BF09FC" w:rsidRDefault="00BB50D7">
      <w:pPr>
        <w:widowControl/>
        <w:tabs>
          <w:tab w:val="left" w:pos="1290"/>
        </w:tabs>
        <w:spacing w:after="160"/>
        <w:jc w:val="both"/>
        <w:rPr>
          <w:sz w:val="24"/>
          <w:szCs w:val="24"/>
        </w:rPr>
      </w:pPr>
      <w:bookmarkStart w:id="29" w:name="_7a8178yhm0rc" w:colFirst="0" w:colLast="0"/>
      <w:bookmarkEnd w:id="29"/>
      <w:r w:rsidRPr="00BF09FC">
        <w:rPr>
          <w:sz w:val="24"/>
          <w:szCs w:val="24"/>
          <w:lang w:val="en-US"/>
        </w:rPr>
        <w:t>SCHMIDT, L.; FEITAL, M.; CORTEKAR, J.; DI GIULIO, G.; ENGELS, A. Understanding the science-policy interface in urban climate governance from a co-production perspective: Insights from the cases of Hamburg and São Paulo.</w:t>
      </w:r>
      <w:r w:rsidRPr="00BF09FC">
        <w:rPr>
          <w:b/>
          <w:bCs/>
          <w:sz w:val="24"/>
          <w:szCs w:val="24"/>
          <w:lang w:val="en-US"/>
        </w:rPr>
        <w:t xml:space="preserve"> </w:t>
      </w:r>
      <w:r w:rsidRPr="00BF09FC">
        <w:rPr>
          <w:b/>
          <w:bCs/>
          <w:sz w:val="24"/>
          <w:szCs w:val="24"/>
        </w:rPr>
        <w:t>Environmental Science &amp; Policy</w:t>
      </w:r>
      <w:r w:rsidRPr="00BF09FC">
        <w:rPr>
          <w:sz w:val="24"/>
          <w:szCs w:val="24"/>
        </w:rPr>
        <w:t>, v. 156, p. 103750, 2024. DOI: 10.1016/j.envsci.2024.103750.</w:t>
      </w:r>
    </w:p>
    <w:p w14:paraId="7374596E" w14:textId="77777777" w:rsidR="00EF4933" w:rsidRPr="00BF09FC" w:rsidRDefault="00BB50D7">
      <w:pPr>
        <w:widowControl/>
        <w:tabs>
          <w:tab w:val="left" w:pos="1290"/>
        </w:tabs>
        <w:spacing w:after="160"/>
        <w:jc w:val="both"/>
        <w:rPr>
          <w:sz w:val="24"/>
          <w:szCs w:val="24"/>
          <w:lang w:val="en-US"/>
        </w:rPr>
      </w:pPr>
      <w:bookmarkStart w:id="30" w:name="_bkiu8e67vj5w" w:colFirst="0" w:colLast="0"/>
      <w:bookmarkEnd w:id="30"/>
      <w:r w:rsidRPr="00BF09FC">
        <w:rPr>
          <w:sz w:val="24"/>
          <w:szCs w:val="24"/>
        </w:rPr>
        <w:t>SILVA, J. S.; LIMEIRA FILHO, A. A.; MARTINS, M. de F. Avaliação da governança na implementação dos ODS: levantamento bibliográfico de contribuições teóricas para o tema (2015-2021).</w:t>
      </w:r>
      <w:r w:rsidRPr="00BF09FC">
        <w:rPr>
          <w:b/>
          <w:bCs/>
          <w:sz w:val="24"/>
          <w:szCs w:val="24"/>
        </w:rPr>
        <w:t xml:space="preserve"> Pesquisa, Sociedade e Desenvolvimento</w:t>
      </w:r>
      <w:r w:rsidRPr="00BF09FC">
        <w:rPr>
          <w:sz w:val="24"/>
          <w:szCs w:val="24"/>
        </w:rPr>
        <w:t xml:space="preserve">, [S. l.], v. 11, n. 3, p. e59611326932, 2022. </w:t>
      </w:r>
      <w:r w:rsidRPr="00BF09FC">
        <w:rPr>
          <w:sz w:val="24"/>
          <w:szCs w:val="24"/>
          <w:lang w:val="en-US"/>
        </w:rPr>
        <w:t xml:space="preserve">DOI: 10.33448/rsd-v11i3.26932. </w:t>
      </w:r>
    </w:p>
    <w:p w14:paraId="5197B849" w14:textId="77777777" w:rsidR="00EF4933" w:rsidRPr="00BF09FC" w:rsidRDefault="00BB50D7">
      <w:pPr>
        <w:widowControl/>
        <w:tabs>
          <w:tab w:val="left" w:pos="1290"/>
        </w:tabs>
        <w:spacing w:after="160"/>
        <w:jc w:val="both"/>
        <w:rPr>
          <w:sz w:val="24"/>
          <w:szCs w:val="24"/>
          <w:lang w:val="en-US"/>
        </w:rPr>
      </w:pPr>
      <w:bookmarkStart w:id="31" w:name="_zf46i5bujsi6" w:colFirst="0" w:colLast="0"/>
      <w:bookmarkEnd w:id="31"/>
      <w:r w:rsidRPr="00BF09FC">
        <w:rPr>
          <w:sz w:val="24"/>
          <w:szCs w:val="24"/>
          <w:lang w:val="en-US"/>
        </w:rPr>
        <w:t xml:space="preserve">WILLS, W.; MOREIRA, M.; OBERMAIER, M.; LEFÈVRE, J.; ELY, R. Food Production and Amazon Preservation are Not Mutually Exclusive: Exploring Feasible Avenues from the Perspective of Land Use Related NDCs in Brazil. </w:t>
      </w:r>
      <w:r w:rsidRPr="00BF09FC">
        <w:rPr>
          <w:b/>
          <w:bCs/>
          <w:sz w:val="24"/>
          <w:szCs w:val="24"/>
          <w:lang w:val="en-US"/>
        </w:rPr>
        <w:t>WSEAS Transactions on Business and Economics</w:t>
      </w:r>
      <w:r w:rsidRPr="00BF09FC">
        <w:rPr>
          <w:sz w:val="24"/>
          <w:szCs w:val="24"/>
          <w:lang w:val="en-US"/>
        </w:rPr>
        <w:t>, v. 20, p. 492–504, 2023. DOI: 10.37394/23207.2023.20.45.</w:t>
      </w:r>
    </w:p>
    <w:p w14:paraId="4485B4F1" w14:textId="77777777" w:rsidR="00EF4933" w:rsidRPr="00BF09FC" w:rsidRDefault="00BB50D7">
      <w:pPr>
        <w:widowControl/>
        <w:tabs>
          <w:tab w:val="left" w:pos="1290"/>
        </w:tabs>
        <w:spacing w:after="160"/>
        <w:jc w:val="both"/>
        <w:rPr>
          <w:sz w:val="24"/>
          <w:szCs w:val="24"/>
          <w:lang w:val="en-US"/>
        </w:rPr>
      </w:pPr>
      <w:bookmarkStart w:id="32" w:name="_dvx92wki7kp3" w:colFirst="0" w:colLast="0"/>
      <w:bookmarkEnd w:id="32"/>
      <w:r w:rsidRPr="00BF09FC">
        <w:rPr>
          <w:sz w:val="24"/>
          <w:szCs w:val="24"/>
          <w:lang w:val="en-US"/>
        </w:rPr>
        <w:t xml:space="preserve">ZHU, R.; WANG, Z.; LI, S.; LIU, S.; LI, Z.; LI, X. Role of resources rent, research and development, and information and communication technologies on CO2 emissions in BRICS economies. </w:t>
      </w:r>
      <w:r w:rsidRPr="00BF09FC">
        <w:rPr>
          <w:b/>
          <w:bCs/>
          <w:sz w:val="24"/>
          <w:szCs w:val="24"/>
          <w:lang w:val="en-US"/>
        </w:rPr>
        <w:t>Resources Policy</w:t>
      </w:r>
      <w:r w:rsidRPr="00BF09FC">
        <w:rPr>
          <w:sz w:val="24"/>
          <w:szCs w:val="24"/>
          <w:lang w:val="en-US"/>
        </w:rPr>
        <w:t>, v. 93, p. 105072, 2024. DOI: https://doi.org/10.1016/j.resourpol.2024.105072.</w:t>
      </w:r>
    </w:p>
    <w:sectPr w:rsidR="00EF4933" w:rsidRPr="00BF09FC">
      <w:headerReference w:type="default" r:id="rId11"/>
      <w:footerReference w:type="default" r:id="rId12"/>
      <w:pgSz w:w="1191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date="1970-01-01T00:00:00Z" w:initials="">
    <w:p w14:paraId="587B5505" w14:textId="77777777" w:rsidR="00EF4933" w:rsidRDefault="00BB50D7">
      <w:pPr>
        <w:pBdr>
          <w:top w:val="nil"/>
          <w:left w:val="nil"/>
          <w:bottom w:val="nil"/>
          <w:right w:val="nil"/>
          <w:between w:val="nil"/>
        </w:pBdr>
        <w:rPr>
          <w:rFonts w:ascii="Arial" w:eastAsia="Arial" w:hAnsi="Arial" w:cs="Arial"/>
          <w:color w:val="000000"/>
        </w:rPr>
      </w:pPr>
      <w:r>
        <w:rPr>
          <w:rFonts w:ascii="Arial" w:eastAsia="Arial" w:hAnsi="Arial" w:cs="Arial"/>
          <w:color w:val="000000"/>
        </w:rPr>
        <w:t>dsdsdds</w:t>
      </w:r>
    </w:p>
  </w:comment>
  <w:comment w:id="1" w:author="Izabelly Gonçalves" w:date="2025-12-01T16:49:00Z" w:initials="IG">
    <w:p w14:paraId="29C49528" w14:textId="77777777" w:rsidR="002E69C0" w:rsidRDefault="002E69C0" w:rsidP="002E69C0">
      <w:pPr>
        <w:pStyle w:val="Textodecomentrio"/>
      </w:pPr>
      <w:r>
        <w:rPr>
          <w:rStyle w:val="Refdecomentrio"/>
        </w:rPr>
        <w:annotationRef/>
      </w:r>
      <w:r>
        <w:t>Não entendi o comentário.</w:t>
      </w:r>
    </w:p>
  </w:comment>
  <w:comment w:id="2" w:author="Autor" w:date="1970-01-01T00:00:00Z" w:initials="">
    <w:p w14:paraId="0E7987FF" w14:textId="72898008" w:rsidR="00EF4933" w:rsidRDefault="00BB50D7">
      <w:pPr>
        <w:pBdr>
          <w:top w:val="nil"/>
          <w:left w:val="nil"/>
          <w:bottom w:val="nil"/>
          <w:right w:val="nil"/>
          <w:between w:val="nil"/>
        </w:pBdr>
        <w:rPr>
          <w:rFonts w:ascii="Arial" w:eastAsia="Arial" w:hAnsi="Arial" w:cs="Arial"/>
          <w:color w:val="000000"/>
        </w:rPr>
      </w:pPr>
      <w:r>
        <w:rPr>
          <w:rFonts w:ascii="Arial" w:eastAsia="Arial" w:hAnsi="Arial" w:cs="Arial"/>
          <w:color w:val="000000"/>
        </w:rPr>
        <w:t>Sugiro realizar a pesquisa em português também, pois como o local é no Brasil, vários trabalhos podem agregar os resultados e a discussão posteriormente.</w:t>
      </w:r>
    </w:p>
  </w:comment>
  <w:comment w:id="3" w:author="Izabelly Gonçalves" w:date="2025-12-01T17:36:00Z" w:initials="IG">
    <w:p w14:paraId="3B19F37C" w14:textId="77777777" w:rsidR="00AC0BC0" w:rsidRDefault="00AC0BC0" w:rsidP="00AC0BC0">
      <w:pPr>
        <w:pStyle w:val="Textodecomentrio"/>
      </w:pPr>
      <w:r>
        <w:rPr>
          <w:rStyle w:val="Refdecomentrio"/>
        </w:rPr>
        <w:annotationRef/>
      </w:r>
      <w:r>
        <w:t>Foram considerados os artigos em inglês e português. Mas para fazer a busca nas bases de dados Scopus e WOS, não são encontrados artigos com o conteúdo de busca em português.</w:t>
      </w:r>
    </w:p>
  </w:comment>
  <w:comment w:id="4" w:author="Autor" w:date="1970-01-01T00:00:00Z" w:initials="">
    <w:p w14:paraId="6762F9AE" w14:textId="5BD3870D" w:rsidR="00EF4933" w:rsidRDefault="00BB50D7">
      <w:pPr>
        <w:pBdr>
          <w:top w:val="nil"/>
          <w:left w:val="nil"/>
          <w:bottom w:val="nil"/>
          <w:right w:val="nil"/>
          <w:between w:val="nil"/>
        </w:pBdr>
        <w:rPr>
          <w:rFonts w:ascii="Arial" w:eastAsia="Arial" w:hAnsi="Arial" w:cs="Arial"/>
          <w:color w:val="000000"/>
        </w:rPr>
      </w:pPr>
      <w:r>
        <w:rPr>
          <w:rFonts w:ascii="Arial" w:eastAsia="Arial" w:hAnsi="Arial" w:cs="Arial"/>
          <w:color w:val="000000"/>
        </w:rPr>
        <w:t>Parágrafo muito grande. Sugiro colocar um parágrafo por dimensão. Seria interessante colocar uma tabela resumo com as dimensões juntamente com as barreiras e os respectivos artigos</w:t>
      </w:r>
    </w:p>
  </w:comment>
  <w:comment w:id="5" w:author="Izabelly Gonçalves" w:date="2025-12-01T17:38:00Z" w:initials="IG">
    <w:p w14:paraId="475F15D4" w14:textId="77777777" w:rsidR="00BF09FC" w:rsidRDefault="00AC0BC0" w:rsidP="00BF09FC">
      <w:pPr>
        <w:pStyle w:val="Textodecomentrio"/>
      </w:pPr>
      <w:r>
        <w:rPr>
          <w:rStyle w:val="Refdecomentrio"/>
        </w:rPr>
        <w:annotationRef/>
      </w:r>
      <w:r w:rsidR="00BF09FC">
        <w:t xml:space="preserve">O conteúdo foi organizado. Mas devido a limitação de espaço no artigo, não foi possível elaborar a tabela sugerida. </w:t>
      </w:r>
    </w:p>
  </w:comment>
  <w:comment w:id="6" w:author="Autor" w:date="1970-01-01T00:00:00Z" w:initials="">
    <w:p w14:paraId="5B118351" w14:textId="0543D4B4" w:rsidR="00EF4933" w:rsidRDefault="00BB50D7">
      <w:pPr>
        <w:pBdr>
          <w:top w:val="nil"/>
          <w:left w:val="nil"/>
          <w:bottom w:val="nil"/>
          <w:right w:val="nil"/>
          <w:between w:val="nil"/>
        </w:pBdr>
        <w:rPr>
          <w:rFonts w:ascii="Arial" w:eastAsia="Arial" w:hAnsi="Arial" w:cs="Arial"/>
          <w:color w:val="000000"/>
        </w:rPr>
      </w:pPr>
      <w:r>
        <w:rPr>
          <w:rFonts w:ascii="Arial" w:eastAsia="Arial" w:hAnsi="Arial" w:cs="Arial"/>
          <w:color w:val="000000"/>
        </w:rPr>
        <w:t>Parágrafo muito grande. Sugiro colocar um parágrafo por proposta. Seria interessante colocar uma tabela resumo com proposta juntamente com as barreiras e os respectivos artigos</w:t>
      </w:r>
    </w:p>
  </w:comment>
  <w:comment w:id="7" w:author="Izabelly Gonçalves" w:date="2025-12-01T18:59:00Z" w:initials="IG">
    <w:p w14:paraId="1643BD28" w14:textId="77777777" w:rsidR="00BF09FC" w:rsidRDefault="00BF09FC" w:rsidP="00BF09FC">
      <w:pPr>
        <w:pStyle w:val="Textodecomentrio"/>
      </w:pPr>
      <w:r>
        <w:rPr>
          <w:rStyle w:val="Refdecomentrio"/>
        </w:rPr>
        <w:annotationRef/>
      </w:r>
      <w:r>
        <w:t xml:space="preserve">O conteúdo foi organizado. Mas devido a limitação de espaço no artigo, não foi possível elaborar a tabela sugerida. </w:t>
      </w:r>
    </w:p>
  </w:comment>
  <w:comment w:id="8" w:author="Autor" w:date="1970-01-01T00:00:00Z" w:initials="">
    <w:p w14:paraId="49E7A4F9" w14:textId="4756E6CF" w:rsidR="00EF4933" w:rsidRDefault="00BB50D7">
      <w:pPr>
        <w:pBdr>
          <w:top w:val="nil"/>
          <w:left w:val="nil"/>
          <w:bottom w:val="nil"/>
          <w:right w:val="nil"/>
          <w:between w:val="nil"/>
        </w:pBdr>
        <w:rPr>
          <w:rFonts w:ascii="Arial" w:eastAsia="Arial" w:hAnsi="Arial" w:cs="Arial"/>
          <w:color w:val="000000"/>
        </w:rPr>
      </w:pPr>
      <w:r>
        <w:rPr>
          <w:rFonts w:ascii="Arial" w:eastAsia="Arial" w:hAnsi="Arial" w:cs="Arial"/>
          <w:color w:val="000000"/>
        </w:rPr>
        <w:t>Dividir parágrafo</w:t>
      </w:r>
    </w:p>
  </w:comment>
  <w:comment w:id="9" w:author="Izabelly Gonçalves" w:date="2025-12-01T19:00:00Z" w:initials="IG">
    <w:p w14:paraId="5CC4733B" w14:textId="77777777" w:rsidR="00BF09FC" w:rsidRDefault="00BF09FC" w:rsidP="00BF09FC">
      <w:pPr>
        <w:pStyle w:val="Textodecomentrio"/>
      </w:pPr>
      <w:r>
        <w:rPr>
          <w:rStyle w:val="Refdecomentrio"/>
        </w:rPr>
        <w:annotationRef/>
      </w:r>
      <w:r>
        <w:t>O parágrafo foi dividido e organizado.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7B5505" w15:done="0"/>
  <w15:commentEx w15:paraId="29C49528" w15:paraIdParent="587B5505" w15:done="0"/>
  <w15:commentEx w15:paraId="0E7987FF" w15:done="0"/>
  <w15:commentEx w15:paraId="3B19F37C" w15:paraIdParent="0E7987FF" w15:done="0"/>
  <w15:commentEx w15:paraId="6762F9AE" w15:done="0"/>
  <w15:commentEx w15:paraId="475F15D4" w15:paraIdParent="6762F9AE" w15:done="0"/>
  <w15:commentEx w15:paraId="5B118351" w15:done="0"/>
  <w15:commentEx w15:paraId="1643BD28" w15:paraIdParent="5B118351" w15:done="0"/>
  <w15:commentEx w15:paraId="49E7A4F9" w15:done="0"/>
  <w15:commentEx w15:paraId="5CC4733B" w15:paraIdParent="49E7A4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C4BB52" w16cex:dateUtc="2025-12-01T19:49:00Z"/>
  <w16cex:commentExtensible w16cex:durableId="2C44B652" w16cex:dateUtc="2025-12-01T20:36:00Z"/>
  <w16cex:commentExtensible w16cex:durableId="1F6914C2" w16cex:dateUtc="2025-12-01T20:38:00Z"/>
  <w16cex:commentExtensible w16cex:durableId="28DA2139" w16cex:dateUtc="2025-12-01T21:59:00Z"/>
  <w16cex:commentExtensible w16cex:durableId="68229C10" w16cex:dateUtc="2025-12-01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7B5505" w16cid:durableId="2CD7DB0B"/>
  <w16cid:commentId w16cid:paraId="29C49528" w16cid:durableId="27C4BB52"/>
  <w16cid:commentId w16cid:paraId="0E7987FF" w16cid:durableId="2CD7DB0C"/>
  <w16cid:commentId w16cid:paraId="3B19F37C" w16cid:durableId="2C44B652"/>
  <w16cid:commentId w16cid:paraId="6762F9AE" w16cid:durableId="2CD7DB0D"/>
  <w16cid:commentId w16cid:paraId="475F15D4" w16cid:durableId="1F6914C2"/>
  <w16cid:commentId w16cid:paraId="5B118351" w16cid:durableId="2CD7DB0E"/>
  <w16cid:commentId w16cid:paraId="1643BD28" w16cid:durableId="28DA2139"/>
  <w16cid:commentId w16cid:paraId="49E7A4F9" w16cid:durableId="2CD7DB0F"/>
  <w16cid:commentId w16cid:paraId="5CC4733B" w16cid:durableId="68229C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EDCA8" w14:textId="77777777" w:rsidR="00BC2F4C" w:rsidRDefault="00BC2F4C">
      <w:r>
        <w:separator/>
      </w:r>
    </w:p>
  </w:endnote>
  <w:endnote w:type="continuationSeparator" w:id="0">
    <w:p w14:paraId="5840049E" w14:textId="77777777" w:rsidR="00BC2F4C" w:rsidRDefault="00BC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EE45B17-167F-4784-9CFE-0CBCF0930EC2}"/>
  </w:font>
  <w:font w:name="Cambria">
    <w:panose1 w:val="02040503050406030204"/>
    <w:charset w:val="00"/>
    <w:family w:val="roman"/>
    <w:pitch w:val="variable"/>
    <w:sig w:usb0="E00006FF" w:usb1="420024FF" w:usb2="02000000" w:usb3="00000000" w:csb0="0000019F" w:csb1="00000000"/>
    <w:embedRegular r:id="rId2" w:fontKey="{E6E60355-912B-4605-A672-33565B1B7146}"/>
    <w:embedBold r:id="rId3" w:fontKey="{15089E59-8451-4DEF-8E80-EA84BDE1D1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53FCCEC-06B5-42EA-ABB5-DD51E4EB76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9233" w14:textId="77777777" w:rsidR="00EF4933" w:rsidRDefault="00BB50D7">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66B88BF" wp14:editId="1669ECEB">
          <wp:simplePos x="0" y="0"/>
          <wp:positionH relativeFrom="column">
            <wp:posOffset>2</wp:posOffset>
          </wp:positionH>
          <wp:positionV relativeFrom="paragraph">
            <wp:posOffset>6350</wp:posOffset>
          </wp:positionV>
          <wp:extent cx="600075" cy="19177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B2ABA4" wp14:editId="796F9C39">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9C93B68" wp14:editId="47F8D2A2">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FB56021" wp14:editId="5C358C35">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D50AC44" wp14:editId="6AED6C77">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167012D" wp14:editId="57A4DD35">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1999" w14:textId="77777777" w:rsidR="00BC2F4C" w:rsidRDefault="00BC2F4C">
      <w:r>
        <w:separator/>
      </w:r>
    </w:p>
  </w:footnote>
  <w:footnote w:type="continuationSeparator" w:id="0">
    <w:p w14:paraId="23AC9E0D" w14:textId="77777777" w:rsidR="00BC2F4C" w:rsidRDefault="00BC2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465F" w14:textId="77777777" w:rsidR="00EF4933" w:rsidRDefault="00BB50D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6257B0B" wp14:editId="06EE136A">
          <wp:extent cx="3253105" cy="1610360"/>
          <wp:effectExtent l="0" t="0" r="0" b="0"/>
          <wp:docPr id="5" name="image5.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zabelly Gonçalves">
    <w15:presenceInfo w15:providerId="Windows Live" w15:userId="80f798ae2b0ed8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33"/>
    <w:rsid w:val="00191E8B"/>
    <w:rsid w:val="002E69C0"/>
    <w:rsid w:val="004A5E0F"/>
    <w:rsid w:val="004E3C0D"/>
    <w:rsid w:val="005D7C97"/>
    <w:rsid w:val="009F4BFD"/>
    <w:rsid w:val="00A00928"/>
    <w:rsid w:val="00AC0BC0"/>
    <w:rsid w:val="00BB50D7"/>
    <w:rsid w:val="00BC2F4C"/>
    <w:rsid w:val="00BF09FC"/>
    <w:rsid w:val="00C263A1"/>
    <w:rsid w:val="00EF49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228C"/>
  <w15:docId w15:val="{BFDB20F7-037B-4EEA-A900-1A0ADDC3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2E69C0"/>
    <w:rPr>
      <w:b/>
      <w:bCs/>
    </w:rPr>
  </w:style>
  <w:style w:type="character" w:customStyle="1" w:styleId="AssuntodocomentrioChar">
    <w:name w:val="Assunto do comentário Char"/>
    <w:basedOn w:val="TextodecomentrioChar"/>
    <w:link w:val="Assuntodocomentrio"/>
    <w:uiPriority w:val="99"/>
    <w:semiHidden/>
    <w:rsid w:val="002E69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EBC02-35D7-4DD2-861C-22448011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3982</Words>
  <Characters>21504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Mateus</cp:lastModifiedBy>
  <cp:revision>2</cp:revision>
  <dcterms:created xsi:type="dcterms:W3CDTF">2025-12-01T12:14:00Z</dcterms:created>
  <dcterms:modified xsi:type="dcterms:W3CDTF">2025-12-01T12:16:00Z</dcterms:modified>
</cp:coreProperties>
</file>