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tabs>
          <w:tab w:val="left" w:leader="none" w:pos="2500"/>
        </w:tabs>
        <w:jc w:val="center"/>
        <w:rPr>
          <w:b w:val="1"/>
          <w:bCs w:val="1"/>
          <w:smallCaps w:val="1"/>
          <w:sz w:val="24"/>
          <w:szCs w:val="24"/>
        </w:rPr>
      </w:pPr>
      <w:r w:rsidDel="00000000" w:rsidR="00000000" w:rsidRPr="00000000">
        <w:rPr>
          <w:b w:val="1"/>
          <w:bCs w:val="1"/>
          <w:smallCaps w:val="1"/>
          <w:sz w:val="24"/>
          <w:szCs w:val="24"/>
          <w:rtl w:val="0"/>
        </w:rPr>
        <w:t xml:space="preserve">MUDANÇAS TEMPORAIS DE PRECIPITAÇÃO E DIAS SECOS NA PORÇÃO AMAZÔNICA DO TOCANTINS</w:t>
      </w:r>
    </w:p>
    <w:p w:rsidR="00000000" w:rsidDel="00000000" w:rsidP="00000000" w:rsidRDefault="00000000" w:rsidRPr="00000000" w14:paraId="00000002">
      <w:pPr>
        <w:shd w:fill="ffffff" w:val="clear"/>
        <w:tabs>
          <w:tab w:val="left" w:leader="none" w:pos="2500"/>
        </w:tabs>
        <w:jc w:val="center"/>
        <w:rPr>
          <w:b w:val="1"/>
          <w:bCs w:val="1"/>
          <w:smallCaps w:val="1"/>
          <w:sz w:val="24"/>
          <w:szCs w:val="24"/>
        </w:rPr>
      </w:pPr>
      <w:r w:rsidDel="00000000" w:rsidR="00000000" w:rsidRPr="00000000">
        <w:rPr>
          <w:rtl w:val="0"/>
        </w:rPr>
      </w:r>
    </w:p>
    <w:p w:rsidR="00000000" w:rsidDel="00000000" w:rsidP="00000000" w:rsidRDefault="00000000" w:rsidRPr="00000000" w14:paraId="00000003">
      <w:pPr>
        <w:shd w:fill="ffffff" w:val="clear"/>
        <w:tabs>
          <w:tab w:val="left" w:leader="none" w:pos="2500"/>
        </w:tabs>
        <w:jc w:val="center"/>
        <w:rPr>
          <w:sz w:val="24"/>
          <w:szCs w:val="24"/>
        </w:rPr>
      </w:pPr>
      <w:r w:rsidDel="00000000" w:rsidR="00000000" w:rsidRPr="00000000">
        <w:rPr>
          <w:sz w:val="24"/>
          <w:szCs w:val="24"/>
          <w:rtl w:val="0"/>
        </w:rPr>
        <w:t xml:space="preserve">Fabrício Kauan da Silva Santos</w:t>
      </w:r>
      <w:r w:rsidDel="00000000" w:rsidR="00000000" w:rsidRPr="00000000">
        <w:rPr>
          <w:sz w:val="24"/>
          <w:szCs w:val="24"/>
          <w:vertAlign w:val="superscript"/>
          <w:rtl w:val="0"/>
        </w:rPr>
        <w:t xml:space="preserve">1</w:t>
      </w:r>
      <w:r w:rsidDel="00000000" w:rsidR="00000000" w:rsidRPr="00000000">
        <w:rPr>
          <w:sz w:val="24"/>
          <w:szCs w:val="24"/>
          <w:rtl w:val="0"/>
        </w:rPr>
        <w:t xml:space="preserve">; Girlene Figueiredo Maciel</w:t>
      </w:r>
      <w:r w:rsidDel="00000000" w:rsidR="00000000" w:rsidRPr="00000000">
        <w:rPr>
          <w:sz w:val="24"/>
          <w:szCs w:val="24"/>
          <w:vertAlign w:val="superscript"/>
          <w:rtl w:val="0"/>
        </w:rPr>
        <w:t xml:space="preserve">2</w:t>
      </w:r>
      <w:r w:rsidDel="00000000" w:rsidR="00000000" w:rsidRPr="00000000">
        <w:rPr>
          <w:sz w:val="24"/>
          <w:szCs w:val="24"/>
          <w:rtl w:val="0"/>
        </w:rPr>
        <w:t xml:space="preserve">; Roberta Araújo e Silva</w:t>
      </w:r>
      <w:r w:rsidDel="00000000" w:rsidR="00000000" w:rsidRPr="00000000">
        <w:rPr>
          <w:sz w:val="24"/>
          <w:szCs w:val="24"/>
          <w:vertAlign w:val="superscript"/>
          <w:rtl w:val="0"/>
        </w:rPr>
        <w:t xml:space="preserve">3</w:t>
      </w:r>
      <w:r w:rsidDel="00000000" w:rsidR="00000000" w:rsidRPr="00000000">
        <w:rPr>
          <w:sz w:val="24"/>
          <w:szCs w:val="24"/>
          <w:rtl w:val="0"/>
        </w:rPr>
        <w:t xml:space="preserve">.</w:t>
      </w:r>
    </w:p>
    <w:p w:rsidR="00000000" w:rsidDel="00000000" w:rsidP="00000000" w:rsidRDefault="00000000" w:rsidRPr="00000000" w14:paraId="00000004">
      <w:pPr>
        <w:shd w:fill="ffffff" w:val="clear"/>
        <w:tabs>
          <w:tab w:val="left" w:leader="none" w:pos="2500"/>
        </w:tabs>
        <w:jc w:val="center"/>
        <w:rPr>
          <w:b w:val="1"/>
          <w:bCs w:val="1"/>
          <w:color w:val="ff0000"/>
          <w:sz w:val="24"/>
          <w:szCs w:val="24"/>
        </w:rPr>
      </w:pPr>
      <w:r w:rsidDel="00000000" w:rsidR="00000000" w:rsidRPr="00000000">
        <w:rPr>
          <w:rtl w:val="0"/>
        </w:rPr>
      </w:r>
    </w:p>
    <w:p w:rsidR="00000000" w:rsidDel="00000000" w:rsidP="00000000" w:rsidRDefault="00000000" w:rsidRPr="00000000" w14:paraId="00000005">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1 </w:t>
      </w:r>
      <w:r w:rsidDel="00000000" w:rsidR="00000000" w:rsidRPr="00000000">
        <w:rPr>
          <w:sz w:val="24"/>
          <w:szCs w:val="24"/>
          <w:rtl w:val="0"/>
        </w:rPr>
        <w:t xml:space="preserve">Graduando em Engenharia Ambiental. Universidade Federal do Tocantins. Fabricio.kauan@mail.uft.edu.br.</w:t>
      </w:r>
    </w:p>
    <w:p w:rsidR="00000000" w:rsidDel="00000000" w:rsidP="00000000" w:rsidRDefault="00000000" w:rsidRPr="00000000" w14:paraId="00000006">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2 </w:t>
      </w:r>
      <w:r w:rsidDel="00000000" w:rsidR="00000000" w:rsidRPr="00000000">
        <w:rPr>
          <w:sz w:val="24"/>
          <w:szCs w:val="24"/>
          <w:rtl w:val="0"/>
        </w:rPr>
        <w:t xml:space="preserve">Doutor em Recursos Naturais. Universidade  Federal do Tocantins.</w:t>
      </w:r>
    </w:p>
    <w:p w:rsidR="00000000" w:rsidDel="00000000" w:rsidP="00000000" w:rsidRDefault="00000000" w:rsidRPr="00000000" w14:paraId="00000007">
      <w:pPr>
        <w:keepLines w:val="1"/>
        <w:shd w:fill="ffffff" w:val="clear"/>
        <w:tabs>
          <w:tab w:val="left" w:leader="none" w:pos="2500"/>
        </w:tabs>
        <w:jc w:val="center"/>
        <w:rPr>
          <w:sz w:val="24"/>
          <w:szCs w:val="24"/>
        </w:rPr>
      </w:pPr>
      <w:r w:rsidDel="00000000" w:rsidR="00000000" w:rsidRPr="00000000">
        <w:rPr>
          <w:sz w:val="24"/>
          <w:szCs w:val="24"/>
          <w:rtl w:val="0"/>
        </w:rPr>
        <w:t xml:space="preserve"> Maciel@mail.uft.edu.br.</w:t>
      </w:r>
      <w:r w:rsidDel="00000000" w:rsidR="00000000" w:rsidRPr="00000000">
        <w:rPr>
          <w:b w:val="1"/>
          <w:bCs w:val="1"/>
          <w:sz w:val="24"/>
          <w:szCs w:val="24"/>
          <w:rtl w:val="0"/>
        </w:rPr>
        <w:br w:type="textWrapping"/>
      </w:r>
      <w:r w:rsidDel="00000000" w:rsidR="00000000" w:rsidRPr="00000000">
        <w:rPr>
          <w:sz w:val="24"/>
          <w:szCs w:val="24"/>
          <w:vertAlign w:val="superscript"/>
          <w:rtl w:val="0"/>
        </w:rPr>
        <w:t xml:space="preserve">3 </w:t>
      </w:r>
      <w:r w:rsidDel="00000000" w:rsidR="00000000" w:rsidRPr="00000000">
        <w:rPr>
          <w:sz w:val="24"/>
          <w:szCs w:val="24"/>
          <w:rtl w:val="0"/>
        </w:rPr>
        <w:t xml:space="preserve">Doutora em Meteorologia. Universidade  Federal do Tocantins. </w:t>
      </w:r>
    </w:p>
    <w:p w:rsidR="00000000" w:rsidDel="00000000" w:rsidP="00000000" w:rsidRDefault="00000000" w:rsidRPr="00000000" w14:paraId="00000008">
      <w:pPr>
        <w:keepLines w:val="1"/>
        <w:shd w:fill="ffffff" w:val="clear"/>
        <w:tabs>
          <w:tab w:val="left" w:leader="none" w:pos="2500"/>
        </w:tabs>
        <w:jc w:val="center"/>
        <w:rPr>
          <w:sz w:val="24"/>
          <w:szCs w:val="24"/>
        </w:rPr>
      </w:pPr>
      <w:r w:rsidDel="00000000" w:rsidR="00000000" w:rsidRPr="00000000">
        <w:rPr>
          <w:sz w:val="24"/>
          <w:szCs w:val="24"/>
          <w:rtl w:val="0"/>
        </w:rPr>
        <w:t xml:space="preserve">Roberta.as@uft.edu.br.</w:t>
      </w:r>
    </w:p>
    <w:p w:rsidR="00000000" w:rsidDel="00000000" w:rsidP="00000000" w:rsidRDefault="00000000" w:rsidRPr="00000000" w14:paraId="00000009">
      <w:pPr>
        <w:keepLines w:val="1"/>
        <w:pBdr>
          <w:bottom w:color="000000" w:space="8" w:sz="0" w:val="none"/>
        </w:pBdr>
        <w:shd w:fill="ffffff" w:val="clear"/>
        <w:tabs>
          <w:tab w:val="left" w:leader="none" w:pos="2500"/>
        </w:tabs>
        <w:spacing w:line="310" w:lineRule="auto"/>
        <w:jc w:val="center"/>
        <w:rPr>
          <w:sz w:val="24"/>
          <w:szCs w:val="24"/>
        </w:rPr>
      </w:pPr>
      <w:r w:rsidDel="00000000" w:rsidR="00000000" w:rsidRPr="00000000">
        <w:rPr>
          <w:rtl w:val="0"/>
        </w:rPr>
      </w:r>
    </w:p>
    <w:p w:rsidR="00000000" w:rsidDel="00000000" w:rsidP="00000000" w:rsidRDefault="00000000" w:rsidRPr="00000000" w14:paraId="0000000A">
      <w:pPr>
        <w:pBdr>
          <w:bottom w:color="000000" w:space="8" w:sz="0" w:val="none"/>
        </w:pBdr>
        <w:shd w:fill="ffffff" w:val="clear"/>
        <w:tabs>
          <w:tab w:val="left" w:leader="none" w:pos="2500"/>
        </w:tabs>
        <w:jc w:val="center"/>
        <w:rPr>
          <w:color w:val="ff0000"/>
          <w:sz w:val="24"/>
          <w:szCs w:val="24"/>
          <w:u w:val="single"/>
        </w:rPr>
      </w:pPr>
      <w:r w:rsidDel="00000000" w:rsidR="00000000" w:rsidRPr="00000000">
        <w:rPr>
          <w:b w:val="1"/>
          <w:bCs w:val="1"/>
          <w:sz w:val="24"/>
          <w:szCs w:val="24"/>
          <w:u w:val="single"/>
          <w:rtl w:val="0"/>
        </w:rPr>
        <w:t xml:space="preserve">RESUMO</w:t>
      </w:r>
      <w:r w:rsidDel="00000000" w:rsidR="00000000" w:rsidRPr="00000000">
        <w:rPr>
          <w:rtl w:val="0"/>
        </w:rPr>
      </w:r>
    </w:p>
    <w:p w:rsidR="00000000" w:rsidDel="00000000" w:rsidP="00000000" w:rsidRDefault="00000000" w:rsidRPr="00000000" w14:paraId="0000000B">
      <w:pPr>
        <w:shd w:fill="ffffff" w:val="clear"/>
        <w:tabs>
          <w:tab w:val="left" w:leader="none" w:pos="2500"/>
        </w:tabs>
        <w:jc w:val="both"/>
        <w:rPr>
          <w:sz w:val="24"/>
          <w:szCs w:val="24"/>
        </w:rPr>
      </w:pPr>
      <w:r w:rsidDel="00000000" w:rsidR="00000000" w:rsidRPr="00000000">
        <w:rPr>
          <w:sz w:val="24"/>
          <w:szCs w:val="24"/>
          <w:rtl w:val="0"/>
        </w:rPr>
        <w:t xml:space="preserve">Este estudo analisou as tendências do total de precipitação e do total de dias secos durante a estação chuvosa (outubro a abril) de um conjunto de doze estações pluviométricas localizadas na porção amazônica do Tocantins, no período de 1969 a 2024, com o objetivo de identificar possíveis alterações no comportamento pluviométrico regional e indicar padrões de variação ao longo do tempo. Para tal fim, foi aplicado o teste estatístico não paramétrico de Mann-Kendall, ferramenta estatística  recomendada  pela  Organização  Meteorológica Mundial na avaliação de possíveis tendências em séries temporais, para identificar a direção e a significância da tendência na área de estudo. As análises revelaram um padrão espacial heterogêneo, com coexistência de áreas apresentando tendências crescentes e decrescentes, tanto no total de precipitação quanto no total de dias secos. Durante a estação chuvosa, apenas quatro estações mostraram tendências significativas para o total de precipitação e duas para o total de dias secos, demonstrando a variabilidade temporal e espacial do regime de chuvas na região. Em outubro, observou-se predominância de redução da precipitação e aumento significativo dos dias secos, sugerindo atraso no início da estação chuvosa. Já em abril, as tendências foram mais dispersas e, em geral, sem significância estatística, indicando transição gradual para a estação seca. Esses resultados apontam mudanças no regime pluviométrico da porção amazônica do Tocantins, tornando-se mais irregular, possivelmente associada à intensificação das forçantes climáticas regionais e às mudanças no uso e ocupação do solo, reforçando a necessidade de monitoramento contínuo e a gestão sustentável dos recursos hídricos.</w:t>
      </w:r>
    </w:p>
    <w:p w:rsidR="00000000" w:rsidDel="00000000" w:rsidP="00000000" w:rsidRDefault="00000000" w:rsidRPr="00000000" w14:paraId="0000000C">
      <w:pPr>
        <w:pBdr>
          <w:bottom w:color="000000" w:space="8" w:sz="0" w:val="none"/>
        </w:pBdr>
        <w:shd w:fill="ffffff" w:val="clear"/>
        <w:tabs>
          <w:tab w:val="left" w:leader="none" w:pos="2500"/>
        </w:tabs>
        <w:rPr>
          <w:sz w:val="24"/>
          <w:szCs w:val="24"/>
        </w:rPr>
      </w:pPr>
      <w:r w:rsidDel="00000000" w:rsidR="00000000" w:rsidRPr="00000000">
        <w:rPr>
          <w:rtl w:val="0"/>
        </w:rPr>
      </w:r>
    </w:p>
    <w:p w:rsidR="00000000" w:rsidDel="00000000" w:rsidP="00000000" w:rsidRDefault="00000000" w:rsidRPr="00000000" w14:paraId="0000000D">
      <w:pPr>
        <w:shd w:fill="ffffff" w:val="clear"/>
        <w:tabs>
          <w:tab w:val="left" w:leader="none" w:pos="2500"/>
        </w:tabs>
        <w:jc w:val="both"/>
        <w:rPr>
          <w:color w:val="ff0000"/>
          <w:sz w:val="24"/>
          <w:szCs w:val="24"/>
        </w:rPr>
      </w:pPr>
      <w:r w:rsidDel="00000000" w:rsidR="00000000" w:rsidRPr="00000000">
        <w:rPr>
          <w:b w:val="1"/>
          <w:bCs w:val="1"/>
          <w:sz w:val="24"/>
          <w:szCs w:val="24"/>
          <w:rtl w:val="0"/>
        </w:rPr>
        <w:t xml:space="preserve">Palavras-chave: </w:t>
      </w:r>
      <w:r w:rsidDel="00000000" w:rsidR="00000000" w:rsidRPr="00000000">
        <w:rPr>
          <w:sz w:val="24"/>
          <w:szCs w:val="24"/>
          <w:rtl w:val="0"/>
        </w:rPr>
        <w:t xml:space="preserve">Amazônia tocantinense. Tendência de precipitação. Dias secos.</w:t>
      </w:r>
      <w:r w:rsidDel="00000000" w:rsidR="00000000" w:rsidRPr="00000000">
        <w:rPr>
          <w:rtl w:val="0"/>
        </w:rPr>
      </w:r>
    </w:p>
    <w:p w:rsidR="00000000" w:rsidDel="00000000" w:rsidP="00000000" w:rsidRDefault="00000000" w:rsidRPr="00000000" w14:paraId="0000000E">
      <w:pPr>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0F">
      <w:pPr>
        <w:shd w:fill="ffffff" w:val="clear"/>
        <w:tabs>
          <w:tab w:val="left" w:leader="none" w:pos="2500"/>
        </w:tabs>
        <w:rPr>
          <w:color w:val="ff0000"/>
          <w:sz w:val="24"/>
          <w:szCs w:val="24"/>
        </w:rPr>
      </w:pPr>
      <w:r w:rsidDel="00000000" w:rsidR="00000000" w:rsidRPr="00000000">
        <w:rPr>
          <w:b w:val="1"/>
          <w:bCs w:val="1"/>
          <w:sz w:val="24"/>
          <w:szCs w:val="24"/>
          <w:rtl w:val="0"/>
        </w:rPr>
        <w:t xml:space="preserve">Área de Interesse do Simpósio</w:t>
      </w:r>
      <w:r w:rsidDel="00000000" w:rsidR="00000000" w:rsidRPr="00000000">
        <w:rPr>
          <w:sz w:val="24"/>
          <w:szCs w:val="24"/>
          <w:rtl w:val="0"/>
        </w:rPr>
        <w:t xml:space="preserve">: Ciências Exatas e da Terra.</w:t>
      </w:r>
      <w:r w:rsidDel="00000000" w:rsidR="00000000" w:rsidRPr="00000000">
        <w:br w:type="page"/>
      </w:r>
      <w:r w:rsidDel="00000000" w:rsidR="00000000" w:rsidRPr="00000000">
        <w:rPr>
          <w:b w:val="1"/>
          <w:bCs w:val="1"/>
          <w:sz w:val="24"/>
          <w:szCs w:val="24"/>
          <w:rtl w:val="0"/>
        </w:rPr>
        <w:t xml:space="preserve">1. INTRODUÇÃO </w:t>
      </w:r>
      <w:r w:rsidDel="00000000" w:rsidR="00000000" w:rsidRPr="00000000">
        <w:rPr>
          <w:rtl w:val="0"/>
        </w:rPr>
      </w:r>
    </w:p>
    <w:p w:rsidR="00000000" w:rsidDel="00000000" w:rsidP="00000000" w:rsidRDefault="00000000" w:rsidRPr="00000000" w14:paraId="00000010">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ab/>
        <w:t xml:space="preserve">A Amazônia é um dos sistemas climáticos mais complexos e fundamentais do planeta (Artaxo, 2023). A Amazônia Legal abrange nove estados brasileiros: Acre, Amapá, Amazonas, Maranhão, Mato Grosso, Pará, Rondônia, Roraima e Tocantins, representando 61% do território nacional (Silva Júnior et al., 2017). O estado do Tocantins integra a sua porção sudeste, uma zona de transição entre os biomas Amazônia e Cerrado. Essa condição confere à região grande sensibilidade à variabilidade climática e às pressões antrópicas (Souza et al., 2017).</w:t>
      </w:r>
    </w:p>
    <w:p w:rsidR="00000000" w:rsidDel="00000000" w:rsidP="00000000" w:rsidRDefault="00000000" w:rsidRPr="00000000" w14:paraId="00000011">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Nas últimas décadas, a Amazônia vem revelando sinais claros de mudança em seu regime pluviométrico: estações secas mais longas, atrasos no início da estação chuvosa e maior irregularidade nas chuvas (Fu et al., 2013; Arvor et al., 2018; Marengo et al., 2024). Essa nova dinâmica da precipitação pode não se restringir à floresta, estendendo-se às áreas de transição, como o Tocantins (Santos et al., 2024; Silva et al., 2024). Essas transformações podem ter implicações profundas, como alterar o equilíbrio hídrico, comprometer ecossistemas, reduzir a produtividade agrícola e aumentar a vulnerabilidade socioambiental local. Dessa forma, compreender a dimensão e a direção dessas mudanças é, portanto, essencial para antecipar riscos e orientar estratégias de adaptação.</w:t>
      </w:r>
    </w:p>
    <w:p w:rsidR="00000000" w:rsidDel="00000000" w:rsidP="00000000" w:rsidRDefault="00000000" w:rsidRPr="00000000" w14:paraId="00000012">
      <w:pPr>
        <w:pBdr>
          <w:bottom w:color="000000" w:space="8" w:sz="0" w:val="none"/>
        </w:pBdr>
        <w:shd w:fill="ffffff" w:val="clear"/>
        <w:tabs>
          <w:tab w:val="left" w:leader="none" w:pos="699"/>
        </w:tabs>
        <w:spacing w:after="0" w:line="360" w:lineRule="auto"/>
        <w:jc w:val="both"/>
        <w:rPr>
          <w:sz w:val="24"/>
          <w:szCs w:val="24"/>
        </w:rPr>
      </w:pPr>
      <w:r w:rsidDel="00000000" w:rsidR="00000000" w:rsidRPr="00000000">
        <w:rPr>
          <w:sz w:val="24"/>
          <w:szCs w:val="24"/>
          <w:rtl w:val="0"/>
        </w:rPr>
        <w:tab/>
        <w:t xml:space="preserve">Diante desse cenário, o presente estudo tem como objetivo analisar as tendências do acumulado total de precipitação e da frequência de dias secos durante a estação chuvosa no período de 1969 a 2024, na porção amazônica do Tocantins, região que abrange quatro unidades de conservação de uso sustentável, sendo três classificadas como áreas de proteção ambiental e uma comunidade extrativista. Nessas áreas, o regime de chuva impacta diretamente a dinâmica ambiental, o que reforça a importância desse estudo para o apoio à gestão dessas áreas sensíveis. O estudo busca identificar padrões temporais e espaciais de mudança e avaliar indícios de reconfiguração sazonal da precipitação. Partindo da hipótese de que a região apresenta tendência de aumento na frequência de dias secos e redução no volume total de chuvas, em decorrência da intensificação das forçantes climáticas e antrópicas. Os resultados pretendem contribuir para o entendimento das transformações climáticas na Amazônia meridional e oferecer subsídios técnicos e científicos ao manejo hídrico, à adaptação climática e ao planejamento territorial sustentável.</w:t>
      </w:r>
    </w:p>
    <w:p w:rsidR="00000000" w:rsidDel="00000000" w:rsidP="00000000" w:rsidRDefault="00000000" w:rsidRPr="00000000" w14:paraId="00000013">
      <w:pPr>
        <w:pBdr>
          <w:bottom w:color="000000" w:space="8" w:sz="0" w:val="none"/>
        </w:pBdr>
        <w:shd w:fill="ffffff" w:val="clear"/>
        <w:tabs>
          <w:tab w:val="left" w:leader="none" w:pos="699"/>
        </w:tabs>
        <w:spacing w:line="360" w:lineRule="auto"/>
        <w:jc w:val="both"/>
        <w:rPr>
          <w:color w:val="ff0000"/>
          <w:sz w:val="24"/>
          <w:szCs w:val="24"/>
        </w:rPr>
      </w:pPr>
      <w:r w:rsidDel="00000000" w:rsidR="00000000" w:rsidRPr="00000000">
        <w:rPr>
          <w:b w:val="1"/>
          <w:bCs w:val="1"/>
          <w:sz w:val="24"/>
          <w:szCs w:val="24"/>
          <w:rtl w:val="0"/>
        </w:rPr>
        <w:t xml:space="preserve">2. METODOLOGIA)</w:t>
      </w:r>
      <w:r w:rsidDel="00000000" w:rsidR="00000000" w:rsidRPr="00000000">
        <w:rPr>
          <w:rtl w:val="0"/>
        </w:rPr>
      </w:r>
    </w:p>
    <w:p w:rsidR="00000000" w:rsidDel="00000000" w:rsidP="00000000" w:rsidRDefault="00000000" w:rsidRPr="00000000" w14:paraId="00000014">
      <w:pPr>
        <w:tabs>
          <w:tab w:val="left" w:leader="none" w:pos="2500"/>
        </w:tabs>
        <w:spacing w:line="360" w:lineRule="auto"/>
        <w:ind w:firstLine="708"/>
        <w:jc w:val="both"/>
        <w:rPr>
          <w:b w:val="1"/>
          <w:bCs w:val="1"/>
          <w:sz w:val="24"/>
          <w:szCs w:val="24"/>
        </w:rPr>
      </w:pPr>
      <w:r w:rsidDel="00000000" w:rsidR="00000000" w:rsidRPr="00000000">
        <w:rPr>
          <w:b w:val="1"/>
          <w:bCs w:val="1"/>
          <w:sz w:val="24"/>
          <w:szCs w:val="24"/>
          <w:rtl w:val="0"/>
        </w:rPr>
        <w:t xml:space="preserve">Área de Estudo</w:t>
      </w:r>
    </w:p>
    <w:p w:rsidR="00000000" w:rsidDel="00000000" w:rsidP="00000000" w:rsidRDefault="00000000" w:rsidRPr="00000000" w14:paraId="00000015">
      <w:pPr>
        <w:tabs>
          <w:tab w:val="left" w:leader="none" w:pos="2500"/>
        </w:tabs>
        <w:spacing w:line="360" w:lineRule="auto"/>
        <w:ind w:firstLine="708"/>
        <w:jc w:val="both"/>
        <w:rPr>
          <w:sz w:val="24"/>
          <w:szCs w:val="24"/>
        </w:rPr>
      </w:pPr>
      <w:r w:rsidDel="00000000" w:rsidR="00000000" w:rsidRPr="00000000">
        <w:rPr>
          <w:sz w:val="24"/>
          <w:szCs w:val="24"/>
          <w:rtl w:val="0"/>
        </w:rPr>
        <w:t xml:space="preserve">A área de estudo deste trabalho compreende a porção do bioma Amazônia no estado do Tocantins, localizado na macrorregião norte estadual (Figura 01). Conforme TOCANTINS (2021), essa porção do bioma da Amazônia representa cerca de 9% do território do estado, abrangendo 39 municípios e 11 bacias hidrográficas no estado, com base respectivamente nos dados da SEPLAN (2022) e SEPLAN (2012).  </w:t>
      </w:r>
    </w:p>
    <w:p w:rsidR="00000000" w:rsidDel="00000000" w:rsidP="00000000" w:rsidRDefault="00000000" w:rsidRPr="00000000" w14:paraId="00000016">
      <w:pPr>
        <w:tabs>
          <w:tab w:val="left" w:leader="none" w:pos="2500"/>
        </w:tabs>
        <w:spacing w:line="360" w:lineRule="auto"/>
        <w:ind w:firstLine="708"/>
        <w:jc w:val="both"/>
        <w:rPr>
          <w:b w:val="1"/>
          <w:bCs w:val="1"/>
          <w:sz w:val="24"/>
          <w:szCs w:val="24"/>
        </w:rPr>
      </w:pPr>
      <w:r w:rsidDel="00000000" w:rsidR="00000000" w:rsidRPr="00000000">
        <w:rPr>
          <w:b w:val="1"/>
          <w:bCs w:val="1"/>
          <w:sz w:val="24"/>
          <w:szCs w:val="24"/>
          <w:rtl w:val="0"/>
        </w:rPr>
        <w:t xml:space="preserve">Coleta, organização e tratamento dos dados</w:t>
      </w:r>
    </w:p>
    <w:p w:rsidR="00000000" w:rsidDel="00000000" w:rsidP="00000000" w:rsidRDefault="00000000" w:rsidRPr="00000000" w14:paraId="00000017">
      <w:pPr>
        <w:tabs>
          <w:tab w:val="left" w:leader="none" w:pos="699"/>
        </w:tabs>
        <w:spacing w:line="360" w:lineRule="auto"/>
        <w:jc w:val="both"/>
        <w:rPr>
          <w:sz w:val="24"/>
          <w:szCs w:val="24"/>
        </w:rPr>
      </w:pPr>
      <w:r w:rsidDel="00000000" w:rsidR="00000000" w:rsidRPr="00000000">
        <w:rPr>
          <w:sz w:val="24"/>
          <w:szCs w:val="24"/>
          <w:rtl w:val="0"/>
        </w:rPr>
        <w:tab/>
        <w:t xml:space="preserve">Para a realização deste trabalho utilizou-se dados diários de precipitação provenientes de doze estações pluviométricas gerenciadas pela Agência Nacional de Água e Saneamento Básico (ANA), disponibilizadas na plataforma HIDROWEB, tendo suas localizações e demais informações apresentadas na Tabela 1 e na Figura 01. </w:t>
      </w:r>
    </w:p>
    <w:p w:rsidR="00000000" w:rsidDel="00000000" w:rsidP="00000000" w:rsidRDefault="00000000" w:rsidRPr="00000000" w14:paraId="00000018">
      <w:pPr>
        <w:tabs>
          <w:tab w:val="left" w:leader="none" w:pos="699"/>
        </w:tabs>
        <w:spacing w:after="0" w:line="360" w:lineRule="auto"/>
        <w:jc w:val="both"/>
        <w:rPr>
          <w:sz w:val="24"/>
          <w:szCs w:val="24"/>
        </w:rPr>
      </w:pPr>
      <w:r w:rsidDel="00000000" w:rsidR="00000000" w:rsidRPr="00000000">
        <w:rPr>
          <w:sz w:val="24"/>
          <w:szCs w:val="24"/>
          <w:rtl w:val="0"/>
        </w:rPr>
        <w:tab/>
        <w:t xml:space="preserve">O período de análise da série histórica compreendeu os anos de 1969 a 2024, tendo como foco somente os dados de precipitação localizados na estação chuvosa, de outubro a abril do ano subsequente. Ademais, foi aplicado um controle de qualidade em duas etapas, validação mensal de falhas, em que meses com totais mensais apresentando falhas iguais ou superiores a 10% foram descartadas, e seleção das estações, que após a filtragem apresentaram pelo menos 30 anos de dados na estação chuvosa, conforme recomendados pela Organização Meteorológica Mundial (OMM).</w:t>
      </w:r>
    </w:p>
    <w:p w:rsidR="00000000" w:rsidDel="00000000" w:rsidP="00000000" w:rsidRDefault="00000000" w:rsidRPr="00000000" w14:paraId="00000019">
      <w:pPr>
        <w:widowControl w:val="1"/>
        <w:tabs>
          <w:tab w:val="left" w:leader="none" w:pos="699"/>
        </w:tabs>
        <w:jc w:val="both"/>
        <w:rPr>
          <w:sz w:val="20"/>
          <w:szCs w:val="20"/>
        </w:rPr>
      </w:pPr>
      <w:r w:rsidDel="00000000" w:rsidR="00000000" w:rsidRPr="00000000">
        <w:rPr>
          <w:sz w:val="24"/>
          <w:szCs w:val="24"/>
          <w:rtl w:val="0"/>
        </w:rPr>
        <w:tab/>
        <w:t xml:space="preserve">Tabela 1</w:t>
      </w:r>
      <w:r w:rsidDel="00000000" w:rsidR="00000000" w:rsidRPr="00000000">
        <w:rPr>
          <w:b w:val="1"/>
          <w:bCs w:val="1"/>
          <w:sz w:val="24"/>
          <w:szCs w:val="24"/>
          <w:rtl w:val="0"/>
        </w:rPr>
        <w:t xml:space="preserve"> – </w:t>
      </w:r>
      <w:r w:rsidDel="00000000" w:rsidR="00000000" w:rsidRPr="00000000">
        <w:rPr>
          <w:sz w:val="24"/>
          <w:szCs w:val="24"/>
          <w:rtl w:val="0"/>
        </w:rPr>
        <w:t xml:space="preserve">Localização geográfica das estações pluviométricas da ANA porção amazônica do Tocantins</w:t>
      </w:r>
      <w:r w:rsidDel="00000000" w:rsidR="00000000" w:rsidRPr="00000000">
        <w:rPr>
          <w:sz w:val="20"/>
          <w:szCs w:val="20"/>
          <w:rtl w:val="0"/>
        </w:rPr>
        <w:t xml:space="preserve">.</w:t>
      </w:r>
    </w:p>
    <w:tbl>
      <w:tblPr>
        <w:tblStyle w:val="Table1"/>
        <w:tblW w:w="9077.0" w:type="dxa"/>
        <w:jc w:val="left"/>
        <w:tblLayout w:type="fixed"/>
        <w:tblLook w:val="0400"/>
      </w:tblPr>
      <w:tblGrid>
        <w:gridCol w:w="1301"/>
        <w:gridCol w:w="1298"/>
        <w:gridCol w:w="1296"/>
        <w:gridCol w:w="1296"/>
        <w:gridCol w:w="1296"/>
        <w:gridCol w:w="1296"/>
        <w:gridCol w:w="1294"/>
        <w:tblGridChange w:id="0">
          <w:tblGrid>
            <w:gridCol w:w="1301"/>
            <w:gridCol w:w="1298"/>
            <w:gridCol w:w="1296"/>
            <w:gridCol w:w="1296"/>
            <w:gridCol w:w="1296"/>
            <w:gridCol w:w="1296"/>
            <w:gridCol w:w="1294"/>
          </w:tblGrid>
        </w:tblGridChange>
      </w:tblGrid>
      <w:tr>
        <w:trPr>
          <w:cantSplit w:val="0"/>
          <w:trHeight w:val="227" w:hRule="atLeast"/>
          <w:tblHeader w:val="0"/>
        </w:trPr>
        <w:tc>
          <w:tcPr>
            <w:vMerge w:val="restart"/>
            <w:tcBorders>
              <w:top w:color="000000" w:space="0" w:sz="8"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1A">
            <w:pPr>
              <w:widowControl w:val="1"/>
              <w:jc w:val="center"/>
              <w:rPr/>
            </w:pPr>
            <w:r w:rsidDel="00000000" w:rsidR="00000000" w:rsidRPr="00000000">
              <w:rPr>
                <w:rtl w:val="0"/>
              </w:rPr>
              <w:t xml:space="preserve">Código da estação</w:t>
            </w:r>
          </w:p>
        </w:tc>
        <w:tc>
          <w:tcPr>
            <w:gridSpan w:val="2"/>
            <w:tcBorders>
              <w:top w:color="000000" w:space="0" w:sz="8" w:val="single"/>
              <w:left w:color="000000" w:space="0" w:sz="0" w:val="nil"/>
            </w:tcBorders>
            <w:shd w:fill="ffffff" w:val="clear"/>
            <w:vAlign w:val="center"/>
          </w:tcPr>
          <w:p w:rsidR="00000000" w:rsidDel="00000000" w:rsidP="00000000" w:rsidRDefault="00000000" w:rsidRPr="00000000" w14:paraId="0000001B">
            <w:pPr>
              <w:widowControl w:val="1"/>
              <w:jc w:val="center"/>
              <w:rPr/>
            </w:pPr>
            <w:r w:rsidDel="00000000" w:rsidR="00000000" w:rsidRPr="00000000">
              <w:rPr>
                <w:rtl w:val="0"/>
              </w:rPr>
              <w:t xml:space="preserve">Coordenadas (Geográficas)</w:t>
            </w:r>
          </w:p>
        </w:tc>
        <w:tc>
          <w:tcPr>
            <w:vMerge w:val="restart"/>
            <w:tcBorders>
              <w:top w:color="000000" w:space="0" w:sz="8"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1D">
            <w:pPr>
              <w:widowControl w:val="1"/>
              <w:jc w:val="center"/>
              <w:rPr/>
            </w:pPr>
            <w:r w:rsidDel="00000000" w:rsidR="00000000" w:rsidRPr="00000000">
              <w:rPr>
                <w:rtl w:val="0"/>
              </w:rPr>
              <w:t xml:space="preserve">Municípios</w:t>
            </w:r>
          </w:p>
        </w:tc>
        <w:tc>
          <w:tcPr>
            <w:vMerge w:val="restart"/>
            <w:tcBorders>
              <w:top w:color="000000" w:space="0" w:sz="8"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1E">
            <w:pPr>
              <w:widowControl w:val="1"/>
              <w:jc w:val="center"/>
              <w:rPr/>
            </w:pPr>
            <w:r w:rsidDel="00000000" w:rsidR="00000000" w:rsidRPr="00000000">
              <w:rPr>
                <w:rtl w:val="0"/>
              </w:rPr>
              <w:t xml:space="preserve">Período analisado</w:t>
            </w:r>
          </w:p>
          <w:p w:rsidR="00000000" w:rsidDel="00000000" w:rsidP="00000000" w:rsidRDefault="00000000" w:rsidRPr="00000000" w14:paraId="0000001F">
            <w:pPr>
              <w:widowControl w:val="1"/>
              <w:jc w:val="center"/>
              <w:rPr>
                <w:b w:val="1"/>
                <w:bCs w:val="1"/>
              </w:rPr>
            </w:pPr>
            <w:r w:rsidDel="00000000" w:rsidR="00000000" w:rsidRPr="00000000">
              <w:rPr>
                <w:rtl w:val="0"/>
              </w:rPr>
              <w:t xml:space="preserve">(Anos)</w:t>
            </w:r>
            <w:r w:rsidDel="00000000" w:rsidR="00000000" w:rsidRPr="00000000">
              <w:rPr>
                <w:rtl w:val="0"/>
              </w:rPr>
            </w:r>
          </w:p>
        </w:tc>
        <w:tc>
          <w:tcPr>
            <w:gridSpan w:val="2"/>
            <w:tcBorders>
              <w:top w:color="000000" w:space="0" w:sz="8" w:val="single"/>
              <w:left w:color="000000" w:space="0" w:sz="0" w:val="nil"/>
            </w:tcBorders>
            <w:shd w:fill="ffffff" w:val="clear"/>
            <w:vAlign w:val="center"/>
          </w:tcPr>
          <w:p w:rsidR="00000000" w:rsidDel="00000000" w:rsidP="00000000" w:rsidRDefault="00000000" w:rsidRPr="00000000" w14:paraId="00000020">
            <w:pPr>
              <w:widowControl w:val="1"/>
              <w:jc w:val="center"/>
              <w:rPr>
                <w:b w:val="1"/>
                <w:bCs w:val="1"/>
              </w:rPr>
            </w:pPr>
            <w:r w:rsidDel="00000000" w:rsidR="00000000" w:rsidRPr="00000000">
              <w:rPr>
                <w:rtl w:val="0"/>
              </w:rPr>
              <w:t xml:space="preserve">Tempo de operação</w:t>
            </w:r>
            <w:r w:rsidDel="00000000" w:rsidR="00000000" w:rsidRPr="00000000">
              <w:rPr>
                <w:rtl w:val="0"/>
              </w:rPr>
            </w:r>
          </w:p>
        </w:tc>
      </w:tr>
      <w:tr>
        <w:trPr>
          <w:cantSplit w:val="0"/>
          <w:trHeight w:val="227" w:hRule="atLeast"/>
          <w:tblHeader w:val="0"/>
        </w:trPr>
        <w:tc>
          <w:tcPr>
            <w:vMerge w:val="continue"/>
            <w:tcBorders>
              <w:top w:color="000000" w:space="0" w:sz="8"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left w:color="000000" w:space="0" w:sz="0" w:val="nil"/>
              <w:bottom w:color="000000" w:space="0" w:sz="8" w:val="single"/>
            </w:tcBorders>
            <w:shd w:fill="ffffff" w:val="clear"/>
            <w:vAlign w:val="center"/>
          </w:tcPr>
          <w:p w:rsidR="00000000" w:rsidDel="00000000" w:rsidP="00000000" w:rsidRDefault="00000000" w:rsidRPr="00000000" w14:paraId="00000023">
            <w:pPr>
              <w:widowControl w:val="1"/>
              <w:jc w:val="center"/>
              <w:rPr/>
            </w:pPr>
            <w:r w:rsidDel="00000000" w:rsidR="00000000" w:rsidRPr="00000000">
              <w:rPr>
                <w:rtl w:val="0"/>
              </w:rPr>
              <w:t xml:space="preserve">Lat</w:t>
            </w:r>
          </w:p>
        </w:tc>
        <w:tc>
          <w:tcPr>
            <w:tcBorders>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024">
            <w:pPr>
              <w:widowControl w:val="1"/>
              <w:jc w:val="center"/>
              <w:rPr/>
            </w:pPr>
            <w:r w:rsidDel="00000000" w:rsidR="00000000" w:rsidRPr="00000000">
              <w:rPr>
                <w:rtl w:val="0"/>
              </w:rPr>
              <w:t xml:space="preserve">Long</w:t>
            </w:r>
          </w:p>
        </w:tc>
        <w:tc>
          <w:tcPr>
            <w:vMerge w:val="continue"/>
            <w:tcBorders>
              <w:top w:color="000000" w:space="0" w:sz="8"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027">
            <w:pPr>
              <w:widowControl w:val="1"/>
              <w:jc w:val="center"/>
              <w:rPr/>
            </w:pPr>
            <w:r w:rsidDel="00000000" w:rsidR="00000000" w:rsidRPr="00000000">
              <w:rPr>
                <w:rtl w:val="0"/>
              </w:rPr>
              <w:t xml:space="preserve">Início</w:t>
            </w:r>
          </w:p>
        </w:tc>
        <w:tc>
          <w:tcPr>
            <w:tcBorders>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028">
            <w:pPr>
              <w:widowControl w:val="1"/>
              <w:jc w:val="center"/>
              <w:rPr/>
            </w:pPr>
            <w:r w:rsidDel="00000000" w:rsidR="00000000" w:rsidRPr="00000000">
              <w:rPr>
                <w:rtl w:val="0"/>
              </w:rPr>
              <w:t xml:space="preserve">Fim</w:t>
            </w:r>
          </w:p>
        </w:tc>
      </w:tr>
      <w:tr>
        <w:trPr>
          <w:cantSplit w:val="0"/>
          <w:trHeight w:val="227" w:hRule="atLeast"/>
          <w:tblHeader w:val="0"/>
        </w:trPr>
        <w:tc>
          <w:tcPr>
            <w:tcBorders>
              <w:top w:color="000000" w:space="0" w:sz="8" w:val="single"/>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29">
            <w:pPr>
              <w:jc w:val="center"/>
              <w:rPr/>
            </w:pPr>
            <w:r w:rsidDel="00000000" w:rsidR="00000000" w:rsidRPr="00000000">
              <w:rPr>
                <w:rtl w:val="0"/>
              </w:rPr>
              <w:t xml:space="preserve">548000</w:t>
            </w:r>
          </w:p>
        </w:tc>
        <w:tc>
          <w:tcPr>
            <w:tcBorders>
              <w:top w:color="000000" w:space="0" w:sz="8" w:val="single"/>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2A">
            <w:pPr>
              <w:jc w:val="center"/>
              <w:rPr/>
            </w:pPr>
            <w:r w:rsidDel="00000000" w:rsidR="00000000" w:rsidRPr="00000000">
              <w:rPr>
                <w:rtl w:val="0"/>
              </w:rPr>
              <w:t xml:space="preserve">-5,64</w:t>
            </w:r>
          </w:p>
        </w:tc>
        <w:tc>
          <w:tcPr>
            <w:tcBorders>
              <w:top w:color="000000" w:space="0" w:sz="8" w:val="single"/>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2B">
            <w:pPr>
              <w:jc w:val="center"/>
              <w:rPr/>
            </w:pPr>
            <w:r w:rsidDel="00000000" w:rsidR="00000000" w:rsidRPr="00000000">
              <w:rPr>
                <w:rtl w:val="0"/>
              </w:rPr>
              <w:t xml:space="preserve">-48,12</w:t>
            </w:r>
          </w:p>
        </w:tc>
        <w:tc>
          <w:tcPr>
            <w:tcBorders>
              <w:top w:color="000000" w:space="0" w:sz="8" w:val="single"/>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2C">
            <w:pPr>
              <w:jc w:val="center"/>
              <w:rPr/>
            </w:pPr>
            <w:r w:rsidDel="00000000" w:rsidR="00000000" w:rsidRPr="00000000">
              <w:rPr>
                <w:rtl w:val="0"/>
              </w:rPr>
              <w:t xml:space="preserve">Araguatins</w:t>
            </w:r>
          </w:p>
        </w:tc>
        <w:tc>
          <w:tcPr>
            <w:tcBorders>
              <w:top w:color="000000" w:space="0" w:sz="8" w:val="single"/>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2D">
            <w:pPr>
              <w:jc w:val="center"/>
              <w:rPr/>
            </w:pPr>
            <w:r w:rsidDel="00000000" w:rsidR="00000000" w:rsidRPr="00000000">
              <w:rPr>
                <w:rtl w:val="0"/>
              </w:rPr>
              <w:t xml:space="preserve">47</w:t>
            </w:r>
          </w:p>
        </w:tc>
        <w:tc>
          <w:tcPr>
            <w:tcBorders>
              <w:top w:color="000000" w:space="0" w:sz="8" w:val="single"/>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2E">
            <w:pPr>
              <w:jc w:val="center"/>
              <w:rPr/>
            </w:pPr>
            <w:r w:rsidDel="00000000" w:rsidR="00000000" w:rsidRPr="00000000">
              <w:rPr>
                <w:rtl w:val="0"/>
              </w:rPr>
              <w:t xml:space="preserve">1974</w:t>
            </w:r>
          </w:p>
        </w:tc>
        <w:tc>
          <w:tcPr>
            <w:tcBorders>
              <w:top w:color="000000" w:space="0" w:sz="8" w:val="single"/>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2F">
            <w:pPr>
              <w:jc w:val="center"/>
              <w:rPr/>
            </w:pPr>
            <w:r w:rsidDel="00000000" w:rsidR="00000000" w:rsidRPr="00000000">
              <w:rPr>
                <w:rtl w:val="0"/>
              </w:rPr>
              <w:t xml:space="preserve">2024</w:t>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0">
            <w:pPr>
              <w:jc w:val="center"/>
              <w:rPr/>
            </w:pPr>
            <w:r w:rsidDel="00000000" w:rsidR="00000000" w:rsidRPr="00000000">
              <w:rPr>
                <w:rtl w:val="0"/>
              </w:rPr>
              <w:t xml:space="preserve">647001</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1">
            <w:pPr>
              <w:jc w:val="center"/>
              <w:rPr/>
            </w:pPr>
            <w:r w:rsidDel="00000000" w:rsidR="00000000" w:rsidRPr="00000000">
              <w:rPr>
                <w:rtl w:val="0"/>
              </w:rPr>
              <w:t xml:space="preserve">-6,83</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2">
            <w:pPr>
              <w:jc w:val="center"/>
              <w:rPr/>
            </w:pPr>
            <w:r w:rsidDel="00000000" w:rsidR="00000000" w:rsidRPr="00000000">
              <w:rPr>
                <w:rtl w:val="0"/>
              </w:rPr>
              <w:t xml:space="preserve">-47,97</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3">
            <w:pPr>
              <w:jc w:val="center"/>
              <w:rPr/>
            </w:pPr>
            <w:r w:rsidDel="00000000" w:rsidR="00000000" w:rsidRPr="00000000">
              <w:rPr>
                <w:rtl w:val="0"/>
              </w:rPr>
              <w:t xml:space="preserve">Wanderlândia</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4">
            <w:pPr>
              <w:jc w:val="center"/>
              <w:rPr/>
            </w:pPr>
            <w:r w:rsidDel="00000000" w:rsidR="00000000" w:rsidRPr="00000000">
              <w:rPr>
                <w:rtl w:val="0"/>
              </w:rPr>
              <w:t xml:space="preserve">46</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5">
            <w:pPr>
              <w:jc w:val="center"/>
              <w:rPr/>
            </w:pPr>
            <w:r w:rsidDel="00000000" w:rsidR="00000000" w:rsidRPr="00000000">
              <w:rPr>
                <w:rtl w:val="0"/>
              </w:rPr>
              <w:t xml:space="preserve">1973</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6">
            <w:pPr>
              <w:jc w:val="center"/>
              <w:rPr/>
            </w:pPr>
            <w:r w:rsidDel="00000000" w:rsidR="00000000" w:rsidRPr="00000000">
              <w:rPr>
                <w:rtl w:val="0"/>
              </w:rPr>
              <w:t xml:space="preserve">2024</w:t>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7">
            <w:pPr>
              <w:jc w:val="center"/>
              <w:rPr/>
            </w:pPr>
            <w:r w:rsidDel="00000000" w:rsidR="00000000" w:rsidRPr="00000000">
              <w:rPr>
                <w:rtl w:val="0"/>
              </w:rPr>
              <w:t xml:space="preserve">648000</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8">
            <w:pPr>
              <w:jc w:val="center"/>
              <w:rPr/>
            </w:pPr>
            <w:r w:rsidDel="00000000" w:rsidR="00000000" w:rsidRPr="00000000">
              <w:rPr>
                <w:rtl w:val="0"/>
              </w:rPr>
              <w:t xml:space="preserve">-6,41</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9">
            <w:pPr>
              <w:jc w:val="center"/>
              <w:rPr/>
            </w:pPr>
            <w:r w:rsidDel="00000000" w:rsidR="00000000" w:rsidRPr="00000000">
              <w:rPr>
                <w:rtl w:val="0"/>
              </w:rPr>
              <w:t xml:space="preserve">-48,53</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A">
            <w:pPr>
              <w:jc w:val="center"/>
              <w:rPr/>
            </w:pPr>
            <w:r w:rsidDel="00000000" w:rsidR="00000000" w:rsidRPr="00000000">
              <w:rPr>
                <w:rtl w:val="0"/>
              </w:rPr>
              <w:t xml:space="preserve">Xambioá</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B">
            <w:pPr>
              <w:jc w:val="center"/>
              <w:rPr/>
            </w:pPr>
            <w:r w:rsidDel="00000000" w:rsidR="00000000" w:rsidRPr="00000000">
              <w:rPr>
                <w:rtl w:val="0"/>
              </w:rPr>
              <w:t xml:space="preserve">31</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C">
            <w:pPr>
              <w:jc w:val="center"/>
              <w:rPr/>
            </w:pPr>
            <w:r w:rsidDel="00000000" w:rsidR="00000000" w:rsidRPr="00000000">
              <w:rPr>
                <w:rtl w:val="0"/>
              </w:rPr>
              <w:t xml:space="preserve">1969</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D">
            <w:pPr>
              <w:jc w:val="center"/>
              <w:rPr/>
            </w:pPr>
            <w:r w:rsidDel="00000000" w:rsidR="00000000" w:rsidRPr="00000000">
              <w:rPr>
                <w:rtl w:val="0"/>
              </w:rPr>
              <w:t xml:space="preserve">2024</w:t>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E">
            <w:pPr>
              <w:jc w:val="center"/>
              <w:rPr/>
            </w:pPr>
            <w:r w:rsidDel="00000000" w:rsidR="00000000" w:rsidRPr="00000000">
              <w:rPr>
                <w:rtl w:val="0"/>
              </w:rPr>
              <w:t xml:space="preserve">648001</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3F">
            <w:pPr>
              <w:jc w:val="center"/>
              <w:rPr/>
            </w:pPr>
            <w:r w:rsidDel="00000000" w:rsidR="00000000" w:rsidRPr="00000000">
              <w:rPr>
                <w:rtl w:val="0"/>
              </w:rPr>
              <w:t xml:space="preserve">-6,36</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0">
            <w:pPr>
              <w:jc w:val="center"/>
              <w:rPr/>
            </w:pPr>
            <w:r w:rsidDel="00000000" w:rsidR="00000000" w:rsidRPr="00000000">
              <w:rPr>
                <w:rtl w:val="0"/>
              </w:rPr>
              <w:t xml:space="preserve">-48,07</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1">
            <w:pPr>
              <w:jc w:val="center"/>
              <w:rPr/>
            </w:pPr>
            <w:r w:rsidDel="00000000" w:rsidR="00000000" w:rsidRPr="00000000">
              <w:rPr>
                <w:rtl w:val="0"/>
              </w:rPr>
              <w:t xml:space="preserve">Ananás</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2">
            <w:pPr>
              <w:jc w:val="center"/>
              <w:rPr/>
            </w:pPr>
            <w:r w:rsidDel="00000000" w:rsidR="00000000" w:rsidRPr="00000000">
              <w:rPr>
                <w:rtl w:val="0"/>
              </w:rPr>
              <w:t xml:space="preserve">47</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3">
            <w:pPr>
              <w:jc w:val="center"/>
              <w:rPr/>
            </w:pPr>
            <w:r w:rsidDel="00000000" w:rsidR="00000000" w:rsidRPr="00000000">
              <w:rPr>
                <w:rtl w:val="0"/>
              </w:rPr>
              <w:t xml:space="preserve">1974</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4">
            <w:pPr>
              <w:jc w:val="center"/>
              <w:rPr/>
            </w:pPr>
            <w:r w:rsidDel="00000000" w:rsidR="00000000" w:rsidRPr="00000000">
              <w:rPr>
                <w:rtl w:val="0"/>
              </w:rPr>
              <w:t xml:space="preserve">2024</w:t>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5">
            <w:pPr>
              <w:jc w:val="center"/>
              <w:rPr/>
            </w:pPr>
            <w:r w:rsidDel="00000000" w:rsidR="00000000" w:rsidRPr="00000000">
              <w:rPr>
                <w:rtl w:val="0"/>
              </w:rPr>
              <w:t xml:space="preserve">649003</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6">
            <w:pPr>
              <w:jc w:val="center"/>
              <w:rPr/>
            </w:pPr>
            <w:r w:rsidDel="00000000" w:rsidR="00000000" w:rsidRPr="00000000">
              <w:rPr>
                <w:rtl w:val="0"/>
              </w:rPr>
              <w:t xml:space="preserve">-6,86</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7">
            <w:pPr>
              <w:jc w:val="center"/>
              <w:rPr/>
            </w:pPr>
            <w:r w:rsidDel="00000000" w:rsidR="00000000" w:rsidRPr="00000000">
              <w:rPr>
                <w:rtl w:val="0"/>
              </w:rPr>
              <w:t xml:space="preserve">-49,09</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8">
            <w:pPr>
              <w:jc w:val="center"/>
              <w:rPr/>
            </w:pPr>
            <w:r w:rsidDel="00000000" w:rsidR="00000000" w:rsidRPr="00000000">
              <w:rPr>
                <w:rtl w:val="0"/>
              </w:rPr>
              <w:t xml:space="preserve">Santa Fé do Araguaia</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9">
            <w:pPr>
              <w:jc w:val="center"/>
              <w:rPr/>
            </w:pPr>
            <w:r w:rsidDel="00000000" w:rsidR="00000000" w:rsidRPr="00000000">
              <w:rPr>
                <w:rtl w:val="0"/>
              </w:rPr>
              <w:t xml:space="preserve">35</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A">
            <w:pPr>
              <w:jc w:val="center"/>
              <w:rPr/>
            </w:pPr>
            <w:r w:rsidDel="00000000" w:rsidR="00000000" w:rsidRPr="00000000">
              <w:rPr>
                <w:rtl w:val="0"/>
              </w:rPr>
              <w:t xml:space="preserve">1985</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B">
            <w:pPr>
              <w:jc w:val="center"/>
              <w:rPr/>
            </w:pPr>
            <w:r w:rsidDel="00000000" w:rsidR="00000000" w:rsidRPr="00000000">
              <w:rPr>
                <w:rtl w:val="0"/>
              </w:rPr>
              <w:t xml:space="preserve">2024</w:t>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C">
            <w:pPr>
              <w:jc w:val="center"/>
              <w:rPr/>
            </w:pPr>
            <w:r w:rsidDel="00000000" w:rsidR="00000000" w:rsidRPr="00000000">
              <w:rPr>
                <w:rtl w:val="0"/>
              </w:rPr>
              <w:t xml:space="preserve">748001</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D">
            <w:pPr>
              <w:jc w:val="center"/>
              <w:rPr/>
            </w:pPr>
            <w:r w:rsidDel="00000000" w:rsidR="00000000" w:rsidRPr="00000000">
              <w:rPr>
                <w:rtl w:val="0"/>
              </w:rPr>
              <w:t xml:space="preserve">-7,87</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E">
            <w:pPr>
              <w:jc w:val="center"/>
              <w:rPr/>
            </w:pPr>
            <w:r w:rsidDel="00000000" w:rsidR="00000000" w:rsidRPr="00000000">
              <w:rPr>
                <w:rtl w:val="0"/>
              </w:rPr>
              <w:t xml:space="preserve">-48,87</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4F">
            <w:pPr>
              <w:jc w:val="center"/>
              <w:rPr/>
            </w:pPr>
            <w:r w:rsidDel="00000000" w:rsidR="00000000" w:rsidRPr="00000000">
              <w:rPr>
                <w:rtl w:val="0"/>
              </w:rPr>
              <w:t xml:space="preserve">Bernardo Sayão</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0">
            <w:pPr>
              <w:jc w:val="center"/>
              <w:rPr/>
            </w:pPr>
            <w:r w:rsidDel="00000000" w:rsidR="00000000" w:rsidRPr="00000000">
              <w:rPr>
                <w:rtl w:val="0"/>
              </w:rPr>
              <w:t xml:space="preserve">32</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1">
            <w:pPr>
              <w:jc w:val="center"/>
              <w:rPr/>
            </w:pPr>
            <w:r w:rsidDel="00000000" w:rsidR="00000000" w:rsidRPr="00000000">
              <w:rPr>
                <w:rtl w:val="0"/>
              </w:rPr>
              <w:t xml:space="preserve">1973</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2">
            <w:pPr>
              <w:jc w:val="center"/>
              <w:rPr/>
            </w:pPr>
            <w:r w:rsidDel="00000000" w:rsidR="00000000" w:rsidRPr="00000000">
              <w:rPr>
                <w:rtl w:val="0"/>
              </w:rPr>
              <w:t xml:space="preserve">2024</w:t>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3">
            <w:pPr>
              <w:jc w:val="center"/>
              <w:rPr/>
            </w:pPr>
            <w:r w:rsidDel="00000000" w:rsidR="00000000" w:rsidRPr="00000000">
              <w:rPr>
                <w:rtl w:val="0"/>
              </w:rPr>
              <w:t xml:space="preserve">748002</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4">
            <w:pPr>
              <w:jc w:val="center"/>
              <w:rPr/>
            </w:pPr>
            <w:r w:rsidDel="00000000" w:rsidR="00000000" w:rsidRPr="00000000">
              <w:rPr>
                <w:rtl w:val="0"/>
              </w:rPr>
              <w:t xml:space="preserve">-7,56</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5">
            <w:pPr>
              <w:jc w:val="center"/>
              <w:rPr/>
            </w:pPr>
            <w:r w:rsidDel="00000000" w:rsidR="00000000" w:rsidRPr="00000000">
              <w:rPr>
                <w:rtl w:val="0"/>
              </w:rPr>
              <w:t xml:space="preserve">-48,42</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6">
            <w:pPr>
              <w:jc w:val="center"/>
              <w:rPr/>
            </w:pPr>
            <w:r w:rsidDel="00000000" w:rsidR="00000000" w:rsidRPr="00000000">
              <w:rPr>
                <w:rtl w:val="0"/>
              </w:rPr>
              <w:t xml:space="preserve">Nova Olinda</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7">
            <w:pPr>
              <w:jc w:val="center"/>
              <w:rPr/>
            </w:pPr>
            <w:r w:rsidDel="00000000" w:rsidR="00000000" w:rsidRPr="00000000">
              <w:rPr>
                <w:rtl w:val="0"/>
              </w:rPr>
              <w:t xml:space="preserve">49</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8">
            <w:pPr>
              <w:jc w:val="center"/>
              <w:rPr/>
            </w:pPr>
            <w:r w:rsidDel="00000000" w:rsidR="00000000" w:rsidRPr="00000000">
              <w:rPr>
                <w:rtl w:val="0"/>
              </w:rPr>
              <w:t xml:space="preserve">1973</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9">
            <w:pPr>
              <w:jc w:val="center"/>
              <w:rPr/>
            </w:pPr>
            <w:r w:rsidDel="00000000" w:rsidR="00000000" w:rsidRPr="00000000">
              <w:rPr>
                <w:rtl w:val="0"/>
              </w:rPr>
              <w:t xml:space="preserve">2024</w:t>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A">
            <w:pPr>
              <w:jc w:val="center"/>
              <w:rPr/>
            </w:pPr>
            <w:r w:rsidDel="00000000" w:rsidR="00000000" w:rsidRPr="00000000">
              <w:rPr>
                <w:rtl w:val="0"/>
              </w:rPr>
              <w:t xml:space="preserve">748003</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B">
            <w:pPr>
              <w:jc w:val="center"/>
              <w:rPr/>
            </w:pPr>
            <w:r w:rsidDel="00000000" w:rsidR="00000000" w:rsidRPr="00000000">
              <w:rPr>
                <w:rtl w:val="0"/>
              </w:rPr>
              <w:t xml:space="preserve">-7,15</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C">
            <w:pPr>
              <w:jc w:val="center"/>
              <w:rPr/>
            </w:pPr>
            <w:r w:rsidDel="00000000" w:rsidR="00000000" w:rsidRPr="00000000">
              <w:rPr>
                <w:rtl w:val="0"/>
              </w:rPr>
              <w:t xml:space="preserve">-48,60</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D">
            <w:pPr>
              <w:jc w:val="center"/>
              <w:rPr/>
            </w:pPr>
            <w:r w:rsidDel="00000000" w:rsidR="00000000" w:rsidRPr="00000000">
              <w:rPr>
                <w:rtl w:val="0"/>
              </w:rPr>
              <w:t xml:space="preserve">Muricilândia</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E">
            <w:pPr>
              <w:jc w:val="center"/>
              <w:rPr/>
            </w:pPr>
            <w:r w:rsidDel="00000000" w:rsidR="00000000" w:rsidRPr="00000000">
              <w:rPr>
                <w:rtl w:val="0"/>
              </w:rPr>
              <w:t xml:space="preserve">47</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5F">
            <w:pPr>
              <w:jc w:val="center"/>
              <w:rPr/>
            </w:pPr>
            <w:r w:rsidDel="00000000" w:rsidR="00000000" w:rsidRPr="00000000">
              <w:rPr>
                <w:rtl w:val="0"/>
              </w:rPr>
              <w:t xml:space="preserve">1974</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0">
            <w:pPr>
              <w:jc w:val="center"/>
              <w:rPr/>
            </w:pPr>
            <w:r w:rsidDel="00000000" w:rsidR="00000000" w:rsidRPr="00000000">
              <w:rPr>
                <w:rtl w:val="0"/>
              </w:rPr>
              <w:t xml:space="preserve">2024</w:t>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1">
            <w:pPr>
              <w:jc w:val="center"/>
              <w:rPr/>
            </w:pPr>
            <w:r w:rsidDel="00000000" w:rsidR="00000000" w:rsidRPr="00000000">
              <w:rPr>
                <w:rtl w:val="0"/>
              </w:rPr>
              <w:t xml:space="preserve">749000</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2">
            <w:pPr>
              <w:jc w:val="center"/>
              <w:rPr/>
            </w:pPr>
            <w:r w:rsidDel="00000000" w:rsidR="00000000" w:rsidRPr="00000000">
              <w:rPr>
                <w:rtl w:val="0"/>
              </w:rPr>
              <w:t xml:space="preserve">-7,65</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3">
            <w:pPr>
              <w:jc w:val="center"/>
              <w:rPr/>
            </w:pPr>
            <w:r w:rsidDel="00000000" w:rsidR="00000000" w:rsidRPr="00000000">
              <w:rPr>
                <w:rtl w:val="0"/>
              </w:rPr>
              <w:t xml:space="preserve">-49,06</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4">
            <w:pPr>
              <w:jc w:val="center"/>
              <w:rPr/>
            </w:pPr>
            <w:r w:rsidDel="00000000" w:rsidR="00000000" w:rsidRPr="00000000">
              <w:rPr>
                <w:rtl w:val="0"/>
              </w:rPr>
              <w:t xml:space="preserve">Arapoema</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5">
            <w:pPr>
              <w:jc w:val="center"/>
              <w:rPr/>
            </w:pPr>
            <w:r w:rsidDel="00000000" w:rsidR="00000000" w:rsidRPr="00000000">
              <w:rPr>
                <w:rtl w:val="0"/>
              </w:rPr>
              <w:t xml:space="preserve">47</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6">
            <w:pPr>
              <w:jc w:val="center"/>
              <w:rPr/>
            </w:pPr>
            <w:r w:rsidDel="00000000" w:rsidR="00000000" w:rsidRPr="00000000">
              <w:rPr>
                <w:rtl w:val="0"/>
              </w:rPr>
              <w:t xml:space="preserve">1973</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7">
            <w:pPr>
              <w:jc w:val="center"/>
              <w:rPr/>
            </w:pPr>
            <w:r w:rsidDel="00000000" w:rsidR="00000000" w:rsidRPr="00000000">
              <w:rPr>
                <w:rtl w:val="0"/>
              </w:rPr>
              <w:t xml:space="preserve">2022</w:t>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8">
            <w:pPr>
              <w:jc w:val="center"/>
              <w:rPr/>
            </w:pPr>
            <w:r w:rsidDel="00000000" w:rsidR="00000000" w:rsidRPr="00000000">
              <w:rPr>
                <w:rtl w:val="0"/>
              </w:rPr>
              <w:t xml:space="preserve">749001</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9">
            <w:pPr>
              <w:jc w:val="center"/>
              <w:rPr/>
            </w:pPr>
            <w:r w:rsidDel="00000000" w:rsidR="00000000" w:rsidRPr="00000000">
              <w:rPr>
                <w:rtl w:val="0"/>
              </w:rPr>
              <w:t xml:space="preserve">-7,32</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A">
            <w:pPr>
              <w:jc w:val="center"/>
              <w:rPr/>
            </w:pPr>
            <w:r w:rsidDel="00000000" w:rsidR="00000000" w:rsidRPr="00000000">
              <w:rPr>
                <w:rtl w:val="0"/>
              </w:rPr>
              <w:t xml:space="preserve">-49,22</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B">
            <w:pPr>
              <w:jc w:val="center"/>
              <w:rPr/>
            </w:pPr>
            <w:r w:rsidDel="00000000" w:rsidR="00000000" w:rsidRPr="00000000">
              <w:rPr>
                <w:rtl w:val="0"/>
              </w:rPr>
              <w:t xml:space="preserve">Araguaína</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C">
            <w:pPr>
              <w:jc w:val="center"/>
              <w:rPr/>
            </w:pPr>
            <w:r w:rsidDel="00000000" w:rsidR="00000000" w:rsidRPr="00000000">
              <w:rPr>
                <w:rtl w:val="0"/>
              </w:rPr>
              <w:t xml:space="preserve">39</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D">
            <w:pPr>
              <w:jc w:val="center"/>
              <w:rPr/>
            </w:pPr>
            <w:r w:rsidDel="00000000" w:rsidR="00000000" w:rsidRPr="00000000">
              <w:rPr>
                <w:rtl w:val="0"/>
              </w:rPr>
              <w:t xml:space="preserve">1983</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E">
            <w:pPr>
              <w:jc w:val="center"/>
              <w:rPr/>
            </w:pPr>
            <w:r w:rsidDel="00000000" w:rsidR="00000000" w:rsidRPr="00000000">
              <w:rPr>
                <w:rtl w:val="0"/>
              </w:rPr>
              <w:t xml:space="preserve">2024</w:t>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6F">
            <w:pPr>
              <w:jc w:val="center"/>
              <w:rPr/>
            </w:pPr>
            <w:r w:rsidDel="00000000" w:rsidR="00000000" w:rsidRPr="00000000">
              <w:rPr>
                <w:rtl w:val="0"/>
              </w:rPr>
              <w:t xml:space="preserve">848000</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70">
            <w:pPr>
              <w:jc w:val="center"/>
              <w:rPr/>
            </w:pPr>
            <w:r w:rsidDel="00000000" w:rsidR="00000000" w:rsidRPr="00000000">
              <w:rPr>
                <w:rtl w:val="0"/>
              </w:rPr>
              <w:t xml:space="preserve">-8,05</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71">
            <w:pPr>
              <w:jc w:val="center"/>
              <w:rPr/>
            </w:pPr>
            <w:r w:rsidDel="00000000" w:rsidR="00000000" w:rsidRPr="00000000">
              <w:rPr>
                <w:rtl w:val="0"/>
              </w:rPr>
              <w:t xml:space="preserve">-48,48</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72">
            <w:pPr>
              <w:jc w:val="center"/>
              <w:rPr/>
            </w:pPr>
            <w:r w:rsidDel="00000000" w:rsidR="00000000" w:rsidRPr="00000000">
              <w:rPr>
                <w:rtl w:val="0"/>
              </w:rPr>
              <w:t xml:space="preserve">Colinas do Tocantins</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73">
            <w:pPr>
              <w:jc w:val="center"/>
              <w:rPr/>
            </w:pPr>
            <w:r w:rsidDel="00000000" w:rsidR="00000000" w:rsidRPr="00000000">
              <w:rPr>
                <w:rtl w:val="0"/>
              </w:rPr>
              <w:t xml:space="preserve">50</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74">
            <w:pPr>
              <w:jc w:val="center"/>
              <w:rPr/>
            </w:pPr>
            <w:r w:rsidDel="00000000" w:rsidR="00000000" w:rsidRPr="00000000">
              <w:rPr>
                <w:rtl w:val="0"/>
              </w:rPr>
              <w:t xml:space="preserve">1972</w:t>
            </w:r>
          </w:p>
        </w:tc>
        <w:tc>
          <w:tcPr>
            <w:tcBorders>
              <w:top w:color="000000" w:space="0" w:sz="0" w:val="nil"/>
              <w:left w:color="000000" w:space="0" w:sz="0" w:val="nil"/>
              <w:bottom w:color="000000" w:space="0" w:sz="0" w:val="nil"/>
              <w:right w:color="000000" w:space="0" w:sz="0" w:val="nil"/>
            </w:tcBorders>
            <w:shd w:fill="ffffff" w:val="clear"/>
            <w:tcMar>
              <w:left w:w="0.0" w:type="dxa"/>
              <w:right w:w="0.0" w:type="dxa"/>
            </w:tcMar>
            <w:vAlign w:val="center"/>
          </w:tcPr>
          <w:p w:rsidR="00000000" w:rsidDel="00000000" w:rsidP="00000000" w:rsidRDefault="00000000" w:rsidRPr="00000000" w14:paraId="00000075">
            <w:pPr>
              <w:jc w:val="center"/>
              <w:rPr/>
            </w:pPr>
            <w:r w:rsidDel="00000000" w:rsidR="00000000" w:rsidRPr="00000000">
              <w:rPr>
                <w:rtl w:val="0"/>
              </w:rPr>
              <w:t xml:space="preserve">2024</w:t>
            </w:r>
          </w:p>
        </w:tc>
      </w:tr>
      <w:tr>
        <w:trPr>
          <w:cantSplit w:val="0"/>
          <w:trHeight w:val="227" w:hRule="atLeast"/>
          <w:tblHeader w:val="0"/>
        </w:trPr>
        <w:tc>
          <w:tcPr>
            <w:tcBorders>
              <w:top w:color="000000" w:space="0" w:sz="0" w:val="nil"/>
              <w:left w:color="000000" w:space="0" w:sz="0" w:val="nil"/>
              <w:bottom w:color="000000" w:space="0" w:sz="8" w:val="single"/>
              <w:right w:color="000000" w:space="0" w:sz="0" w:val="nil"/>
            </w:tcBorders>
            <w:shd w:fill="ffffff" w:val="clear"/>
            <w:tcMar>
              <w:left w:w="0.0" w:type="dxa"/>
              <w:right w:w="0.0" w:type="dxa"/>
            </w:tcMar>
            <w:vAlign w:val="center"/>
          </w:tcPr>
          <w:p w:rsidR="00000000" w:rsidDel="00000000" w:rsidP="00000000" w:rsidRDefault="00000000" w:rsidRPr="00000000" w14:paraId="00000076">
            <w:pPr>
              <w:jc w:val="center"/>
              <w:rPr/>
            </w:pPr>
            <w:r w:rsidDel="00000000" w:rsidR="00000000" w:rsidRPr="00000000">
              <w:rPr>
                <w:rtl w:val="0"/>
              </w:rPr>
              <w:t xml:space="preserve">848002</w:t>
            </w:r>
          </w:p>
        </w:tc>
        <w:tc>
          <w:tcPr>
            <w:tcBorders>
              <w:top w:color="000000" w:space="0" w:sz="0" w:val="nil"/>
              <w:left w:color="000000" w:space="0" w:sz="0" w:val="nil"/>
              <w:bottom w:color="000000" w:space="0" w:sz="8" w:val="single"/>
              <w:right w:color="000000" w:space="0" w:sz="0" w:val="nil"/>
            </w:tcBorders>
            <w:shd w:fill="ffffff" w:val="clear"/>
            <w:tcMar>
              <w:left w:w="0.0" w:type="dxa"/>
              <w:right w:w="0.0" w:type="dxa"/>
            </w:tcMar>
            <w:vAlign w:val="center"/>
          </w:tcPr>
          <w:p w:rsidR="00000000" w:rsidDel="00000000" w:rsidP="00000000" w:rsidRDefault="00000000" w:rsidRPr="00000000" w14:paraId="00000077">
            <w:pPr>
              <w:jc w:val="center"/>
              <w:rPr/>
            </w:pPr>
            <w:r w:rsidDel="00000000" w:rsidR="00000000" w:rsidRPr="00000000">
              <w:rPr>
                <w:rtl w:val="0"/>
              </w:rPr>
              <w:t xml:space="preserve">-8,57</w:t>
            </w:r>
          </w:p>
        </w:tc>
        <w:tc>
          <w:tcPr>
            <w:tcBorders>
              <w:top w:color="000000" w:space="0" w:sz="0" w:val="nil"/>
              <w:left w:color="000000" w:space="0" w:sz="0" w:val="nil"/>
              <w:bottom w:color="000000" w:space="0" w:sz="8" w:val="single"/>
              <w:right w:color="000000" w:space="0" w:sz="0" w:val="nil"/>
            </w:tcBorders>
            <w:shd w:fill="ffffff" w:val="clear"/>
            <w:tcMar>
              <w:left w:w="0.0" w:type="dxa"/>
              <w:right w:w="0.0" w:type="dxa"/>
            </w:tcMar>
            <w:vAlign w:val="center"/>
          </w:tcPr>
          <w:p w:rsidR="00000000" w:rsidDel="00000000" w:rsidP="00000000" w:rsidRDefault="00000000" w:rsidRPr="00000000" w14:paraId="00000078">
            <w:pPr>
              <w:jc w:val="center"/>
              <w:rPr/>
            </w:pPr>
            <w:r w:rsidDel="00000000" w:rsidR="00000000" w:rsidRPr="00000000">
              <w:rPr>
                <w:rtl w:val="0"/>
              </w:rPr>
              <w:t xml:space="preserve">-48,69</w:t>
            </w:r>
          </w:p>
        </w:tc>
        <w:tc>
          <w:tcPr>
            <w:tcBorders>
              <w:top w:color="000000" w:space="0" w:sz="0" w:val="nil"/>
              <w:left w:color="000000" w:space="0" w:sz="0" w:val="nil"/>
              <w:bottom w:color="000000" w:space="0" w:sz="8" w:val="single"/>
              <w:right w:color="000000" w:space="0" w:sz="0" w:val="nil"/>
            </w:tcBorders>
            <w:shd w:fill="ffffff" w:val="clear"/>
            <w:tcMar>
              <w:left w:w="0.0" w:type="dxa"/>
              <w:right w:w="0.0" w:type="dxa"/>
            </w:tcMar>
            <w:vAlign w:val="center"/>
          </w:tcPr>
          <w:p w:rsidR="00000000" w:rsidDel="00000000" w:rsidP="00000000" w:rsidRDefault="00000000" w:rsidRPr="00000000" w14:paraId="00000079">
            <w:pPr>
              <w:jc w:val="center"/>
              <w:rPr/>
            </w:pPr>
            <w:r w:rsidDel="00000000" w:rsidR="00000000" w:rsidRPr="00000000">
              <w:rPr>
                <w:rtl w:val="0"/>
              </w:rPr>
              <w:t xml:space="preserve">Itaporã do Tocantins</w:t>
            </w:r>
          </w:p>
        </w:tc>
        <w:tc>
          <w:tcPr>
            <w:tcBorders>
              <w:top w:color="000000" w:space="0" w:sz="0" w:val="nil"/>
              <w:left w:color="000000" w:space="0" w:sz="0" w:val="nil"/>
              <w:bottom w:color="000000" w:space="0" w:sz="8" w:val="single"/>
              <w:right w:color="000000" w:space="0" w:sz="0" w:val="nil"/>
            </w:tcBorders>
            <w:shd w:fill="ffffff" w:val="clear"/>
            <w:tcMar>
              <w:left w:w="0.0" w:type="dxa"/>
              <w:right w:w="0.0" w:type="dxa"/>
            </w:tcMar>
            <w:vAlign w:val="center"/>
          </w:tcPr>
          <w:p w:rsidR="00000000" w:rsidDel="00000000" w:rsidP="00000000" w:rsidRDefault="00000000" w:rsidRPr="00000000" w14:paraId="0000007A">
            <w:pPr>
              <w:jc w:val="center"/>
              <w:rPr/>
            </w:pPr>
            <w:r w:rsidDel="00000000" w:rsidR="00000000" w:rsidRPr="00000000">
              <w:rPr>
                <w:rtl w:val="0"/>
              </w:rPr>
              <w:t xml:space="preserve">49</w:t>
            </w:r>
          </w:p>
        </w:tc>
        <w:tc>
          <w:tcPr>
            <w:tcBorders>
              <w:top w:color="000000" w:space="0" w:sz="0" w:val="nil"/>
              <w:left w:color="000000" w:space="0" w:sz="0" w:val="nil"/>
              <w:bottom w:color="000000" w:space="0" w:sz="8" w:val="single"/>
              <w:right w:color="000000" w:space="0" w:sz="0" w:val="nil"/>
            </w:tcBorders>
            <w:shd w:fill="ffffff" w:val="clear"/>
            <w:tcMar>
              <w:left w:w="0.0" w:type="dxa"/>
              <w:right w:w="0.0" w:type="dxa"/>
            </w:tcMar>
            <w:vAlign w:val="center"/>
          </w:tcPr>
          <w:p w:rsidR="00000000" w:rsidDel="00000000" w:rsidP="00000000" w:rsidRDefault="00000000" w:rsidRPr="00000000" w14:paraId="0000007B">
            <w:pPr>
              <w:jc w:val="center"/>
              <w:rPr/>
            </w:pPr>
            <w:r w:rsidDel="00000000" w:rsidR="00000000" w:rsidRPr="00000000">
              <w:rPr>
                <w:rtl w:val="0"/>
              </w:rPr>
              <w:t xml:space="preserve">1973</w:t>
            </w:r>
          </w:p>
        </w:tc>
        <w:tc>
          <w:tcPr>
            <w:tcBorders>
              <w:top w:color="000000" w:space="0" w:sz="0" w:val="nil"/>
              <w:left w:color="000000" w:space="0" w:sz="0" w:val="nil"/>
              <w:bottom w:color="000000" w:space="0" w:sz="8" w:val="single"/>
              <w:right w:color="000000" w:space="0" w:sz="0" w:val="nil"/>
            </w:tcBorders>
            <w:shd w:fill="ffffff" w:val="clear"/>
            <w:tcMar>
              <w:left w:w="0.0" w:type="dxa"/>
              <w:right w:w="0.0" w:type="dxa"/>
            </w:tcMar>
            <w:vAlign w:val="center"/>
          </w:tcPr>
          <w:p w:rsidR="00000000" w:rsidDel="00000000" w:rsidP="00000000" w:rsidRDefault="00000000" w:rsidRPr="00000000" w14:paraId="0000007C">
            <w:pPr>
              <w:jc w:val="center"/>
              <w:rPr/>
            </w:pPr>
            <w:r w:rsidDel="00000000" w:rsidR="00000000" w:rsidRPr="00000000">
              <w:rPr>
                <w:rtl w:val="0"/>
              </w:rPr>
              <w:t xml:space="preserve">2024</w:t>
            </w:r>
          </w:p>
        </w:tc>
      </w:tr>
    </w:tbl>
    <w:p w:rsidR="00000000" w:rsidDel="00000000" w:rsidP="00000000" w:rsidRDefault="00000000" w:rsidRPr="00000000" w14:paraId="0000007D">
      <w:pPr>
        <w:widowControl w:val="1"/>
        <w:spacing w:after="200" w:lineRule="auto"/>
        <w:jc w:val="both"/>
        <w:rPr>
          <w:sz w:val="20"/>
          <w:szCs w:val="20"/>
        </w:rPr>
      </w:pPr>
      <w:r w:rsidDel="00000000" w:rsidR="00000000" w:rsidRPr="00000000">
        <w:rPr>
          <w:sz w:val="20"/>
          <w:szCs w:val="20"/>
          <w:rtl w:val="0"/>
        </w:rPr>
        <w:t xml:space="preserve">Fonte:</w:t>
      </w:r>
      <w:r w:rsidDel="00000000" w:rsidR="00000000" w:rsidRPr="00000000">
        <w:rPr>
          <w:b w:val="1"/>
          <w:bCs w:val="1"/>
          <w:sz w:val="20"/>
          <w:szCs w:val="20"/>
          <w:rtl w:val="0"/>
        </w:rPr>
        <w:t xml:space="preserve"> </w:t>
      </w:r>
      <w:r w:rsidDel="00000000" w:rsidR="00000000" w:rsidRPr="00000000">
        <w:rPr>
          <w:sz w:val="20"/>
          <w:szCs w:val="20"/>
          <w:rtl w:val="0"/>
        </w:rPr>
        <w:t xml:space="preserve">Os autores, (2025).</w:t>
      </w:r>
    </w:p>
    <w:p w:rsidR="00000000" w:rsidDel="00000000" w:rsidP="00000000" w:rsidRDefault="00000000" w:rsidRPr="00000000" w14:paraId="0000007E">
      <w:pPr>
        <w:pBdr>
          <w:top w:space="0" w:sz="0" w:val="nil"/>
          <w:left w:space="0" w:sz="0" w:val="nil"/>
          <w:bottom w:color="000000" w:space="6" w:sz="0" w:val="none"/>
          <w:right w:space="0" w:sz="0" w:val="nil"/>
          <w:between w:space="0" w:sz="0" w:val="nil"/>
        </w:pBdr>
        <w:shd w:fill="ffffff" w:val="clear"/>
        <w:tabs>
          <w:tab w:val="left" w:leader="none" w:pos="2500"/>
        </w:tabs>
        <w:jc w:val="center"/>
        <w:rPr/>
      </w:pPr>
      <w:r w:rsidDel="00000000" w:rsidR="00000000" w:rsidRPr="00000000">
        <w:rPr>
          <w:rtl w:val="0"/>
        </w:rPr>
        <w:t xml:space="preserve">Figura 1 – Distribuição dos pluviômetros da ANA na porção Amazônica no estado do Tocantins.</w:t>
      </w:r>
    </w:p>
    <w:p w:rsidR="00000000" w:rsidDel="00000000" w:rsidP="00000000" w:rsidRDefault="00000000" w:rsidRPr="00000000" w14:paraId="0000007F">
      <w:pPr>
        <w:pBdr>
          <w:bottom w:color="000000" w:space="18" w:sz="0" w:val="none"/>
        </w:pBdr>
        <w:shd w:fill="ffffff" w:val="clear"/>
        <w:tabs>
          <w:tab w:val="left" w:leader="none" w:pos="2500"/>
        </w:tabs>
        <w:ind w:left="708" w:firstLine="0"/>
        <w:rPr>
          <w:color w:val="ff0000"/>
        </w:rPr>
      </w:pPr>
      <w:r w:rsidDel="00000000" w:rsidR="00000000" w:rsidRPr="00000000">
        <w:rPr>
          <w:color w:val="ff0000"/>
        </w:rPr>
        <w:drawing>
          <wp:inline distB="114300" distT="114300" distL="114300" distR="114300">
            <wp:extent cx="5220000" cy="3706200"/>
            <wp:effectExtent b="0" l="0" r="0" t="0"/>
            <wp:docPr id="2023691350"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5220000" cy="3706200"/>
                    </a:xfrm>
                    <a:prstGeom prst="rect"/>
                    <a:ln/>
                  </pic:spPr>
                </pic:pic>
              </a:graphicData>
            </a:graphic>
          </wp:inline>
        </w:drawing>
      </w:r>
      <w:r w:rsidDel="00000000" w:rsidR="00000000" w:rsidRPr="00000000">
        <w:rPr>
          <w:highlight w:val="white"/>
          <w:rtl w:val="0"/>
        </w:rPr>
        <w:t xml:space="preserve">Fonte: Os autores, 2025; adaptado de IBGE (2019), ANA (2025), SEPLAN (2024).</w:t>
      </w:r>
      <w:r w:rsidDel="00000000" w:rsidR="00000000" w:rsidRPr="00000000">
        <w:rPr>
          <w:rtl w:val="0"/>
        </w:rPr>
      </w:r>
    </w:p>
    <w:p w:rsidR="00000000" w:rsidDel="00000000" w:rsidP="00000000" w:rsidRDefault="00000000" w:rsidRPr="00000000" w14:paraId="00000080">
      <w:pPr>
        <w:widowControl w:val="1"/>
        <w:spacing w:line="360" w:lineRule="auto"/>
        <w:ind w:firstLine="708"/>
        <w:jc w:val="both"/>
        <w:rPr>
          <w:b w:val="1"/>
          <w:bCs w:val="1"/>
          <w:sz w:val="24"/>
          <w:szCs w:val="24"/>
        </w:rPr>
      </w:pPr>
      <w:r w:rsidDel="00000000" w:rsidR="00000000" w:rsidRPr="00000000">
        <w:rPr>
          <w:b w:val="1"/>
          <w:bCs w:val="1"/>
          <w:sz w:val="24"/>
          <w:szCs w:val="24"/>
          <w:rtl w:val="0"/>
        </w:rPr>
        <w:t xml:space="preserve">Testes estatísticos</w:t>
      </w:r>
    </w:p>
    <w:p w:rsidR="00000000" w:rsidDel="00000000" w:rsidP="00000000" w:rsidRDefault="00000000" w:rsidRPr="00000000" w14:paraId="00000081">
      <w:pPr>
        <w:widowControl w:val="1"/>
        <w:spacing w:line="360" w:lineRule="auto"/>
        <w:jc w:val="both"/>
        <w:rPr>
          <w:color w:val="ff0000"/>
          <w:sz w:val="24"/>
          <w:szCs w:val="24"/>
        </w:rPr>
      </w:pPr>
      <w:r w:rsidDel="00000000" w:rsidR="00000000" w:rsidRPr="00000000">
        <w:rPr>
          <w:b w:val="1"/>
          <w:bCs w:val="1"/>
          <w:sz w:val="24"/>
          <w:szCs w:val="24"/>
          <w:rtl w:val="0"/>
        </w:rPr>
        <w:tab/>
      </w:r>
      <w:r w:rsidDel="00000000" w:rsidR="00000000" w:rsidRPr="00000000">
        <w:rPr>
          <w:sz w:val="24"/>
          <w:szCs w:val="24"/>
          <w:rtl w:val="0"/>
        </w:rPr>
        <w:t xml:space="preserve">Para gerar a análise de tendência, foi aplicado o teste não paramétrico de Mann–Kendall (Mann, 1945; Kendall, 1975). Esse que é recomendado pela OMM para detectar tendências monotônicas estatisticamente significativas de longo prazo em conjuntos de dados ambientais (Irannezhad et al., 2016; Kocsis et al., 2020). Neste trabalho, o teste foi utilizado para detecção de tendências tanto do total precipitado nas estações chuvosas, quanto dos dias secos dentro desse mesmo período, sendo considerado dia seco todo dia com precipitação igual ou inferior a 1mm. Também, foram analisadas as tendências do total precipitado e dos dias secos dos meses de outubro e abril isoladamente.</w:t>
      </w:r>
      <w:r w:rsidDel="00000000" w:rsidR="00000000" w:rsidRPr="00000000">
        <w:rPr>
          <w:rtl w:val="0"/>
        </w:rPr>
      </w:r>
    </w:p>
    <w:p w:rsidR="00000000" w:rsidDel="00000000" w:rsidP="00000000" w:rsidRDefault="00000000" w:rsidRPr="00000000" w14:paraId="00000082">
      <w:pPr>
        <w:pBdr>
          <w:bottom w:color="000000" w:space="8" w:sz="0" w:val="none"/>
        </w:pBdr>
        <w:shd w:fill="ffffff" w:val="clear"/>
        <w:tabs>
          <w:tab w:val="left" w:leader="none" w:pos="2500"/>
        </w:tabs>
        <w:spacing w:line="310" w:lineRule="auto"/>
        <w:jc w:val="both"/>
        <w:rPr>
          <w:b w:val="1"/>
          <w:bCs w:val="1"/>
          <w:sz w:val="24"/>
          <w:szCs w:val="24"/>
        </w:rPr>
      </w:pPr>
      <w:r w:rsidDel="00000000" w:rsidR="00000000" w:rsidRPr="00000000">
        <w:rPr>
          <w:rtl w:val="0"/>
        </w:rPr>
      </w:r>
    </w:p>
    <w:p w:rsidR="00000000" w:rsidDel="00000000" w:rsidP="00000000" w:rsidRDefault="00000000" w:rsidRPr="00000000" w14:paraId="00000083">
      <w:pPr>
        <w:pBdr>
          <w:bottom w:color="000000" w:space="8" w:sz="0" w:val="none"/>
        </w:pBdr>
        <w:shd w:fill="ffffff" w:val="clear"/>
        <w:tabs>
          <w:tab w:val="left" w:leader="none" w:pos="2500"/>
        </w:tabs>
        <w:spacing w:line="310" w:lineRule="auto"/>
        <w:jc w:val="both"/>
        <w:rPr>
          <w:sz w:val="24"/>
          <w:szCs w:val="24"/>
        </w:rPr>
      </w:pPr>
      <w:r w:rsidDel="00000000" w:rsidR="00000000" w:rsidRPr="00000000">
        <w:rPr>
          <w:b w:val="1"/>
          <w:bCs w:val="1"/>
          <w:sz w:val="24"/>
          <w:szCs w:val="24"/>
          <w:rtl w:val="0"/>
        </w:rPr>
        <w:t xml:space="preserve">3. RESULTADOS E DISCUSSÃO</w:t>
      </w:r>
      <w:r w:rsidDel="00000000" w:rsidR="00000000" w:rsidRPr="00000000">
        <w:rPr>
          <w:rtl w:val="0"/>
        </w:rPr>
      </w:r>
    </w:p>
    <w:p w:rsidR="00000000" w:rsidDel="00000000" w:rsidP="00000000" w:rsidRDefault="00000000" w:rsidRPr="00000000" w14:paraId="00000084">
      <w:pPr>
        <w:pBdr>
          <w:top w:space="0" w:sz="0" w:val="nil"/>
          <w:left w:space="0" w:sz="0" w:val="nil"/>
          <w:bottom w:color="000000" w:space="18" w:sz="0" w:val="none"/>
          <w:right w:space="0" w:sz="0" w:val="nil"/>
          <w:between w:space="0" w:sz="0" w:val="nil"/>
        </w:pBdr>
        <w:shd w:fill="ffffff" w:val="clear"/>
        <w:tabs>
          <w:tab w:val="left" w:leader="none" w:pos="2500"/>
        </w:tabs>
        <w:spacing w:line="360" w:lineRule="auto"/>
        <w:ind w:firstLine="708"/>
        <w:jc w:val="both"/>
        <w:rPr>
          <w:sz w:val="24"/>
          <w:szCs w:val="24"/>
        </w:rPr>
      </w:pPr>
      <w:r w:rsidDel="00000000" w:rsidR="00000000" w:rsidRPr="00000000">
        <w:rPr>
          <w:sz w:val="24"/>
          <w:szCs w:val="24"/>
          <w:rtl w:val="0"/>
        </w:rPr>
        <w:t xml:space="preserve">A análise das tendência do total de precipitação e total de dias secos durante a estação chuvosa (outubro a abril) nas doze estações pluviométricas da porção amazônica no estado do Tocantins, revelou comportamento homogêneo (Tabela 2). As médias anuais de precipitação variam entre 1.383,33 mm e 1.712,92 mm. A maioria das estações apresentou tendências crescentes de precipitação, embora sem significância estatística. Tendências negativas foram observadas em quatro estações, sendo estatisticamente significativas nas estações 647001 (ZMK = -2,4) e 748003 (ZMK = -3,37), o que indica redução da precipitação ao longo do tempo. Em contrapartida, as estações 749000 (ZMK = 2,02) e 848002 (ZMK = 2,58) apresentaram tendências crescentes significativas, sugerindo aumento da precipitação na região.</w:t>
      </w:r>
    </w:p>
    <w:p w:rsidR="00000000" w:rsidDel="00000000" w:rsidP="00000000" w:rsidRDefault="00000000" w:rsidRPr="00000000" w14:paraId="00000085">
      <w:pPr>
        <w:widowControl w:val="1"/>
        <w:spacing w:line="360" w:lineRule="auto"/>
        <w:jc w:val="both"/>
        <w:rPr/>
      </w:pPr>
      <w:r w:rsidDel="00000000" w:rsidR="00000000" w:rsidRPr="00000000">
        <w:rPr>
          <w:rtl w:val="0"/>
        </w:rPr>
        <w:t xml:space="preserve">Tabela 2 – Tendência do Total de Precipitação e Dias Secos na Estação Chuvosa em Estações da Porção Amazônica do Tocantins.</w:t>
      </w:r>
    </w:p>
    <w:tbl>
      <w:tblPr>
        <w:tblStyle w:val="Table2"/>
        <w:tblW w:w="9077.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4"/>
        <w:gridCol w:w="1431"/>
        <w:gridCol w:w="1431"/>
        <w:gridCol w:w="1719"/>
        <w:gridCol w:w="935"/>
        <w:gridCol w:w="1897"/>
        <w:tblGridChange w:id="0">
          <w:tblGrid>
            <w:gridCol w:w="1664"/>
            <w:gridCol w:w="1431"/>
            <w:gridCol w:w="1431"/>
            <w:gridCol w:w="1719"/>
            <w:gridCol w:w="935"/>
            <w:gridCol w:w="1897"/>
          </w:tblGrid>
        </w:tblGridChange>
      </w:tblGrid>
      <w:tr>
        <w:trPr>
          <w:cantSplit w:val="0"/>
          <w:trHeight w:val="57" w:hRule="atLeast"/>
          <w:tblHeader w:val="0"/>
        </w:trPr>
        <w:tc>
          <w:tcPr>
            <w:vMerge w:val="restart"/>
            <w:tcBorders>
              <w:top w:color="000000" w:space="0" w:sz="6" w:val="single"/>
              <w:left w:color="000000" w:space="0" w:sz="0" w:val="nil"/>
              <w:bottom w:color="ffffff" w:space="0" w:sz="6" w:val="single"/>
              <w:right w:color="000000" w:space="0" w:sz="0" w:val="nil"/>
            </w:tcBorders>
            <w:tcMar>
              <w:top w:w="0.0" w:type="dxa"/>
              <w:bottom w:w="0.0" w:type="dxa"/>
            </w:tcMar>
            <w:vAlign w:val="center"/>
          </w:tcPr>
          <w:p w:rsidR="00000000" w:rsidDel="00000000" w:rsidP="00000000" w:rsidRDefault="00000000" w:rsidRPr="00000000" w14:paraId="00000086">
            <w:pPr>
              <w:pBdr>
                <w:bottom w:color="000000" w:space="8" w:sz="0" w:val="none"/>
              </w:pBdr>
              <w:shd w:fill="ffffff" w:val="clear"/>
              <w:tabs>
                <w:tab w:val="left" w:leader="none" w:pos="2500"/>
              </w:tabs>
              <w:spacing w:before="240" w:lineRule="auto"/>
              <w:jc w:val="center"/>
              <w:rPr>
                <w:b w:val="1"/>
                <w:bCs w:val="1"/>
              </w:rPr>
            </w:pPr>
            <w:r w:rsidDel="00000000" w:rsidR="00000000" w:rsidRPr="00000000">
              <w:rPr>
                <w:b w:val="1"/>
                <w:bCs w:val="1"/>
                <w:rtl w:val="0"/>
              </w:rPr>
              <w:t xml:space="preserve">Código da estação</w:t>
            </w:r>
          </w:p>
        </w:tc>
        <w:tc>
          <w:tcPr>
            <w:vMerge w:val="restart"/>
            <w:tcBorders>
              <w:top w:color="000000" w:space="0" w:sz="6" w:val="single"/>
              <w:left w:color="000000" w:space="0" w:sz="0" w:val="nil"/>
              <w:bottom w:color="ffffff" w:space="0" w:sz="6" w:val="single"/>
              <w:right w:color="000000" w:space="0" w:sz="0" w:val="nil"/>
            </w:tcBorders>
            <w:tcMar>
              <w:top w:w="0.0" w:type="dxa"/>
              <w:bottom w:w="0.0" w:type="dxa"/>
            </w:tcMar>
            <w:vAlign w:val="center"/>
          </w:tcPr>
          <w:p w:rsidR="00000000" w:rsidDel="00000000" w:rsidP="00000000" w:rsidRDefault="00000000" w:rsidRPr="00000000" w14:paraId="00000087">
            <w:pPr>
              <w:widowControl w:val="1"/>
              <w:jc w:val="center"/>
              <w:rPr>
                <w:b w:val="1"/>
                <w:bCs w:val="1"/>
              </w:rPr>
            </w:pPr>
            <w:r w:rsidDel="00000000" w:rsidR="00000000" w:rsidRPr="00000000">
              <w:rPr>
                <w:b w:val="1"/>
                <w:bCs w:val="1"/>
                <w:rtl w:val="0"/>
              </w:rPr>
              <w:t xml:space="preserve">Média Anual (mm)</w:t>
            </w:r>
          </w:p>
        </w:tc>
        <w:tc>
          <w:tcPr>
            <w:gridSpan w:val="2"/>
            <w:tcBorders>
              <w:top w:color="000000" w:space="0" w:sz="6" w:val="single"/>
              <w:left w:color="000000" w:space="0" w:sz="0" w:val="nil"/>
              <w:bottom w:color="ffffff" w:space="0" w:sz="6" w:val="single"/>
              <w:right w:color="000000" w:space="0" w:sz="0" w:val="nil"/>
            </w:tcBorders>
            <w:tcMar>
              <w:top w:w="0.0" w:type="dxa"/>
              <w:bottom w:w="0.0" w:type="dxa"/>
            </w:tcMar>
            <w:vAlign w:val="center"/>
          </w:tcPr>
          <w:p w:rsidR="00000000" w:rsidDel="00000000" w:rsidP="00000000" w:rsidRDefault="00000000" w:rsidRPr="00000000" w14:paraId="00000088">
            <w:pPr>
              <w:widowControl w:val="1"/>
              <w:jc w:val="center"/>
              <w:rPr>
                <w:b w:val="1"/>
                <w:bCs w:val="1"/>
              </w:rPr>
            </w:pPr>
            <w:r w:rsidDel="00000000" w:rsidR="00000000" w:rsidRPr="00000000">
              <w:rPr>
                <w:b w:val="1"/>
                <w:bCs w:val="1"/>
                <w:rtl w:val="0"/>
              </w:rPr>
              <w:t xml:space="preserve">Mann-Kendall</w:t>
            </w:r>
          </w:p>
          <w:p w:rsidR="00000000" w:rsidDel="00000000" w:rsidP="00000000" w:rsidRDefault="00000000" w:rsidRPr="00000000" w14:paraId="00000089">
            <w:pPr>
              <w:widowControl w:val="1"/>
              <w:jc w:val="center"/>
              <w:rPr>
                <w:b w:val="1"/>
                <w:bCs w:val="1"/>
              </w:rPr>
            </w:pPr>
            <w:r w:rsidDel="00000000" w:rsidR="00000000" w:rsidRPr="00000000">
              <w:rPr>
                <w:b w:val="1"/>
                <w:bCs w:val="1"/>
                <w:rtl w:val="0"/>
              </w:rPr>
              <w:t xml:space="preserve">(Total precipitado)</w:t>
            </w:r>
          </w:p>
        </w:tc>
        <w:tc>
          <w:tcPr>
            <w:gridSpan w:val="2"/>
            <w:tcBorders>
              <w:top w:color="000000" w:space="0" w:sz="6" w:val="single"/>
              <w:left w:color="000000" w:space="0" w:sz="0" w:val="nil"/>
              <w:bottom w:color="ffffff" w:space="0" w:sz="6" w:val="single"/>
              <w:right w:color="000000" w:space="0" w:sz="0" w:val="nil"/>
            </w:tcBorders>
            <w:tcMar>
              <w:top w:w="0.0" w:type="dxa"/>
              <w:bottom w:w="0.0" w:type="dxa"/>
            </w:tcMar>
            <w:vAlign w:val="center"/>
          </w:tcPr>
          <w:p w:rsidR="00000000" w:rsidDel="00000000" w:rsidP="00000000" w:rsidRDefault="00000000" w:rsidRPr="00000000" w14:paraId="0000008B">
            <w:pPr>
              <w:widowControl w:val="1"/>
              <w:jc w:val="center"/>
              <w:rPr>
                <w:b w:val="1"/>
                <w:bCs w:val="1"/>
              </w:rPr>
            </w:pPr>
            <w:r w:rsidDel="00000000" w:rsidR="00000000" w:rsidRPr="00000000">
              <w:rPr>
                <w:b w:val="1"/>
                <w:bCs w:val="1"/>
                <w:rtl w:val="0"/>
              </w:rPr>
              <w:t xml:space="preserve">Mann-Kendall</w:t>
            </w:r>
          </w:p>
          <w:p w:rsidR="00000000" w:rsidDel="00000000" w:rsidP="00000000" w:rsidRDefault="00000000" w:rsidRPr="00000000" w14:paraId="0000008C">
            <w:pPr>
              <w:widowControl w:val="1"/>
              <w:jc w:val="center"/>
              <w:rPr>
                <w:b w:val="1"/>
                <w:bCs w:val="1"/>
              </w:rPr>
            </w:pPr>
            <w:r w:rsidDel="00000000" w:rsidR="00000000" w:rsidRPr="00000000">
              <w:rPr>
                <w:b w:val="1"/>
                <w:bCs w:val="1"/>
                <w:rtl w:val="0"/>
              </w:rPr>
              <w:t xml:space="preserve">(Dias secos)</w:t>
            </w:r>
          </w:p>
        </w:tc>
      </w:tr>
      <w:tr>
        <w:trPr>
          <w:cantSplit w:val="0"/>
          <w:trHeight w:val="57" w:hRule="atLeast"/>
          <w:tblHeader w:val="0"/>
        </w:trPr>
        <w:tc>
          <w:tcPr>
            <w:vMerge w:val="continue"/>
            <w:tcBorders>
              <w:top w:color="000000" w:space="0" w:sz="6" w:val="single"/>
              <w:left w:color="000000" w:space="0" w:sz="0" w:val="nil"/>
              <w:bottom w:color="ffffff" w:space="0" w:sz="6" w:val="single"/>
              <w:right w:color="000000" w:space="0" w:sz="0" w:val="nil"/>
            </w:tcBorders>
            <w:tcMar>
              <w:top w:w="0.0" w:type="dxa"/>
              <w:bottom w:w="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6" w:val="single"/>
              <w:left w:color="000000" w:space="0" w:sz="0" w:val="nil"/>
              <w:bottom w:color="ffffff" w:space="0" w:sz="6" w:val="single"/>
              <w:right w:color="000000" w:space="0" w:sz="0" w:val="nil"/>
            </w:tcBorders>
            <w:tcMar>
              <w:top w:w="0.0" w:type="dxa"/>
              <w:bottom w:w="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top w:color="ffffff" w:space="0" w:sz="6" w:val="single"/>
              <w:left w:color="000000" w:space="0" w:sz="0" w:val="nil"/>
              <w:bottom w:color="000000" w:space="0" w:sz="6" w:val="single"/>
              <w:right w:color="000000" w:space="0" w:sz="0" w:val="nil"/>
            </w:tcBorders>
            <w:tcMar>
              <w:top w:w="0.0" w:type="dxa"/>
              <w:bottom w:w="0.0" w:type="dxa"/>
            </w:tcMar>
            <w:vAlign w:val="center"/>
          </w:tcPr>
          <w:p w:rsidR="00000000" w:rsidDel="00000000" w:rsidP="00000000" w:rsidRDefault="00000000" w:rsidRPr="00000000" w14:paraId="00000090">
            <w:pPr>
              <w:pBdr>
                <w:bottom w:color="000000" w:space="8" w:sz="0" w:val="none"/>
              </w:pBdr>
              <w:shd w:fill="ffffff" w:val="clear"/>
              <w:tabs>
                <w:tab w:val="left" w:leader="none" w:pos="2500"/>
              </w:tabs>
              <w:spacing w:before="240" w:lineRule="auto"/>
              <w:jc w:val="center"/>
              <w:rPr>
                <w:b w:val="1"/>
                <w:bCs w:val="1"/>
              </w:rPr>
            </w:pPr>
            <w:r w:rsidDel="00000000" w:rsidR="00000000" w:rsidRPr="00000000">
              <w:rPr>
                <w:b w:val="1"/>
                <w:bCs w:val="1"/>
                <w:rtl w:val="0"/>
              </w:rPr>
              <w:t xml:space="preserve">S</w:t>
            </w:r>
          </w:p>
        </w:tc>
        <w:tc>
          <w:tcPr>
            <w:tcBorders>
              <w:top w:color="ffffff" w:space="0" w:sz="6" w:val="single"/>
              <w:left w:color="000000" w:space="0" w:sz="0" w:val="nil"/>
              <w:bottom w:color="000000" w:space="0" w:sz="6" w:val="single"/>
              <w:right w:color="000000" w:space="0" w:sz="0" w:val="nil"/>
            </w:tcBorders>
            <w:tcMar>
              <w:top w:w="0.0" w:type="dxa"/>
              <w:bottom w:w="0.0" w:type="dxa"/>
            </w:tcMar>
            <w:vAlign w:val="center"/>
          </w:tcPr>
          <w:p w:rsidR="00000000" w:rsidDel="00000000" w:rsidP="00000000" w:rsidRDefault="00000000" w:rsidRPr="00000000" w14:paraId="00000091">
            <w:pPr>
              <w:pBdr>
                <w:bottom w:color="000000" w:space="8" w:sz="0" w:val="none"/>
              </w:pBdr>
              <w:shd w:fill="ffffff" w:val="clear"/>
              <w:tabs>
                <w:tab w:val="left" w:leader="none" w:pos="2500"/>
              </w:tabs>
              <w:spacing w:before="240" w:lineRule="auto"/>
              <w:jc w:val="center"/>
              <w:rPr>
                <w:b w:val="1"/>
                <w:bCs w:val="1"/>
              </w:rPr>
            </w:pPr>
            <w:r w:rsidDel="00000000" w:rsidR="00000000" w:rsidRPr="00000000">
              <w:rPr>
                <w:b w:val="1"/>
                <w:bCs w:val="1"/>
                <w:rtl w:val="0"/>
              </w:rPr>
              <w:t xml:space="preserve">ZMK</w:t>
            </w:r>
          </w:p>
        </w:tc>
        <w:tc>
          <w:tcPr>
            <w:tcBorders>
              <w:top w:color="ffffff" w:space="0" w:sz="6" w:val="single"/>
              <w:left w:color="000000" w:space="0" w:sz="0" w:val="nil"/>
              <w:bottom w:color="000000" w:space="0" w:sz="6" w:val="single"/>
              <w:right w:color="000000" w:space="0" w:sz="0" w:val="nil"/>
            </w:tcBorders>
            <w:tcMar>
              <w:top w:w="0.0" w:type="dxa"/>
              <w:bottom w:w="0.0" w:type="dxa"/>
            </w:tcMar>
            <w:vAlign w:val="center"/>
          </w:tcPr>
          <w:p w:rsidR="00000000" w:rsidDel="00000000" w:rsidP="00000000" w:rsidRDefault="00000000" w:rsidRPr="00000000" w14:paraId="00000092">
            <w:pPr>
              <w:pBdr>
                <w:bottom w:color="000000" w:space="8" w:sz="0" w:val="none"/>
              </w:pBdr>
              <w:shd w:fill="ffffff" w:val="clear"/>
              <w:tabs>
                <w:tab w:val="left" w:leader="none" w:pos="2500"/>
              </w:tabs>
              <w:spacing w:before="240" w:lineRule="auto"/>
              <w:jc w:val="center"/>
              <w:rPr>
                <w:b w:val="1"/>
                <w:bCs w:val="1"/>
              </w:rPr>
            </w:pPr>
            <w:r w:rsidDel="00000000" w:rsidR="00000000" w:rsidRPr="00000000">
              <w:rPr>
                <w:b w:val="1"/>
                <w:bCs w:val="1"/>
                <w:rtl w:val="0"/>
              </w:rPr>
              <w:t xml:space="preserve">S</w:t>
            </w:r>
          </w:p>
        </w:tc>
        <w:tc>
          <w:tcPr>
            <w:tcBorders>
              <w:top w:color="ffffff" w:space="0" w:sz="6" w:val="single"/>
              <w:left w:color="000000" w:space="0" w:sz="0" w:val="nil"/>
              <w:bottom w:color="000000" w:space="0" w:sz="6" w:val="single"/>
              <w:right w:color="000000" w:space="0" w:sz="0" w:val="nil"/>
            </w:tcBorders>
            <w:tcMar>
              <w:top w:w="0.0" w:type="dxa"/>
              <w:bottom w:w="0.0" w:type="dxa"/>
            </w:tcMar>
            <w:vAlign w:val="center"/>
          </w:tcPr>
          <w:p w:rsidR="00000000" w:rsidDel="00000000" w:rsidP="00000000" w:rsidRDefault="00000000" w:rsidRPr="00000000" w14:paraId="00000093">
            <w:pPr>
              <w:pBdr>
                <w:bottom w:color="000000" w:space="8" w:sz="0" w:val="none"/>
              </w:pBdr>
              <w:shd w:fill="ffffff" w:val="clear"/>
              <w:tabs>
                <w:tab w:val="left" w:leader="none" w:pos="2500"/>
              </w:tabs>
              <w:spacing w:before="240" w:lineRule="auto"/>
              <w:jc w:val="center"/>
              <w:rPr>
                <w:b w:val="1"/>
                <w:bCs w:val="1"/>
              </w:rPr>
            </w:pPr>
            <w:r w:rsidDel="00000000" w:rsidR="00000000" w:rsidRPr="00000000">
              <w:rPr>
                <w:b w:val="1"/>
                <w:bCs w:val="1"/>
                <w:rtl w:val="0"/>
              </w:rPr>
              <w:t xml:space="preserve">ZMK</w:t>
            </w:r>
          </w:p>
        </w:tc>
      </w:tr>
      <w:tr>
        <w:trPr>
          <w:cantSplit w:val="0"/>
          <w:trHeight w:val="57" w:hRule="atLeast"/>
          <w:tblHeader w:val="0"/>
        </w:trPr>
        <w:tc>
          <w:tcPr>
            <w:tcBorders>
              <w:top w:color="000000" w:space="0" w:sz="6" w:val="single"/>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94">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548000</w:t>
            </w:r>
          </w:p>
        </w:tc>
        <w:tc>
          <w:tcPr>
            <w:tcBorders>
              <w:top w:color="000000" w:space="0" w:sz="6" w:val="single"/>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95">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1383,33</w:t>
            </w:r>
          </w:p>
        </w:tc>
        <w:tc>
          <w:tcPr>
            <w:tcBorders>
              <w:top w:color="000000" w:space="0" w:sz="6" w:val="single"/>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96">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-45</w:t>
            </w:r>
          </w:p>
        </w:tc>
        <w:tc>
          <w:tcPr>
            <w:tcBorders>
              <w:top w:color="000000" w:space="0" w:sz="6" w:val="single"/>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97">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-0,40</w:t>
            </w:r>
          </w:p>
        </w:tc>
        <w:tc>
          <w:tcPr>
            <w:tcBorders>
              <w:top w:color="000000" w:space="0" w:sz="6" w:val="single"/>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98">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6</w:t>
            </w:r>
          </w:p>
        </w:tc>
        <w:tc>
          <w:tcPr>
            <w:tcBorders>
              <w:top w:color="000000" w:space="0" w:sz="6" w:val="single"/>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99">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0,04</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9A">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647001</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9B">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1393,60</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9C">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-251</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9D">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-2,4</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9E">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444</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9F">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4,19</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0">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648000</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1">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1560,27</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2">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14</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3">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0,22</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4">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-71</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5">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-1,19</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6">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648001</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7">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1401,97</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8">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67</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9">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0,60</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A">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-60</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B">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-0,80</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C">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649003</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D">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1393,24</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E">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-65</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AF">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-0,91</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0">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-52</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1">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-0,72</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2">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748001</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3">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1566,13</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4">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66</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5">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1,05</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6">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-33</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7">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-0,52</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8">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748002</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9">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1526,37</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A">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136</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B">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1,16</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C">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-252</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D">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-2,16</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E">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748003</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BF">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1639,65</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0">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-369</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1">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-3,37</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2">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175</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3">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1,59</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4">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749000</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5">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1653,99</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6">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221</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7">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2,02</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8">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-202</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9">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-1,84</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A">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749001</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B">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1500,04</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C">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133</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D">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1,59</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E">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-90</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CF">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-1,07</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D0">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848000</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D1">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1634,49</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D2">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187</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D3">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1,55</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D4">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-160</w:t>
            </w:r>
          </w:p>
        </w:tc>
        <w:tc>
          <w:tcPr>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D5">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-1,33</w:t>
            </w:r>
          </w:p>
        </w:tc>
      </w:tr>
      <w:tr>
        <w:trPr>
          <w:cantSplit w:val="0"/>
          <w:trHeight w:val="57" w:hRule="atLeast"/>
          <w:tblHeader w:val="0"/>
        </w:trPr>
        <w:tc>
          <w:tcPr>
            <w:tcBorders>
              <w:top w:color="000000" w:space="0" w:sz="0" w:val="nil"/>
              <w:left w:color="000000" w:space="0" w:sz="0" w:val="nil"/>
              <w:bottom w:color="000000" w:space="0" w:sz="6" w:val="single"/>
              <w:right w:color="000000" w:space="0" w:sz="0" w:val="nil"/>
            </w:tcBorders>
            <w:tcMar>
              <w:top w:w="0.0" w:type="dxa"/>
              <w:bottom w:w="0.0" w:type="dxa"/>
            </w:tcMar>
            <w:vAlign w:val="center"/>
          </w:tcPr>
          <w:p w:rsidR="00000000" w:rsidDel="00000000" w:rsidP="00000000" w:rsidRDefault="00000000" w:rsidRPr="00000000" w14:paraId="000000D6">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848002</w:t>
            </w:r>
          </w:p>
        </w:tc>
        <w:tc>
          <w:tcPr>
            <w:tcBorders>
              <w:top w:color="000000" w:space="0" w:sz="0" w:val="nil"/>
              <w:left w:color="000000" w:space="0" w:sz="0" w:val="nil"/>
              <w:bottom w:color="000000" w:space="0" w:sz="6" w:val="single"/>
              <w:right w:color="000000" w:space="0" w:sz="0" w:val="nil"/>
            </w:tcBorders>
            <w:tcMar>
              <w:top w:w="0.0" w:type="dxa"/>
              <w:bottom w:w="0.0" w:type="dxa"/>
            </w:tcMar>
            <w:vAlign w:val="center"/>
          </w:tcPr>
          <w:p w:rsidR="00000000" w:rsidDel="00000000" w:rsidP="00000000" w:rsidRDefault="00000000" w:rsidRPr="00000000" w14:paraId="000000D7">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1712,92</w:t>
            </w:r>
          </w:p>
        </w:tc>
        <w:tc>
          <w:tcPr>
            <w:tcBorders>
              <w:top w:color="000000" w:space="0" w:sz="0" w:val="nil"/>
              <w:left w:color="000000" w:space="0" w:sz="0" w:val="nil"/>
              <w:bottom w:color="000000" w:space="0" w:sz="6" w:val="single"/>
              <w:right w:color="000000" w:space="0" w:sz="0" w:val="nil"/>
            </w:tcBorders>
            <w:tcMar>
              <w:top w:w="0.0" w:type="dxa"/>
              <w:bottom w:w="0.0" w:type="dxa"/>
            </w:tcMar>
            <w:vAlign w:val="center"/>
          </w:tcPr>
          <w:p w:rsidR="00000000" w:rsidDel="00000000" w:rsidP="00000000" w:rsidRDefault="00000000" w:rsidRPr="00000000" w14:paraId="000000D8">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30</w:t>
            </w:r>
          </w:p>
        </w:tc>
        <w:tc>
          <w:tcPr>
            <w:tcBorders>
              <w:top w:color="000000" w:space="0" w:sz="0" w:val="nil"/>
              <w:left w:color="000000" w:space="0" w:sz="0" w:val="nil"/>
              <w:bottom w:color="000000" w:space="0" w:sz="6" w:val="single"/>
              <w:right w:color="000000" w:space="0" w:sz="0" w:val="nil"/>
            </w:tcBorders>
            <w:tcMar>
              <w:top w:w="0.0" w:type="dxa"/>
              <w:bottom w:w="0.0" w:type="dxa"/>
            </w:tcMar>
            <w:vAlign w:val="center"/>
          </w:tcPr>
          <w:p w:rsidR="00000000" w:rsidDel="00000000" w:rsidP="00000000" w:rsidRDefault="00000000" w:rsidRPr="00000000" w14:paraId="000000D9">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2,58</w:t>
            </w:r>
          </w:p>
        </w:tc>
        <w:tc>
          <w:tcPr>
            <w:tcBorders>
              <w:top w:color="000000" w:space="0" w:sz="0" w:val="nil"/>
              <w:left w:color="000000" w:space="0" w:sz="0" w:val="nil"/>
              <w:bottom w:color="000000" w:space="0" w:sz="6" w:val="single"/>
              <w:right w:color="000000" w:space="0" w:sz="0" w:val="nil"/>
            </w:tcBorders>
            <w:tcMar>
              <w:top w:w="0.0" w:type="dxa"/>
              <w:bottom w:w="0.0" w:type="dxa"/>
            </w:tcMar>
            <w:vAlign w:val="center"/>
          </w:tcPr>
          <w:p w:rsidR="00000000" w:rsidDel="00000000" w:rsidP="00000000" w:rsidRDefault="00000000" w:rsidRPr="00000000" w14:paraId="000000DA">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-185</w:t>
            </w:r>
          </w:p>
        </w:tc>
        <w:tc>
          <w:tcPr>
            <w:tcBorders>
              <w:top w:color="000000" w:space="0" w:sz="0" w:val="nil"/>
              <w:left w:color="000000" w:space="0" w:sz="0" w:val="nil"/>
              <w:bottom w:color="000000" w:space="0" w:sz="6" w:val="single"/>
              <w:right w:color="000000" w:space="0" w:sz="0" w:val="nil"/>
            </w:tcBorders>
            <w:tcMar>
              <w:top w:w="0.0" w:type="dxa"/>
              <w:bottom w:w="0.0" w:type="dxa"/>
            </w:tcMar>
            <w:vAlign w:val="center"/>
          </w:tcPr>
          <w:p w:rsidR="00000000" w:rsidDel="00000000" w:rsidP="00000000" w:rsidRDefault="00000000" w:rsidRPr="00000000" w14:paraId="000000DB">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-1,59</w:t>
            </w:r>
          </w:p>
        </w:tc>
      </w:tr>
    </w:tbl>
    <w:p w:rsidR="00000000" w:rsidDel="00000000" w:rsidP="00000000" w:rsidRDefault="00000000" w:rsidRPr="00000000" w14:paraId="000000DC">
      <w:pPr>
        <w:widowControl w:val="1"/>
        <w:spacing w:after="200" w:lineRule="auto"/>
        <w:jc w:val="both"/>
        <w:rPr/>
      </w:pPr>
      <w:r w:rsidDel="00000000" w:rsidR="00000000" w:rsidRPr="00000000">
        <w:rPr>
          <w:rtl w:val="0"/>
        </w:rPr>
        <w:t xml:space="preserve">Fonte: Autor, (2025). Nota:</w:t>
      </w:r>
      <w:r w:rsidDel="00000000" w:rsidR="00000000" w:rsidRPr="00000000">
        <w:rPr>
          <w:b w:val="1"/>
          <w:bCs w:val="1"/>
          <w:rtl w:val="0"/>
        </w:rPr>
        <w:t xml:space="preserve"> </w:t>
      </w:r>
      <w:r w:rsidDel="00000000" w:rsidR="00000000" w:rsidRPr="00000000">
        <w:rPr>
          <w:rtl w:val="0"/>
        </w:rPr>
        <w:t xml:space="preserve">p&lt;0,05 foram considerados estatisticamente significantes. </w:t>
      </w:r>
    </w:p>
    <w:p w:rsidR="00000000" w:rsidDel="00000000" w:rsidP="00000000" w:rsidRDefault="00000000" w:rsidRPr="00000000" w14:paraId="000000DD">
      <w:pPr>
        <w:widowControl w:val="1"/>
        <w:spacing w:line="360" w:lineRule="auto"/>
        <w:ind w:firstLine="708"/>
        <w:jc w:val="both"/>
        <w:rPr>
          <w:sz w:val="24"/>
          <w:szCs w:val="24"/>
        </w:rPr>
      </w:pPr>
      <w:r w:rsidDel="00000000" w:rsidR="00000000" w:rsidRPr="00000000">
        <w:rPr>
          <w:sz w:val="24"/>
          <w:szCs w:val="24"/>
          <w:rtl w:val="0"/>
        </w:rPr>
        <w:tab/>
        <w:t xml:space="preserve">Os resultados do teste de Mann-Kendall para o mês de outubro indicam tendência negativa do total de precipitação e tendência positiva do total de dias secos, evidenciando mudanças consistentes no regime da chuva no início da estação chuvosa da região estudada. Em mais de 80% das estações analisadas, o sinal negativo e significativo (p &lt; 0,05) para o total precipitação sugere redução progressiva da precipitação, especialmente nas estações 647001, 648001, 749001, 848000 e 848002. Paralelamente, observa-se aumento estatisticamente significativo no total de dias secos em diversas localidades, confirmando maior persistência de condições secas durante o mês que marca a transição entre a estação seca a chuvosa. Essa relação inversa entre as variáveis, redução da precipitação e aumento de dias secos, reforça a hipótese de atraso no início da estação chuvosa e intensificação da estação seca de transição na porção Amazônica do Tocantins.</w:t>
      </w:r>
    </w:p>
    <w:p w:rsidR="00000000" w:rsidDel="00000000" w:rsidP="00000000" w:rsidRDefault="00000000" w:rsidRPr="00000000" w14:paraId="000000DE">
      <w:pPr>
        <w:widowControl w:val="1"/>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DF">
      <w:pPr>
        <w:widowControl w:val="1"/>
        <w:jc w:val="both"/>
        <w:rPr>
          <w:sz w:val="24"/>
          <w:szCs w:val="24"/>
        </w:rPr>
      </w:pPr>
      <w:r w:rsidDel="00000000" w:rsidR="00000000" w:rsidRPr="00000000">
        <w:rPr>
          <w:sz w:val="24"/>
          <w:szCs w:val="24"/>
          <w:rtl w:val="0"/>
        </w:rPr>
        <w:t xml:space="preserve">Tabela 3</w:t>
      </w:r>
      <w:r w:rsidDel="00000000" w:rsidR="00000000" w:rsidRPr="00000000">
        <w:rPr>
          <w:b w:val="1"/>
          <w:bCs w:val="1"/>
          <w:sz w:val="24"/>
          <w:szCs w:val="24"/>
          <w:rtl w:val="0"/>
        </w:rPr>
        <w:t xml:space="preserve"> – </w:t>
      </w:r>
      <w:r w:rsidDel="00000000" w:rsidR="00000000" w:rsidRPr="00000000">
        <w:rPr>
          <w:sz w:val="24"/>
          <w:szCs w:val="24"/>
          <w:rtl w:val="0"/>
        </w:rPr>
        <w:t xml:space="preserve">Tendência do total de precipitação e dias secos em outubro nas estações da porção Amazônica do Tocantins.</w:t>
      </w:r>
    </w:p>
    <w:tbl>
      <w:tblPr>
        <w:tblStyle w:val="Table3"/>
        <w:tblW w:w="9077.0" w:type="dxa"/>
        <w:jc w:val="left"/>
        <w:tblLayout w:type="fixed"/>
        <w:tblLook w:val="0600"/>
      </w:tblPr>
      <w:tblGrid>
        <w:gridCol w:w="1664"/>
        <w:gridCol w:w="1431"/>
        <w:gridCol w:w="1431"/>
        <w:gridCol w:w="1719"/>
        <w:gridCol w:w="935"/>
        <w:gridCol w:w="1897"/>
        <w:tblGridChange w:id="0">
          <w:tblGrid>
            <w:gridCol w:w="1664"/>
            <w:gridCol w:w="1431"/>
            <w:gridCol w:w="1431"/>
            <w:gridCol w:w="1719"/>
            <w:gridCol w:w="935"/>
            <w:gridCol w:w="1897"/>
          </w:tblGrid>
        </w:tblGridChange>
      </w:tblGrid>
      <w:tr>
        <w:trPr>
          <w:cantSplit w:val="0"/>
          <w:trHeight w:val="746" w:hRule="atLeast"/>
          <w:tblHeader w:val="0"/>
        </w:trPr>
        <w:tc>
          <w:tcPr>
            <w:vMerge w:val="restart"/>
            <w:tcBorders>
              <w:top w:color="000000" w:space="0" w:sz="8" w:val="single"/>
              <w:left w:color="000000" w:space="0" w:sz="0" w:val="nil"/>
              <w:bottom w:color="000000" w:space="0" w:sz="0" w:val="nil"/>
              <w:right w:color="000000" w:space="0" w:sz="0" w:val="nil"/>
            </w:tcBorders>
            <w:tcMar>
              <w:top w:w="0.0" w:type="dxa"/>
              <w:bottom w:w="0.0" w:type="dxa"/>
            </w:tcMar>
            <w:vAlign w:val="center"/>
          </w:tcPr>
          <w:p w:rsidR="00000000" w:rsidDel="00000000" w:rsidP="00000000" w:rsidRDefault="00000000" w:rsidRPr="00000000" w14:paraId="000000E0">
            <w:pPr>
              <w:pBdr>
                <w:bottom w:color="000000" w:space="8" w:sz="0" w:val="none"/>
              </w:pBdr>
              <w:shd w:fill="ffffff" w:val="clear"/>
              <w:tabs>
                <w:tab w:val="left" w:leader="none" w:pos="2500"/>
              </w:tabs>
              <w:spacing w:before="240" w:line="276" w:lineRule="auto"/>
              <w:jc w:val="center"/>
              <w:rPr>
                <w:b w:val="1"/>
                <w:bCs w:val="1"/>
              </w:rPr>
            </w:pPr>
            <w:r w:rsidDel="00000000" w:rsidR="00000000" w:rsidRPr="00000000">
              <w:rPr>
                <w:b w:val="1"/>
                <w:bCs w:val="1"/>
                <w:rtl w:val="0"/>
              </w:rPr>
              <w:t xml:space="preserve">Código da estação</w:t>
            </w:r>
          </w:p>
        </w:tc>
        <w:tc>
          <w:tcPr>
            <w:vMerge w:val="restart"/>
            <w:tcBorders>
              <w:top w:color="000000" w:space="0" w:sz="8" w:val="single"/>
              <w:left w:color="000000" w:space="0" w:sz="0" w:val="nil"/>
              <w:bottom w:color="000000" w:space="0" w:sz="0" w:val="nil"/>
              <w:right w:color="000000" w:space="0" w:sz="0" w:val="nil"/>
            </w:tcBorders>
            <w:tcMar>
              <w:top w:w="0.0" w:type="dxa"/>
              <w:bottom w:w="0.0" w:type="dxa"/>
            </w:tcMar>
            <w:vAlign w:val="center"/>
          </w:tcPr>
          <w:p w:rsidR="00000000" w:rsidDel="00000000" w:rsidP="00000000" w:rsidRDefault="00000000" w:rsidRPr="00000000" w14:paraId="000000E1">
            <w:pPr>
              <w:widowControl w:val="1"/>
              <w:jc w:val="center"/>
              <w:rPr>
                <w:b w:val="1"/>
                <w:bCs w:val="1"/>
              </w:rPr>
            </w:pPr>
            <w:r w:rsidDel="00000000" w:rsidR="00000000" w:rsidRPr="00000000">
              <w:rPr>
                <w:b w:val="1"/>
                <w:bCs w:val="1"/>
                <w:rtl w:val="0"/>
              </w:rPr>
              <w:t xml:space="preserve">Média Anual (mm)</w:t>
            </w:r>
          </w:p>
        </w:tc>
        <w:tc>
          <w:tcPr>
            <w:gridSpan w:val="2"/>
            <w:tcBorders>
              <w:top w:color="000000" w:space="0" w:sz="8" w:val="single"/>
              <w:left w:color="000000" w:space="0" w:sz="0" w:val="nil"/>
              <w:bottom w:color="000000" w:space="0" w:sz="0" w:val="nil"/>
              <w:right w:color="000000" w:space="0" w:sz="0" w:val="nil"/>
            </w:tcBorders>
            <w:tcMar>
              <w:top w:w="0.0" w:type="dxa"/>
              <w:bottom w:w="0.0" w:type="dxa"/>
            </w:tcMar>
            <w:vAlign w:val="center"/>
          </w:tcPr>
          <w:p w:rsidR="00000000" w:rsidDel="00000000" w:rsidP="00000000" w:rsidRDefault="00000000" w:rsidRPr="00000000" w14:paraId="000000E2">
            <w:pPr>
              <w:widowControl w:val="1"/>
              <w:jc w:val="center"/>
              <w:rPr>
                <w:b w:val="1"/>
                <w:bCs w:val="1"/>
              </w:rPr>
            </w:pPr>
            <w:r w:rsidDel="00000000" w:rsidR="00000000" w:rsidRPr="00000000">
              <w:rPr>
                <w:b w:val="1"/>
                <w:bCs w:val="1"/>
                <w:rtl w:val="0"/>
              </w:rPr>
              <w:t xml:space="preserve">Mann-Kendall</w:t>
            </w:r>
          </w:p>
          <w:p w:rsidR="00000000" w:rsidDel="00000000" w:rsidP="00000000" w:rsidRDefault="00000000" w:rsidRPr="00000000" w14:paraId="000000E3">
            <w:pPr>
              <w:widowControl w:val="1"/>
              <w:jc w:val="center"/>
              <w:rPr>
                <w:b w:val="1"/>
                <w:bCs w:val="1"/>
              </w:rPr>
            </w:pPr>
            <w:r w:rsidDel="00000000" w:rsidR="00000000" w:rsidRPr="00000000">
              <w:rPr>
                <w:b w:val="1"/>
                <w:bCs w:val="1"/>
                <w:rtl w:val="0"/>
              </w:rPr>
              <w:t xml:space="preserve">(Total precipitado)</w:t>
            </w:r>
          </w:p>
        </w:tc>
        <w:tc>
          <w:tcPr>
            <w:gridSpan w:val="2"/>
            <w:tcBorders>
              <w:top w:color="000000" w:space="0" w:sz="8" w:val="single"/>
              <w:left w:color="000000" w:space="0" w:sz="0" w:val="nil"/>
              <w:bottom w:color="000000" w:space="0" w:sz="0" w:val="nil"/>
              <w:right w:color="000000" w:space="0" w:sz="0" w:val="nil"/>
            </w:tcBorders>
            <w:tcMar>
              <w:top w:w="0.0" w:type="dxa"/>
              <w:bottom w:w="0.0" w:type="dxa"/>
            </w:tcMar>
            <w:vAlign w:val="center"/>
          </w:tcPr>
          <w:p w:rsidR="00000000" w:rsidDel="00000000" w:rsidP="00000000" w:rsidRDefault="00000000" w:rsidRPr="00000000" w14:paraId="000000E5">
            <w:pPr>
              <w:widowControl w:val="1"/>
              <w:jc w:val="center"/>
              <w:rPr>
                <w:b w:val="1"/>
                <w:bCs w:val="1"/>
              </w:rPr>
            </w:pPr>
            <w:r w:rsidDel="00000000" w:rsidR="00000000" w:rsidRPr="00000000">
              <w:rPr>
                <w:b w:val="1"/>
                <w:bCs w:val="1"/>
                <w:rtl w:val="0"/>
              </w:rPr>
              <w:t xml:space="preserve">Mann-Kendall</w:t>
            </w:r>
          </w:p>
          <w:p w:rsidR="00000000" w:rsidDel="00000000" w:rsidP="00000000" w:rsidRDefault="00000000" w:rsidRPr="00000000" w14:paraId="000000E6">
            <w:pPr>
              <w:widowControl w:val="1"/>
              <w:jc w:val="center"/>
              <w:rPr>
                <w:b w:val="1"/>
                <w:bCs w:val="1"/>
              </w:rPr>
            </w:pPr>
            <w:r w:rsidDel="00000000" w:rsidR="00000000" w:rsidRPr="00000000">
              <w:rPr>
                <w:b w:val="1"/>
                <w:bCs w:val="1"/>
                <w:rtl w:val="0"/>
              </w:rPr>
              <w:t xml:space="preserve">(Dias secos)</w:t>
            </w:r>
          </w:p>
        </w:tc>
      </w:tr>
      <w:tr>
        <w:trPr>
          <w:cantSplit w:val="0"/>
          <w:trHeight w:val="746" w:hRule="atLeast"/>
          <w:tblHeader w:val="0"/>
        </w:trPr>
        <w:tc>
          <w:tcPr>
            <w:vMerge w:val="continue"/>
            <w:tcBorders>
              <w:top w:color="000000" w:space="0" w:sz="8" w:val="single"/>
              <w:left w:color="000000" w:space="0" w:sz="0" w:val="nil"/>
              <w:bottom w:color="000000" w:space="0" w:sz="0" w:val="nil"/>
              <w:right w:color="000000" w:space="0" w:sz="0" w:val="nil"/>
            </w:tcBorders>
            <w:tcMar>
              <w:top w:w="0.0" w:type="dxa"/>
              <w:bottom w:w="0.0" w:type="dxa"/>
            </w:tcM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8" w:val="single"/>
              <w:left w:color="000000" w:space="0" w:sz="0" w:val="nil"/>
              <w:bottom w:color="000000" w:space="0" w:sz="0" w:val="nil"/>
              <w:right w:color="000000" w:space="0" w:sz="0" w:val="nil"/>
            </w:tcBorders>
            <w:tcMar>
              <w:top w:w="0.0" w:type="dxa"/>
              <w:bottom w:w="0.0" w:type="dxa"/>
            </w:tcM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0.0" w:type="dxa"/>
              <w:bottom w:w="0.0" w:type="dxa"/>
            </w:tcMar>
            <w:vAlign w:val="center"/>
          </w:tcPr>
          <w:p w:rsidR="00000000" w:rsidDel="00000000" w:rsidP="00000000" w:rsidRDefault="00000000" w:rsidRPr="00000000" w14:paraId="000000EA">
            <w:pPr>
              <w:pBdr>
                <w:bottom w:color="000000" w:space="8" w:sz="0" w:val="none"/>
              </w:pBdr>
              <w:shd w:fill="ffffff" w:val="clear"/>
              <w:tabs>
                <w:tab w:val="left" w:leader="none" w:pos="2500"/>
              </w:tabs>
              <w:spacing w:before="240" w:line="276" w:lineRule="auto"/>
              <w:jc w:val="center"/>
              <w:rPr>
                <w:b w:val="1"/>
                <w:bCs w:val="1"/>
              </w:rPr>
            </w:pPr>
            <w:r w:rsidDel="00000000" w:rsidR="00000000" w:rsidRPr="00000000">
              <w:rPr>
                <w:b w:val="1"/>
                <w:bCs w:val="1"/>
                <w:rtl w:val="0"/>
              </w:rPr>
              <w:t xml:space="preserve">S</w:t>
            </w:r>
          </w:p>
        </w:tc>
        <w:tc>
          <w:tcPr>
            <w:tcBorders>
              <w:top w:color="000000" w:space="0" w:sz="0" w:val="nil"/>
              <w:left w:color="000000" w:space="0" w:sz="0" w:val="nil"/>
              <w:bottom w:color="000000" w:space="0" w:sz="8" w:val="single"/>
              <w:right w:color="000000" w:space="0" w:sz="0" w:val="nil"/>
            </w:tcBorders>
            <w:tcMar>
              <w:top w:w="0.0" w:type="dxa"/>
              <w:bottom w:w="0.0" w:type="dxa"/>
            </w:tcMar>
            <w:vAlign w:val="center"/>
          </w:tcPr>
          <w:p w:rsidR="00000000" w:rsidDel="00000000" w:rsidP="00000000" w:rsidRDefault="00000000" w:rsidRPr="00000000" w14:paraId="000000EB">
            <w:pPr>
              <w:pBdr>
                <w:bottom w:color="000000" w:space="8" w:sz="0" w:val="none"/>
              </w:pBdr>
              <w:shd w:fill="ffffff" w:val="clear"/>
              <w:tabs>
                <w:tab w:val="left" w:leader="none" w:pos="2500"/>
              </w:tabs>
              <w:spacing w:before="240" w:line="276" w:lineRule="auto"/>
              <w:jc w:val="center"/>
              <w:rPr>
                <w:b w:val="1"/>
                <w:bCs w:val="1"/>
              </w:rPr>
            </w:pPr>
            <w:r w:rsidDel="00000000" w:rsidR="00000000" w:rsidRPr="00000000">
              <w:rPr>
                <w:b w:val="1"/>
                <w:bCs w:val="1"/>
                <w:rtl w:val="0"/>
              </w:rPr>
              <w:t xml:space="preserve">ZMK</w:t>
            </w:r>
          </w:p>
        </w:tc>
        <w:tc>
          <w:tcPr>
            <w:tcBorders>
              <w:top w:color="000000" w:space="0" w:sz="0" w:val="nil"/>
              <w:left w:color="000000" w:space="0" w:sz="0" w:val="nil"/>
              <w:bottom w:color="000000" w:space="0" w:sz="8" w:val="single"/>
              <w:right w:color="000000" w:space="0" w:sz="0" w:val="nil"/>
            </w:tcBorders>
            <w:tcMar>
              <w:top w:w="0.0" w:type="dxa"/>
              <w:bottom w:w="0.0" w:type="dxa"/>
            </w:tcMar>
            <w:vAlign w:val="center"/>
          </w:tcPr>
          <w:p w:rsidR="00000000" w:rsidDel="00000000" w:rsidP="00000000" w:rsidRDefault="00000000" w:rsidRPr="00000000" w14:paraId="000000EC">
            <w:pPr>
              <w:pBdr>
                <w:bottom w:color="000000" w:space="8" w:sz="0" w:val="none"/>
              </w:pBdr>
              <w:shd w:fill="ffffff" w:val="clear"/>
              <w:tabs>
                <w:tab w:val="left" w:leader="none" w:pos="2500"/>
              </w:tabs>
              <w:spacing w:before="240" w:line="276" w:lineRule="auto"/>
              <w:jc w:val="center"/>
              <w:rPr>
                <w:b w:val="1"/>
                <w:bCs w:val="1"/>
              </w:rPr>
            </w:pPr>
            <w:r w:rsidDel="00000000" w:rsidR="00000000" w:rsidRPr="00000000">
              <w:rPr>
                <w:b w:val="1"/>
                <w:bCs w:val="1"/>
                <w:rtl w:val="0"/>
              </w:rPr>
              <w:t xml:space="preserve">S</w:t>
            </w:r>
          </w:p>
        </w:tc>
        <w:tc>
          <w:tcPr>
            <w:tcBorders>
              <w:top w:color="000000" w:space="0" w:sz="0" w:val="nil"/>
              <w:left w:color="000000" w:space="0" w:sz="0" w:val="nil"/>
              <w:bottom w:color="000000" w:space="0" w:sz="8" w:val="single"/>
              <w:right w:color="000000" w:space="0" w:sz="0" w:val="nil"/>
            </w:tcBorders>
            <w:tcMar>
              <w:top w:w="0.0" w:type="dxa"/>
              <w:bottom w:w="0.0" w:type="dxa"/>
            </w:tcMar>
            <w:vAlign w:val="center"/>
          </w:tcPr>
          <w:p w:rsidR="00000000" w:rsidDel="00000000" w:rsidP="00000000" w:rsidRDefault="00000000" w:rsidRPr="00000000" w14:paraId="000000ED">
            <w:pPr>
              <w:pBdr>
                <w:bottom w:color="000000" w:space="8" w:sz="0" w:val="none"/>
              </w:pBdr>
              <w:shd w:fill="ffffff" w:val="clear"/>
              <w:tabs>
                <w:tab w:val="left" w:leader="none" w:pos="2500"/>
              </w:tabs>
              <w:spacing w:before="240" w:line="276" w:lineRule="auto"/>
              <w:jc w:val="center"/>
              <w:rPr>
                <w:b w:val="1"/>
                <w:bCs w:val="1"/>
              </w:rPr>
            </w:pPr>
            <w:r w:rsidDel="00000000" w:rsidR="00000000" w:rsidRPr="00000000">
              <w:rPr>
                <w:b w:val="1"/>
                <w:bCs w:val="1"/>
                <w:rtl w:val="0"/>
              </w:rPr>
              <w:t xml:space="preserve">ZMK</w:t>
            </w:r>
          </w:p>
        </w:tc>
      </w:tr>
      <w:tr>
        <w:trPr>
          <w:cantSplit w:val="0"/>
          <w:trHeight w:val="315" w:hRule="atLeast"/>
          <w:tblHeader w:val="0"/>
        </w:trPr>
        <w:tc>
          <w:tcPr>
            <w:tcBorders>
              <w:top w:color="000000" w:space="0" w:sz="8"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EE">
            <w:pPr>
              <w:pBdr>
                <w:bottom w:color="000000" w:space="8" w:sz="0" w:val="none"/>
              </w:pBdr>
              <w:shd w:fill="ffffff" w:val="clear"/>
              <w:tabs>
                <w:tab w:val="left" w:leader="none" w:pos="2500"/>
              </w:tabs>
              <w:spacing w:before="240" w:line="276" w:lineRule="auto"/>
              <w:jc w:val="center"/>
              <w:rPr/>
            </w:pPr>
            <w:r w:rsidDel="00000000" w:rsidR="00000000" w:rsidRPr="00000000">
              <w:rPr>
                <w:rtl w:val="0"/>
              </w:rPr>
              <w:t xml:space="preserve">548000</w:t>
            </w:r>
          </w:p>
        </w:tc>
        <w:tc>
          <w:tcPr>
            <w:tcBorders>
              <w:top w:color="000000" w:space="0" w:sz="8"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EF">
            <w:pPr>
              <w:spacing w:line="276" w:lineRule="auto"/>
              <w:jc w:val="center"/>
              <w:rPr/>
            </w:pPr>
            <w:r w:rsidDel="00000000" w:rsidR="00000000" w:rsidRPr="00000000">
              <w:rPr>
                <w:rtl w:val="0"/>
              </w:rPr>
              <w:t xml:space="preserve">78,97</w:t>
            </w:r>
          </w:p>
        </w:tc>
        <w:tc>
          <w:tcPr>
            <w:tcBorders>
              <w:top w:color="000000" w:space="0" w:sz="8"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0">
            <w:pPr>
              <w:spacing w:line="276" w:lineRule="auto"/>
              <w:jc w:val="center"/>
              <w:rPr/>
            </w:pPr>
            <w:r w:rsidDel="00000000" w:rsidR="00000000" w:rsidRPr="00000000">
              <w:rPr>
                <w:rtl w:val="0"/>
              </w:rPr>
              <w:t xml:space="preserve">-150</w:t>
            </w:r>
          </w:p>
        </w:tc>
        <w:tc>
          <w:tcPr>
            <w:tcBorders>
              <w:top w:color="000000" w:space="0" w:sz="8"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1">
            <w:pPr>
              <w:spacing w:line="276" w:lineRule="auto"/>
              <w:jc w:val="center"/>
              <w:rPr/>
            </w:pPr>
            <w:r w:rsidDel="00000000" w:rsidR="00000000" w:rsidRPr="00000000">
              <w:rPr>
                <w:rtl w:val="0"/>
              </w:rPr>
              <w:t xml:space="preserve">-1,41075462</w:t>
            </w:r>
          </w:p>
        </w:tc>
        <w:tc>
          <w:tcPr>
            <w:tcBorders>
              <w:top w:color="000000" w:space="0" w:sz="8"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2">
            <w:pPr>
              <w:spacing w:line="276" w:lineRule="auto"/>
              <w:jc w:val="center"/>
              <w:rPr/>
            </w:pPr>
            <w:r w:rsidDel="00000000" w:rsidR="00000000" w:rsidRPr="00000000">
              <w:rPr>
                <w:rtl w:val="0"/>
              </w:rPr>
              <w:t xml:space="preserve">103</w:t>
            </w:r>
          </w:p>
        </w:tc>
        <w:tc>
          <w:tcPr>
            <w:tcBorders>
              <w:top w:color="000000" w:space="0" w:sz="8"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3">
            <w:pPr>
              <w:spacing w:line="276" w:lineRule="auto"/>
              <w:jc w:val="center"/>
              <w:rPr/>
            </w:pPr>
            <w:r w:rsidDel="00000000" w:rsidR="00000000" w:rsidRPr="00000000">
              <w:rPr>
                <w:rtl w:val="0"/>
              </w:rPr>
              <w:t xml:space="preserve">0,9663277683</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4">
            <w:pPr>
              <w:pBdr>
                <w:bottom w:color="000000" w:space="8" w:sz="0" w:val="none"/>
              </w:pBdr>
              <w:shd w:fill="ffffff" w:val="clear"/>
              <w:tabs>
                <w:tab w:val="left" w:leader="none" w:pos="2500"/>
              </w:tabs>
              <w:spacing w:before="240" w:line="276" w:lineRule="auto"/>
              <w:jc w:val="center"/>
              <w:rPr/>
            </w:pPr>
            <w:r w:rsidDel="00000000" w:rsidR="00000000" w:rsidRPr="00000000">
              <w:rPr>
                <w:rtl w:val="0"/>
              </w:rPr>
              <w:t xml:space="preserve">647001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5">
            <w:pPr>
              <w:spacing w:line="276" w:lineRule="auto"/>
              <w:jc w:val="center"/>
              <w:rPr/>
            </w:pPr>
            <w:r w:rsidDel="00000000" w:rsidR="00000000" w:rsidRPr="00000000">
              <w:rPr>
                <w:rtl w:val="0"/>
              </w:rPr>
              <w:t xml:space="preserve">103,90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6">
            <w:pPr>
              <w:spacing w:line="276" w:lineRule="auto"/>
              <w:jc w:val="center"/>
              <w:rPr/>
            </w:pPr>
            <w:r w:rsidDel="00000000" w:rsidR="00000000" w:rsidRPr="00000000">
              <w:rPr>
                <w:rtl w:val="0"/>
              </w:rPr>
              <w:t xml:space="preserve">-348</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7">
            <w:pPr>
              <w:spacing w:line="276" w:lineRule="auto"/>
              <w:jc w:val="center"/>
              <w:rPr/>
            </w:pPr>
            <w:r w:rsidDel="00000000" w:rsidR="00000000" w:rsidRPr="00000000">
              <w:rPr>
                <w:rtl w:val="0"/>
              </w:rPr>
              <w:t xml:space="preserve">-3,394505561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8">
            <w:pPr>
              <w:spacing w:line="276" w:lineRule="auto"/>
              <w:jc w:val="center"/>
              <w:rPr/>
            </w:pPr>
            <w:r w:rsidDel="00000000" w:rsidR="00000000" w:rsidRPr="00000000">
              <w:rPr>
                <w:rtl w:val="0"/>
              </w:rPr>
              <w:t xml:space="preserve">301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9">
            <w:pPr>
              <w:spacing w:line="276" w:lineRule="auto"/>
              <w:jc w:val="center"/>
              <w:rPr/>
            </w:pPr>
            <w:r w:rsidDel="00000000" w:rsidR="00000000" w:rsidRPr="00000000">
              <w:rPr>
                <w:rtl w:val="0"/>
              </w:rPr>
              <w:t xml:space="preserve">2,936140159</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A">
            <w:pPr>
              <w:pBdr>
                <w:bottom w:color="000000" w:space="8" w:sz="0" w:val="none"/>
              </w:pBdr>
              <w:shd w:fill="ffffff" w:val="clear"/>
              <w:tabs>
                <w:tab w:val="left" w:leader="none" w:pos="2500"/>
              </w:tabs>
              <w:spacing w:before="240" w:line="276" w:lineRule="auto"/>
              <w:jc w:val="center"/>
              <w:rPr/>
            </w:pPr>
            <w:r w:rsidDel="00000000" w:rsidR="00000000" w:rsidRPr="00000000">
              <w:rPr>
                <w:rtl w:val="0"/>
              </w:rPr>
              <w:t xml:space="preserve">648000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B">
            <w:pPr>
              <w:spacing w:line="276" w:lineRule="auto"/>
              <w:jc w:val="center"/>
              <w:rPr/>
            </w:pPr>
            <w:r w:rsidDel="00000000" w:rsidR="00000000" w:rsidRPr="00000000">
              <w:rPr>
                <w:rtl w:val="0"/>
              </w:rPr>
              <w:t xml:space="preserve">92,95</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C">
            <w:pPr>
              <w:spacing w:line="276" w:lineRule="auto"/>
              <w:jc w:val="center"/>
              <w:rPr/>
            </w:pPr>
            <w:r w:rsidDel="00000000" w:rsidR="00000000" w:rsidRPr="00000000">
              <w:rPr>
                <w:rtl w:val="0"/>
              </w:rPr>
              <w:t xml:space="preserve">-80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D">
            <w:pPr>
              <w:spacing w:line="276" w:lineRule="auto"/>
              <w:jc w:val="center"/>
              <w:rPr/>
            </w:pPr>
            <w:r w:rsidDel="00000000" w:rsidR="00000000" w:rsidRPr="00000000">
              <w:rPr>
                <w:rtl w:val="0"/>
              </w:rPr>
              <w:t xml:space="preserve">-1,409497531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E">
            <w:pPr>
              <w:spacing w:line="276" w:lineRule="auto"/>
              <w:jc w:val="center"/>
              <w:rPr/>
            </w:pPr>
            <w:r w:rsidDel="00000000" w:rsidR="00000000" w:rsidRPr="00000000">
              <w:rPr>
                <w:rtl w:val="0"/>
              </w:rPr>
              <w:t xml:space="preserve">13</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F">
            <w:pPr>
              <w:spacing w:line="276" w:lineRule="auto"/>
              <w:jc w:val="center"/>
              <w:rPr/>
            </w:pPr>
            <w:r w:rsidDel="00000000" w:rsidR="00000000" w:rsidRPr="00000000">
              <w:rPr>
                <w:rtl w:val="0"/>
              </w:rPr>
              <w:t xml:space="preserve">0,2143023244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0">
            <w:pPr>
              <w:pBdr>
                <w:bottom w:color="000000" w:space="8" w:sz="0" w:val="none"/>
              </w:pBdr>
              <w:shd w:fill="ffffff" w:val="clear"/>
              <w:tabs>
                <w:tab w:val="left" w:leader="none" w:pos="2500"/>
              </w:tabs>
              <w:spacing w:before="240" w:line="276" w:lineRule="auto"/>
              <w:jc w:val="center"/>
              <w:rPr/>
            </w:pPr>
            <w:r w:rsidDel="00000000" w:rsidR="00000000" w:rsidRPr="00000000">
              <w:rPr>
                <w:rtl w:val="0"/>
              </w:rPr>
              <w:t xml:space="preserve">648001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1">
            <w:pPr>
              <w:spacing w:line="276" w:lineRule="auto"/>
              <w:jc w:val="center"/>
              <w:rPr/>
            </w:pPr>
            <w:r w:rsidDel="00000000" w:rsidR="00000000" w:rsidRPr="00000000">
              <w:rPr>
                <w:rtl w:val="0"/>
              </w:rPr>
              <w:t xml:space="preserve">91,64</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2">
            <w:pPr>
              <w:spacing w:line="276" w:lineRule="auto"/>
              <w:jc w:val="center"/>
              <w:rPr/>
            </w:pPr>
            <w:r w:rsidDel="00000000" w:rsidR="00000000" w:rsidRPr="00000000">
              <w:rPr>
                <w:rtl w:val="0"/>
              </w:rPr>
              <w:t xml:space="preserve">-256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3">
            <w:pPr>
              <w:spacing w:line="276" w:lineRule="auto"/>
              <w:jc w:val="center"/>
              <w:rPr/>
            </w:pPr>
            <w:r w:rsidDel="00000000" w:rsidR="00000000" w:rsidRPr="00000000">
              <w:rPr>
                <w:rtl w:val="0"/>
              </w:rPr>
              <w:t xml:space="preserve">-2,494491539</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4">
            <w:pPr>
              <w:spacing w:line="276" w:lineRule="auto"/>
              <w:jc w:val="center"/>
              <w:rPr/>
            </w:pPr>
            <w:r w:rsidDel="00000000" w:rsidR="00000000" w:rsidRPr="00000000">
              <w:rPr>
                <w:rtl w:val="0"/>
              </w:rPr>
              <w:t xml:space="preserve">178</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5">
            <w:pPr>
              <w:spacing w:line="276" w:lineRule="auto"/>
              <w:jc w:val="center"/>
              <w:rPr/>
            </w:pPr>
            <w:r w:rsidDel="00000000" w:rsidR="00000000" w:rsidRPr="00000000">
              <w:rPr>
                <w:rtl w:val="0"/>
              </w:rPr>
              <w:t xml:space="preserve">1,732083059</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6">
            <w:pPr>
              <w:pBdr>
                <w:bottom w:color="000000" w:space="8" w:sz="0" w:val="none"/>
              </w:pBdr>
              <w:shd w:fill="ffffff" w:val="clear"/>
              <w:tabs>
                <w:tab w:val="left" w:leader="none" w:pos="2500"/>
              </w:tabs>
              <w:spacing w:before="240" w:line="276" w:lineRule="auto"/>
              <w:jc w:val="center"/>
              <w:rPr/>
            </w:pPr>
            <w:r w:rsidDel="00000000" w:rsidR="00000000" w:rsidRPr="00000000">
              <w:rPr>
                <w:rtl w:val="0"/>
              </w:rPr>
              <w:t xml:space="preserve">649003</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7">
            <w:pPr>
              <w:spacing w:line="276" w:lineRule="auto"/>
              <w:jc w:val="center"/>
              <w:rPr/>
            </w:pPr>
            <w:r w:rsidDel="00000000" w:rsidR="00000000" w:rsidRPr="00000000">
              <w:rPr>
                <w:rtl w:val="0"/>
              </w:rPr>
              <w:t xml:space="preserve">115,25</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8">
            <w:pPr>
              <w:spacing w:line="276" w:lineRule="auto"/>
              <w:jc w:val="center"/>
              <w:rPr/>
            </w:pPr>
            <w:r w:rsidDel="00000000" w:rsidR="00000000" w:rsidRPr="00000000">
              <w:rPr>
                <w:rtl w:val="0"/>
              </w:rPr>
              <w:t xml:space="preserve">-122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9">
            <w:pPr>
              <w:spacing w:line="276" w:lineRule="auto"/>
              <w:jc w:val="center"/>
              <w:rPr/>
            </w:pPr>
            <w:r w:rsidDel="00000000" w:rsidR="00000000" w:rsidRPr="00000000">
              <w:rPr>
                <w:rtl w:val="0"/>
              </w:rPr>
              <w:t xml:space="preserve">-1,79380692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A">
            <w:pPr>
              <w:spacing w:line="276" w:lineRule="auto"/>
              <w:jc w:val="center"/>
              <w:rPr/>
            </w:pPr>
            <w:r w:rsidDel="00000000" w:rsidR="00000000" w:rsidRPr="00000000">
              <w:rPr>
                <w:rtl w:val="0"/>
              </w:rPr>
              <w:t xml:space="preserve">150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B">
            <w:pPr>
              <w:spacing w:line="276" w:lineRule="auto"/>
              <w:jc w:val="center"/>
              <w:rPr/>
            </w:pPr>
            <w:r w:rsidDel="00000000" w:rsidR="00000000" w:rsidRPr="00000000">
              <w:rPr>
                <w:rtl w:val="0"/>
              </w:rPr>
              <w:t xml:space="preserve">2,210967727</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C">
            <w:pPr>
              <w:pBdr>
                <w:bottom w:color="000000" w:space="8" w:sz="0" w:val="none"/>
              </w:pBdr>
              <w:shd w:fill="ffffff" w:val="clear"/>
              <w:tabs>
                <w:tab w:val="left" w:leader="none" w:pos="2500"/>
              </w:tabs>
              <w:spacing w:before="240" w:line="276" w:lineRule="auto"/>
              <w:jc w:val="center"/>
              <w:rPr/>
            </w:pPr>
            <w:r w:rsidDel="00000000" w:rsidR="00000000" w:rsidRPr="00000000">
              <w:rPr>
                <w:rtl w:val="0"/>
              </w:rPr>
              <w:t xml:space="preserve">748001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D">
            <w:pPr>
              <w:spacing w:line="276" w:lineRule="auto"/>
              <w:jc w:val="center"/>
              <w:rPr/>
            </w:pPr>
            <w:r w:rsidDel="00000000" w:rsidR="00000000" w:rsidRPr="00000000">
              <w:rPr>
                <w:rtl w:val="0"/>
              </w:rPr>
              <w:t xml:space="preserve">131,47</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E">
            <w:pPr>
              <w:spacing w:line="276" w:lineRule="auto"/>
              <w:jc w:val="center"/>
              <w:rPr/>
            </w:pPr>
            <w:r w:rsidDel="00000000" w:rsidR="00000000" w:rsidRPr="00000000">
              <w:rPr>
                <w:rtl w:val="0"/>
              </w:rPr>
              <w:t xml:space="preserve">-47</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F">
            <w:pPr>
              <w:spacing w:line="276" w:lineRule="auto"/>
              <w:jc w:val="center"/>
              <w:rPr/>
            </w:pPr>
            <w:r w:rsidDel="00000000" w:rsidR="00000000" w:rsidRPr="00000000">
              <w:rPr>
                <w:rtl w:val="0"/>
              </w:rPr>
              <w:t xml:space="preserve">-0,7818351805</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0">
            <w:pPr>
              <w:spacing w:line="276" w:lineRule="auto"/>
              <w:jc w:val="center"/>
              <w:rPr/>
            </w:pPr>
            <w:r w:rsidDel="00000000" w:rsidR="00000000" w:rsidRPr="00000000">
              <w:rPr>
                <w:rtl w:val="0"/>
              </w:rPr>
              <w:t xml:space="preserve">69</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1">
            <w:pPr>
              <w:spacing w:line="276" w:lineRule="auto"/>
              <w:jc w:val="center"/>
              <w:rPr/>
            </w:pPr>
            <w:r w:rsidDel="00000000" w:rsidR="00000000" w:rsidRPr="00000000">
              <w:rPr>
                <w:rtl w:val="0"/>
              </w:rPr>
              <w:t xml:space="preserve">1,157001111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2">
            <w:pPr>
              <w:pBdr>
                <w:bottom w:color="000000" w:space="8" w:sz="0" w:val="none"/>
              </w:pBdr>
              <w:shd w:fill="ffffff" w:val="clear"/>
              <w:tabs>
                <w:tab w:val="left" w:leader="none" w:pos="2500"/>
              </w:tabs>
              <w:spacing w:before="240" w:line="276" w:lineRule="auto"/>
              <w:jc w:val="center"/>
              <w:rPr/>
            </w:pPr>
            <w:r w:rsidDel="00000000" w:rsidR="00000000" w:rsidRPr="00000000">
              <w:rPr>
                <w:rtl w:val="0"/>
              </w:rPr>
              <w:t xml:space="preserve">748002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3">
            <w:pPr>
              <w:spacing w:line="276" w:lineRule="auto"/>
              <w:jc w:val="center"/>
              <w:rPr/>
            </w:pPr>
            <w:r w:rsidDel="00000000" w:rsidR="00000000" w:rsidRPr="00000000">
              <w:rPr>
                <w:rtl w:val="0"/>
              </w:rPr>
              <w:t xml:space="preserve">143,29</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4">
            <w:pPr>
              <w:spacing w:line="276" w:lineRule="auto"/>
              <w:jc w:val="center"/>
              <w:rPr/>
            </w:pPr>
            <w:r w:rsidDel="00000000" w:rsidR="00000000" w:rsidRPr="00000000">
              <w:rPr>
                <w:rtl w:val="0"/>
              </w:rPr>
              <w:t xml:space="preserve">-239</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5">
            <w:pPr>
              <w:spacing w:line="276" w:lineRule="auto"/>
              <w:jc w:val="center"/>
              <w:rPr/>
            </w:pPr>
            <w:r w:rsidDel="00000000" w:rsidR="00000000" w:rsidRPr="00000000">
              <w:rPr>
                <w:rtl w:val="0"/>
              </w:rPr>
              <w:t xml:space="preserve">-2,115374494</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6">
            <w:pPr>
              <w:spacing w:line="276" w:lineRule="auto"/>
              <w:jc w:val="center"/>
              <w:rPr/>
            </w:pPr>
            <w:r w:rsidDel="00000000" w:rsidR="00000000" w:rsidRPr="00000000">
              <w:rPr>
                <w:rtl w:val="0"/>
              </w:rPr>
              <w:t xml:space="preserve">373</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7">
            <w:pPr>
              <w:spacing w:line="276" w:lineRule="auto"/>
              <w:jc w:val="center"/>
              <w:rPr/>
            </w:pPr>
            <w:r w:rsidDel="00000000" w:rsidR="00000000" w:rsidRPr="00000000">
              <w:rPr>
                <w:rtl w:val="0"/>
              </w:rPr>
              <w:t xml:space="preserve">3,307894461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8">
            <w:pPr>
              <w:pBdr>
                <w:bottom w:color="000000" w:space="8" w:sz="0" w:val="none"/>
              </w:pBdr>
              <w:shd w:fill="ffffff" w:val="clear"/>
              <w:tabs>
                <w:tab w:val="left" w:leader="none" w:pos="2500"/>
              </w:tabs>
              <w:spacing w:before="240" w:line="276" w:lineRule="auto"/>
              <w:jc w:val="center"/>
              <w:rPr/>
            </w:pPr>
            <w:r w:rsidDel="00000000" w:rsidR="00000000" w:rsidRPr="00000000">
              <w:rPr>
                <w:rtl w:val="0"/>
              </w:rPr>
              <w:t xml:space="preserve">748003</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9">
            <w:pPr>
              <w:spacing w:line="276" w:lineRule="auto"/>
              <w:jc w:val="center"/>
              <w:rPr/>
            </w:pPr>
            <w:r w:rsidDel="00000000" w:rsidR="00000000" w:rsidRPr="00000000">
              <w:rPr>
                <w:rtl w:val="0"/>
              </w:rPr>
              <w:t xml:space="preserve">154,80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A">
            <w:pPr>
              <w:spacing w:line="276" w:lineRule="auto"/>
              <w:jc w:val="center"/>
              <w:rPr/>
            </w:pPr>
            <w:r w:rsidDel="00000000" w:rsidR="00000000" w:rsidRPr="00000000">
              <w:rPr>
                <w:rtl w:val="0"/>
              </w:rPr>
              <w:t xml:space="preserve">14</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B">
            <w:pPr>
              <w:spacing w:line="276" w:lineRule="auto"/>
              <w:jc w:val="center"/>
              <w:rPr/>
            </w:pPr>
            <w:r w:rsidDel="00000000" w:rsidR="00000000" w:rsidRPr="00000000">
              <w:rPr>
                <w:rtl w:val="0"/>
              </w:rPr>
              <w:t xml:space="preserve">0,1230859735</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C">
            <w:pPr>
              <w:spacing w:line="276" w:lineRule="auto"/>
              <w:jc w:val="center"/>
              <w:rPr/>
            </w:pPr>
            <w:r w:rsidDel="00000000" w:rsidR="00000000" w:rsidRPr="00000000">
              <w:rPr>
                <w:rtl w:val="0"/>
              </w:rPr>
              <w:t xml:space="preserve">111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D">
            <w:pPr>
              <w:spacing w:line="276" w:lineRule="auto"/>
              <w:jc w:val="center"/>
              <w:rPr/>
            </w:pPr>
            <w:r w:rsidDel="00000000" w:rsidR="00000000" w:rsidRPr="00000000">
              <w:rPr>
                <w:rtl w:val="0"/>
              </w:rPr>
              <w:t xml:space="preserve">1,04203635</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E">
            <w:pPr>
              <w:pBdr>
                <w:bottom w:color="000000" w:space="8" w:sz="0" w:val="none"/>
              </w:pBdr>
              <w:shd w:fill="ffffff" w:val="clear"/>
              <w:tabs>
                <w:tab w:val="left" w:leader="none" w:pos="2500"/>
              </w:tabs>
              <w:spacing w:before="240" w:line="276" w:lineRule="auto"/>
              <w:jc w:val="center"/>
              <w:rPr/>
            </w:pPr>
            <w:r w:rsidDel="00000000" w:rsidR="00000000" w:rsidRPr="00000000">
              <w:rPr>
                <w:rtl w:val="0"/>
              </w:rPr>
              <w:t xml:space="preserve">749000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F">
            <w:pPr>
              <w:spacing w:line="276" w:lineRule="auto"/>
              <w:jc w:val="center"/>
              <w:rPr/>
            </w:pPr>
            <w:r w:rsidDel="00000000" w:rsidR="00000000" w:rsidRPr="00000000">
              <w:rPr>
                <w:rtl w:val="0"/>
              </w:rPr>
              <w:t xml:space="preserve">217,41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0">
            <w:pPr>
              <w:spacing w:line="276" w:lineRule="auto"/>
              <w:jc w:val="center"/>
              <w:rPr/>
            </w:pPr>
            <w:r w:rsidDel="00000000" w:rsidR="00000000" w:rsidRPr="00000000">
              <w:rPr>
                <w:rtl w:val="0"/>
              </w:rPr>
              <w:t xml:space="preserve">-79</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1">
            <w:pPr>
              <w:spacing w:line="276" w:lineRule="auto"/>
              <w:jc w:val="center"/>
              <w:rPr/>
            </w:pPr>
            <w:r w:rsidDel="00000000" w:rsidR="00000000" w:rsidRPr="00000000">
              <w:rPr>
                <w:rtl w:val="0"/>
              </w:rPr>
              <w:t xml:space="preserve">-0,7152953687</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2">
            <w:pPr>
              <w:spacing w:line="276" w:lineRule="auto"/>
              <w:jc w:val="center"/>
              <w:rPr/>
            </w:pPr>
            <w:r w:rsidDel="00000000" w:rsidR="00000000" w:rsidRPr="00000000">
              <w:rPr>
                <w:rtl w:val="0"/>
              </w:rPr>
              <w:t xml:space="preserve">221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3">
            <w:pPr>
              <w:spacing w:line="276" w:lineRule="auto"/>
              <w:jc w:val="center"/>
              <w:rPr/>
            </w:pPr>
            <w:r w:rsidDel="00000000" w:rsidR="00000000" w:rsidRPr="00000000">
              <w:rPr>
                <w:rtl w:val="0"/>
              </w:rPr>
              <w:t xml:space="preserve">2,018314806</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4">
            <w:pPr>
              <w:pBdr>
                <w:bottom w:color="000000" w:space="8" w:sz="0" w:val="none"/>
              </w:pBdr>
              <w:shd w:fill="ffffff" w:val="clear"/>
              <w:tabs>
                <w:tab w:val="left" w:leader="none" w:pos="2500"/>
              </w:tabs>
              <w:spacing w:before="240" w:line="276" w:lineRule="auto"/>
              <w:jc w:val="center"/>
              <w:rPr/>
            </w:pPr>
            <w:r w:rsidDel="00000000" w:rsidR="00000000" w:rsidRPr="00000000">
              <w:rPr>
                <w:rtl w:val="0"/>
              </w:rPr>
              <w:t xml:space="preserve">749001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5">
            <w:pPr>
              <w:spacing w:line="276" w:lineRule="auto"/>
              <w:jc w:val="center"/>
              <w:rPr/>
            </w:pPr>
            <w:r w:rsidDel="00000000" w:rsidR="00000000" w:rsidRPr="00000000">
              <w:rPr>
                <w:rtl w:val="0"/>
              </w:rPr>
              <w:t xml:space="preserve">131,51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6">
            <w:pPr>
              <w:spacing w:line="276" w:lineRule="auto"/>
              <w:jc w:val="center"/>
              <w:rPr/>
            </w:pPr>
            <w:r w:rsidDel="00000000" w:rsidR="00000000" w:rsidRPr="00000000">
              <w:rPr>
                <w:rtl w:val="0"/>
              </w:rPr>
              <w:t xml:space="preserve">-306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7">
            <w:pPr>
              <w:spacing w:line="276" w:lineRule="auto"/>
              <w:jc w:val="center"/>
              <w:rPr/>
            </w:pPr>
            <w:r w:rsidDel="00000000" w:rsidR="00000000" w:rsidRPr="00000000">
              <w:rPr>
                <w:rtl w:val="0"/>
              </w:rPr>
              <w:t xml:space="preserve">-3,834582475</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8">
            <w:pPr>
              <w:spacing w:line="276" w:lineRule="auto"/>
              <w:jc w:val="center"/>
              <w:rPr/>
            </w:pPr>
            <w:r w:rsidDel="00000000" w:rsidR="00000000" w:rsidRPr="00000000">
              <w:rPr>
                <w:rtl w:val="0"/>
              </w:rPr>
              <w:t xml:space="preserve">317</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9">
            <w:pPr>
              <w:spacing w:line="276" w:lineRule="auto"/>
              <w:jc w:val="center"/>
              <w:rPr/>
            </w:pPr>
            <w:r w:rsidDel="00000000" w:rsidR="00000000" w:rsidRPr="00000000">
              <w:rPr>
                <w:rtl w:val="0"/>
              </w:rPr>
              <w:t xml:space="preserve">3,975050963</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A">
            <w:pPr>
              <w:pBdr>
                <w:bottom w:color="000000" w:space="8" w:sz="0" w:val="none"/>
              </w:pBdr>
              <w:shd w:fill="ffffff" w:val="clear"/>
              <w:tabs>
                <w:tab w:val="left" w:leader="none" w:pos="2500"/>
              </w:tabs>
              <w:spacing w:before="240" w:line="276" w:lineRule="auto"/>
              <w:jc w:val="center"/>
              <w:rPr/>
            </w:pPr>
            <w:r w:rsidDel="00000000" w:rsidR="00000000" w:rsidRPr="00000000">
              <w:rPr>
                <w:rtl w:val="0"/>
              </w:rPr>
              <w:t xml:space="preserve">848000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B">
            <w:pPr>
              <w:spacing w:line="276" w:lineRule="auto"/>
              <w:jc w:val="center"/>
              <w:rPr/>
            </w:pPr>
            <w:r w:rsidDel="00000000" w:rsidR="00000000" w:rsidRPr="00000000">
              <w:rPr>
                <w:rtl w:val="0"/>
              </w:rPr>
              <w:t xml:space="preserve">160,42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C">
            <w:pPr>
              <w:spacing w:line="276" w:lineRule="auto"/>
              <w:jc w:val="center"/>
              <w:rPr/>
            </w:pPr>
            <w:r w:rsidDel="00000000" w:rsidR="00000000" w:rsidRPr="00000000">
              <w:rPr>
                <w:rtl w:val="0"/>
              </w:rPr>
              <w:t xml:space="preserve">-245</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D">
            <w:pPr>
              <w:spacing w:line="276" w:lineRule="auto"/>
              <w:jc w:val="center"/>
              <w:rPr/>
            </w:pPr>
            <w:r w:rsidDel="00000000" w:rsidR="00000000" w:rsidRPr="00000000">
              <w:rPr>
                <w:rtl w:val="0"/>
              </w:rPr>
              <w:t xml:space="preserve">-2,103259414</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E">
            <w:pPr>
              <w:spacing w:line="276" w:lineRule="auto"/>
              <w:jc w:val="center"/>
              <w:rPr/>
            </w:pPr>
            <w:r w:rsidDel="00000000" w:rsidR="00000000" w:rsidRPr="00000000">
              <w:rPr>
                <w:rtl w:val="0"/>
              </w:rPr>
              <w:t xml:space="preserve">233</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F">
            <w:pPr>
              <w:spacing w:line="276" w:lineRule="auto"/>
              <w:jc w:val="center"/>
              <w:rPr/>
            </w:pPr>
            <w:r w:rsidDel="00000000" w:rsidR="00000000" w:rsidRPr="00000000">
              <w:rPr>
                <w:rtl w:val="0"/>
              </w:rPr>
              <w:t xml:space="preserve">2,0007298</w:t>
            </w:r>
          </w:p>
        </w:tc>
      </w:tr>
      <w:tr>
        <w:trPr>
          <w:cantSplit w:val="0"/>
          <w:trHeight w:val="315" w:hRule="atLeast"/>
          <w:tblHeader w:val="0"/>
        </w:trPr>
        <w:tc>
          <w:tcPr>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130">
            <w:pPr>
              <w:pBdr>
                <w:bottom w:color="000000" w:space="8" w:sz="0" w:val="none"/>
              </w:pBdr>
              <w:shd w:fill="ffffff" w:val="clear"/>
              <w:tabs>
                <w:tab w:val="left" w:leader="none" w:pos="2500"/>
              </w:tabs>
              <w:spacing w:before="240" w:line="276" w:lineRule="auto"/>
              <w:jc w:val="center"/>
              <w:rPr/>
            </w:pPr>
            <w:r w:rsidDel="00000000" w:rsidR="00000000" w:rsidRPr="00000000">
              <w:rPr>
                <w:rtl w:val="0"/>
              </w:rPr>
              <w:t xml:space="preserve">848002</w:t>
            </w:r>
          </w:p>
        </w:tc>
        <w:tc>
          <w:tcPr>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131">
            <w:pPr>
              <w:spacing w:line="276" w:lineRule="auto"/>
              <w:jc w:val="center"/>
              <w:rPr/>
            </w:pPr>
            <w:r w:rsidDel="00000000" w:rsidR="00000000" w:rsidRPr="00000000">
              <w:rPr>
                <w:rtl w:val="0"/>
              </w:rPr>
              <w:t xml:space="preserve">156,67</w:t>
            </w:r>
          </w:p>
        </w:tc>
        <w:tc>
          <w:tcPr>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132">
            <w:pPr>
              <w:spacing w:line="276" w:lineRule="auto"/>
              <w:jc w:val="center"/>
              <w:rPr/>
            </w:pPr>
            <w:r w:rsidDel="00000000" w:rsidR="00000000" w:rsidRPr="00000000">
              <w:rPr>
                <w:rtl w:val="0"/>
              </w:rPr>
              <w:t xml:space="preserve">-294</w:t>
            </w:r>
          </w:p>
        </w:tc>
        <w:tc>
          <w:tcPr>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133">
            <w:pPr>
              <w:spacing w:line="276" w:lineRule="auto"/>
              <w:jc w:val="center"/>
              <w:rPr/>
            </w:pPr>
            <w:r w:rsidDel="00000000" w:rsidR="00000000" w:rsidRPr="00000000">
              <w:rPr>
                <w:rtl w:val="0"/>
              </w:rPr>
              <w:t xml:space="preserve">-2,604195825</w:t>
            </w:r>
          </w:p>
        </w:tc>
        <w:tc>
          <w:tcPr>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134">
            <w:pPr>
              <w:spacing w:line="276" w:lineRule="auto"/>
              <w:jc w:val="center"/>
              <w:rPr/>
            </w:pPr>
            <w:r w:rsidDel="00000000" w:rsidR="00000000" w:rsidRPr="00000000">
              <w:rPr>
                <w:rtl w:val="0"/>
              </w:rPr>
              <w:t xml:space="preserve">369</w:t>
            </w:r>
          </w:p>
        </w:tc>
        <w:tc>
          <w:tcPr>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135">
            <w:pPr>
              <w:spacing w:line="276" w:lineRule="auto"/>
              <w:jc w:val="center"/>
              <w:rPr/>
            </w:pPr>
            <w:r w:rsidDel="00000000" w:rsidR="00000000" w:rsidRPr="00000000">
              <w:rPr>
                <w:rtl w:val="0"/>
              </w:rPr>
              <w:t xml:space="preserve">3,272204722</w:t>
            </w:r>
          </w:p>
        </w:tc>
      </w:tr>
    </w:tbl>
    <w:p w:rsidR="00000000" w:rsidDel="00000000" w:rsidP="00000000" w:rsidRDefault="00000000" w:rsidRPr="00000000" w14:paraId="00000136">
      <w:pPr>
        <w:widowControl w:val="1"/>
        <w:spacing w:after="200" w:lineRule="auto"/>
        <w:jc w:val="both"/>
        <w:rPr/>
      </w:pPr>
      <w:r w:rsidDel="00000000" w:rsidR="00000000" w:rsidRPr="00000000">
        <w:rPr>
          <w:rtl w:val="0"/>
        </w:rPr>
        <w:t xml:space="preserve">Fonte: Autor, (2025). </w:t>
      </w:r>
      <w:r w:rsidDel="00000000" w:rsidR="00000000" w:rsidRPr="00000000">
        <w:rPr>
          <w:b w:val="1"/>
          <w:bCs w:val="1"/>
          <w:rtl w:val="0"/>
        </w:rPr>
        <w:t xml:space="preserve">Nota: </w:t>
      </w:r>
      <w:r w:rsidDel="00000000" w:rsidR="00000000" w:rsidRPr="00000000">
        <w:rPr>
          <w:rtl w:val="0"/>
        </w:rPr>
        <w:t xml:space="preserve">p&lt;0,05 foram considerados estatisticamente significantes. </w:t>
      </w:r>
    </w:p>
    <w:p w:rsidR="00000000" w:rsidDel="00000000" w:rsidP="00000000" w:rsidRDefault="00000000" w:rsidRPr="00000000" w14:paraId="00000137">
      <w:pPr>
        <w:widowControl w:val="1"/>
        <w:spacing w:line="360" w:lineRule="auto"/>
        <w:ind w:firstLine="720"/>
        <w:jc w:val="both"/>
        <w:rPr>
          <w:sz w:val="24"/>
          <w:szCs w:val="24"/>
        </w:rPr>
      </w:pPr>
      <w:r w:rsidDel="00000000" w:rsidR="00000000" w:rsidRPr="00000000">
        <w:rPr>
          <w:sz w:val="24"/>
          <w:szCs w:val="24"/>
          <w:rtl w:val="0"/>
        </w:rPr>
        <w:t xml:space="preserve">No mês de abril, que marca o encerramento da estação chuvosa, observou-se comportamento heterogêneo nas tendências de precipitação e de dias secos (Tabela 4). Seis das doze estações apresentaram tendências decrescentes do total de precipitação, embora sem significância estatística (p &gt; 0,05), sugerindo redução nos totais de precipitação no final de estação. Por outro lado, cinco estações indicaram tendências crescentes, sendo apenas uma delas (estação 748003) estatisticamente significativa, indicando possível aumento da precipitação no final da estação chuvosa.</w:t>
      </w:r>
    </w:p>
    <w:p w:rsidR="00000000" w:rsidDel="00000000" w:rsidP="00000000" w:rsidRDefault="00000000" w:rsidRPr="00000000" w14:paraId="00000138">
      <w:pPr>
        <w:widowControl w:val="1"/>
        <w:spacing w:line="360" w:lineRule="auto"/>
        <w:ind w:firstLine="720"/>
        <w:jc w:val="both"/>
        <w:rPr>
          <w:sz w:val="24"/>
          <w:szCs w:val="24"/>
        </w:rPr>
      </w:pPr>
      <w:r w:rsidDel="00000000" w:rsidR="00000000" w:rsidRPr="00000000">
        <w:rPr>
          <w:sz w:val="24"/>
          <w:szCs w:val="24"/>
          <w:rtl w:val="0"/>
        </w:rPr>
        <w:t xml:space="preserve">A análise do total de dias secos em abril apresentou resultados variados, com sete estações com tendências crescentes, sem significância, o que pode indicar maior ocorrência de dias sem chuva na fase de transição para a estação seca. As demais estações apresentaram tendências decrescentes, com significância estatística apenas na estação 748003, que também exibiu significância estatística para o total precipitado.</w:t>
      </w:r>
    </w:p>
    <w:p w:rsidR="00000000" w:rsidDel="00000000" w:rsidP="00000000" w:rsidRDefault="00000000" w:rsidRPr="00000000" w14:paraId="00000139">
      <w:pPr>
        <w:widowControl w:val="1"/>
        <w:jc w:val="both"/>
        <w:rPr/>
      </w:pPr>
      <w:r w:rsidDel="00000000" w:rsidR="00000000" w:rsidRPr="00000000">
        <w:rPr>
          <w:rtl w:val="0"/>
        </w:rPr>
      </w:r>
    </w:p>
    <w:p w:rsidR="00000000" w:rsidDel="00000000" w:rsidP="00000000" w:rsidRDefault="00000000" w:rsidRPr="00000000" w14:paraId="0000013A">
      <w:pPr>
        <w:widowControl w:val="1"/>
        <w:jc w:val="both"/>
        <w:rPr>
          <w:sz w:val="24"/>
          <w:szCs w:val="24"/>
        </w:rPr>
      </w:pPr>
      <w:r w:rsidDel="00000000" w:rsidR="00000000" w:rsidRPr="00000000">
        <w:rPr>
          <w:sz w:val="24"/>
          <w:szCs w:val="24"/>
          <w:rtl w:val="0"/>
        </w:rPr>
        <w:t xml:space="preserve">Tabela 4</w:t>
      </w:r>
      <w:r w:rsidDel="00000000" w:rsidR="00000000" w:rsidRPr="00000000">
        <w:rPr>
          <w:b w:val="1"/>
          <w:bCs w:val="1"/>
          <w:sz w:val="24"/>
          <w:szCs w:val="24"/>
          <w:rtl w:val="0"/>
        </w:rPr>
        <w:t xml:space="preserve"> – </w:t>
      </w:r>
      <w:r w:rsidDel="00000000" w:rsidR="00000000" w:rsidRPr="00000000">
        <w:rPr>
          <w:sz w:val="24"/>
          <w:szCs w:val="24"/>
          <w:rtl w:val="0"/>
        </w:rPr>
        <w:t xml:space="preserve">Tendência do total de precipitação e dias secos em abril nas estações da porção Amazônica do Tocantins.</w:t>
      </w:r>
    </w:p>
    <w:tbl>
      <w:tblPr>
        <w:tblStyle w:val="Table4"/>
        <w:tblW w:w="9076.999999999998" w:type="dxa"/>
        <w:jc w:val="left"/>
        <w:tblLayout w:type="fixed"/>
        <w:tblLook w:val="0600"/>
      </w:tblPr>
      <w:tblGrid>
        <w:gridCol w:w="1474"/>
        <w:gridCol w:w="190"/>
        <w:gridCol w:w="1284"/>
        <w:gridCol w:w="147"/>
        <w:gridCol w:w="1327"/>
        <w:gridCol w:w="104"/>
        <w:gridCol w:w="1370"/>
        <w:gridCol w:w="349"/>
        <w:gridCol w:w="935"/>
        <w:gridCol w:w="190"/>
        <w:gridCol w:w="1474"/>
        <w:gridCol w:w="233"/>
        <w:tblGridChange w:id="0">
          <w:tblGrid>
            <w:gridCol w:w="1474"/>
            <w:gridCol w:w="190"/>
            <w:gridCol w:w="1284"/>
            <w:gridCol w:w="147"/>
            <w:gridCol w:w="1327"/>
            <w:gridCol w:w="104"/>
            <w:gridCol w:w="1370"/>
            <w:gridCol w:w="349"/>
            <w:gridCol w:w="935"/>
            <w:gridCol w:w="190"/>
            <w:gridCol w:w="1474"/>
            <w:gridCol w:w="233"/>
          </w:tblGrid>
        </w:tblGridChange>
      </w:tblGrid>
      <w:tr>
        <w:trPr>
          <w:cantSplit w:val="0"/>
          <w:trHeight w:val="57" w:hRule="atLeast"/>
          <w:tblHeader w:val="0"/>
        </w:trPr>
        <w:tc>
          <w:tcPr>
            <w:gridSpan w:val="2"/>
            <w:vMerge w:val="restart"/>
            <w:tcBorders>
              <w:top w:color="000000" w:space="0" w:sz="8" w:val="single"/>
              <w:left w:color="000000" w:space="0" w:sz="0" w:val="nil"/>
              <w:bottom w:color="000000" w:space="0" w:sz="0" w:val="nil"/>
              <w:right w:color="000000" w:space="0" w:sz="0" w:val="nil"/>
            </w:tcBorders>
            <w:tcMar>
              <w:top w:w="0.0" w:type="dxa"/>
              <w:bottom w:w="0.0" w:type="dxa"/>
            </w:tcMar>
            <w:vAlign w:val="center"/>
          </w:tcPr>
          <w:p w:rsidR="00000000" w:rsidDel="00000000" w:rsidP="00000000" w:rsidRDefault="00000000" w:rsidRPr="00000000" w14:paraId="0000013B">
            <w:pPr>
              <w:pBdr>
                <w:bottom w:color="000000" w:space="8" w:sz="0" w:val="none"/>
              </w:pBdr>
              <w:shd w:fill="ffffff" w:val="clear"/>
              <w:tabs>
                <w:tab w:val="left" w:leader="none" w:pos="2500"/>
              </w:tabs>
              <w:spacing w:before="240" w:lineRule="auto"/>
              <w:jc w:val="center"/>
              <w:rPr>
                <w:b w:val="1"/>
                <w:bCs w:val="1"/>
              </w:rPr>
            </w:pPr>
            <w:r w:rsidDel="00000000" w:rsidR="00000000" w:rsidRPr="00000000">
              <w:rPr>
                <w:b w:val="1"/>
                <w:bCs w:val="1"/>
                <w:rtl w:val="0"/>
              </w:rPr>
              <w:t xml:space="preserve">Código da estação</w:t>
            </w:r>
          </w:p>
        </w:tc>
        <w:tc>
          <w:tcPr>
            <w:gridSpan w:val="2"/>
            <w:vMerge w:val="restart"/>
            <w:tcBorders>
              <w:top w:color="000000" w:space="0" w:sz="8" w:val="single"/>
              <w:left w:color="000000" w:space="0" w:sz="0" w:val="nil"/>
              <w:bottom w:color="000000" w:space="0" w:sz="0" w:val="nil"/>
              <w:right w:color="000000" w:space="0" w:sz="0" w:val="nil"/>
            </w:tcBorders>
            <w:tcMar>
              <w:top w:w="0.0" w:type="dxa"/>
              <w:bottom w:w="0.0" w:type="dxa"/>
            </w:tcMar>
            <w:vAlign w:val="center"/>
          </w:tcPr>
          <w:p w:rsidR="00000000" w:rsidDel="00000000" w:rsidP="00000000" w:rsidRDefault="00000000" w:rsidRPr="00000000" w14:paraId="0000013D">
            <w:pPr>
              <w:widowControl w:val="1"/>
              <w:jc w:val="center"/>
              <w:rPr>
                <w:b w:val="1"/>
                <w:bCs w:val="1"/>
              </w:rPr>
            </w:pPr>
            <w:r w:rsidDel="00000000" w:rsidR="00000000" w:rsidRPr="00000000">
              <w:rPr>
                <w:b w:val="1"/>
                <w:bCs w:val="1"/>
                <w:rtl w:val="0"/>
              </w:rPr>
              <w:t xml:space="preserve">Média Anual (mm)</w:t>
            </w:r>
          </w:p>
        </w:tc>
        <w:tc>
          <w:tcPr>
            <w:gridSpan w:val="4"/>
            <w:tcBorders>
              <w:top w:color="000000" w:space="0" w:sz="8" w:val="single"/>
              <w:left w:color="000000" w:space="0" w:sz="0" w:val="nil"/>
              <w:bottom w:color="000000" w:space="0" w:sz="0" w:val="nil"/>
              <w:right w:color="000000" w:space="0" w:sz="0" w:val="nil"/>
            </w:tcBorders>
            <w:tcMar>
              <w:top w:w="0.0" w:type="dxa"/>
              <w:bottom w:w="0.0" w:type="dxa"/>
            </w:tcMar>
            <w:vAlign w:val="center"/>
          </w:tcPr>
          <w:p w:rsidR="00000000" w:rsidDel="00000000" w:rsidP="00000000" w:rsidRDefault="00000000" w:rsidRPr="00000000" w14:paraId="0000013F">
            <w:pPr>
              <w:widowControl w:val="1"/>
              <w:jc w:val="center"/>
              <w:rPr>
                <w:b w:val="1"/>
                <w:bCs w:val="1"/>
              </w:rPr>
            </w:pPr>
            <w:r w:rsidDel="00000000" w:rsidR="00000000" w:rsidRPr="00000000">
              <w:rPr>
                <w:b w:val="1"/>
                <w:bCs w:val="1"/>
                <w:rtl w:val="0"/>
              </w:rPr>
              <w:t xml:space="preserve">Mann-Kendall</w:t>
            </w:r>
          </w:p>
          <w:p w:rsidR="00000000" w:rsidDel="00000000" w:rsidP="00000000" w:rsidRDefault="00000000" w:rsidRPr="00000000" w14:paraId="00000140">
            <w:pPr>
              <w:widowControl w:val="1"/>
              <w:jc w:val="center"/>
              <w:rPr>
                <w:b w:val="1"/>
                <w:bCs w:val="1"/>
              </w:rPr>
            </w:pPr>
            <w:r w:rsidDel="00000000" w:rsidR="00000000" w:rsidRPr="00000000">
              <w:rPr>
                <w:b w:val="1"/>
                <w:bCs w:val="1"/>
                <w:rtl w:val="0"/>
              </w:rPr>
              <w:t xml:space="preserve">(Total precipitado)</w:t>
            </w:r>
          </w:p>
        </w:tc>
        <w:tc>
          <w:tcPr>
            <w:gridSpan w:val="4"/>
            <w:tcBorders>
              <w:top w:color="000000" w:space="0" w:sz="8" w:val="single"/>
              <w:left w:color="000000" w:space="0" w:sz="0" w:val="nil"/>
              <w:bottom w:color="000000" w:space="0" w:sz="0" w:val="nil"/>
              <w:right w:color="000000" w:space="0" w:sz="0" w:val="nil"/>
            </w:tcBorders>
            <w:tcMar>
              <w:top w:w="0.0" w:type="dxa"/>
              <w:bottom w:w="0.0" w:type="dxa"/>
            </w:tcMar>
            <w:vAlign w:val="center"/>
          </w:tcPr>
          <w:p w:rsidR="00000000" w:rsidDel="00000000" w:rsidP="00000000" w:rsidRDefault="00000000" w:rsidRPr="00000000" w14:paraId="00000144">
            <w:pPr>
              <w:widowControl w:val="1"/>
              <w:jc w:val="center"/>
              <w:rPr>
                <w:b w:val="1"/>
                <w:bCs w:val="1"/>
              </w:rPr>
            </w:pPr>
            <w:r w:rsidDel="00000000" w:rsidR="00000000" w:rsidRPr="00000000">
              <w:rPr>
                <w:b w:val="1"/>
                <w:bCs w:val="1"/>
                <w:rtl w:val="0"/>
              </w:rPr>
              <w:t xml:space="preserve">Mann-Kendall</w:t>
            </w:r>
          </w:p>
          <w:p w:rsidR="00000000" w:rsidDel="00000000" w:rsidP="00000000" w:rsidRDefault="00000000" w:rsidRPr="00000000" w14:paraId="00000145">
            <w:pPr>
              <w:widowControl w:val="1"/>
              <w:jc w:val="center"/>
              <w:rPr>
                <w:b w:val="1"/>
                <w:bCs w:val="1"/>
              </w:rPr>
            </w:pPr>
            <w:r w:rsidDel="00000000" w:rsidR="00000000" w:rsidRPr="00000000">
              <w:rPr>
                <w:b w:val="1"/>
                <w:bCs w:val="1"/>
                <w:rtl w:val="0"/>
              </w:rPr>
              <w:t xml:space="preserve">(Dias secos)</w:t>
            </w:r>
          </w:p>
        </w:tc>
      </w:tr>
      <w:tr>
        <w:trPr>
          <w:cantSplit w:val="0"/>
          <w:trHeight w:val="57" w:hRule="atLeast"/>
          <w:tblHeader w:val="0"/>
        </w:trPr>
        <w:tc>
          <w:tcPr>
            <w:gridSpan w:val="2"/>
            <w:vMerge w:val="continue"/>
            <w:tcBorders>
              <w:top w:color="000000" w:space="0" w:sz="8" w:val="single"/>
              <w:left w:color="000000" w:space="0" w:sz="0" w:val="nil"/>
              <w:bottom w:color="000000" w:space="0" w:sz="0" w:val="nil"/>
              <w:right w:color="000000" w:space="0" w:sz="0" w:val="nil"/>
            </w:tcBorders>
            <w:tcMar>
              <w:top w:w="0.0" w:type="dxa"/>
              <w:bottom w:w="0.0" w:type="dxa"/>
            </w:tcMar>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vMerge w:val="continue"/>
            <w:tcBorders>
              <w:top w:color="000000" w:space="0" w:sz="8" w:val="single"/>
              <w:left w:color="000000" w:space="0" w:sz="0" w:val="nil"/>
              <w:bottom w:color="000000" w:space="0" w:sz="0" w:val="nil"/>
              <w:right w:color="000000" w:space="0" w:sz="0" w:val="nil"/>
            </w:tcBorders>
            <w:tcMar>
              <w:top w:w="0.0" w:type="dxa"/>
              <w:bottom w:w="0.0" w:type="dxa"/>
            </w:tcM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tcMar>
              <w:top w:w="0.0" w:type="dxa"/>
              <w:bottom w:w="0.0" w:type="dxa"/>
            </w:tcMar>
            <w:vAlign w:val="center"/>
          </w:tcPr>
          <w:p w:rsidR="00000000" w:rsidDel="00000000" w:rsidP="00000000" w:rsidRDefault="00000000" w:rsidRPr="00000000" w14:paraId="0000014D">
            <w:pPr>
              <w:pBdr>
                <w:bottom w:color="000000" w:space="8" w:sz="0" w:val="none"/>
              </w:pBdr>
              <w:shd w:fill="ffffff" w:val="clear"/>
              <w:tabs>
                <w:tab w:val="left" w:leader="none" w:pos="2500"/>
              </w:tabs>
              <w:spacing w:before="240" w:lineRule="auto"/>
              <w:jc w:val="center"/>
              <w:rPr>
                <w:b w:val="1"/>
                <w:bCs w:val="1"/>
              </w:rPr>
            </w:pPr>
            <w:r w:rsidDel="00000000" w:rsidR="00000000" w:rsidRPr="00000000">
              <w:rPr>
                <w:b w:val="1"/>
                <w:bCs w:val="1"/>
                <w:rtl w:val="0"/>
              </w:rPr>
              <w:t xml:space="preserve">S</w:t>
            </w:r>
          </w:p>
        </w:tc>
        <w:tc>
          <w:tcPr>
            <w:gridSpan w:val="2"/>
            <w:tcBorders>
              <w:top w:color="000000" w:space="0" w:sz="0" w:val="nil"/>
              <w:left w:color="000000" w:space="0" w:sz="0" w:val="nil"/>
              <w:bottom w:color="000000" w:space="0" w:sz="8" w:val="single"/>
              <w:right w:color="000000" w:space="0" w:sz="0" w:val="nil"/>
            </w:tcBorders>
            <w:tcMar>
              <w:top w:w="0.0" w:type="dxa"/>
              <w:bottom w:w="0.0" w:type="dxa"/>
            </w:tcMar>
            <w:vAlign w:val="center"/>
          </w:tcPr>
          <w:p w:rsidR="00000000" w:rsidDel="00000000" w:rsidP="00000000" w:rsidRDefault="00000000" w:rsidRPr="00000000" w14:paraId="0000014F">
            <w:pPr>
              <w:pBdr>
                <w:bottom w:color="000000" w:space="8" w:sz="0" w:val="none"/>
              </w:pBdr>
              <w:shd w:fill="ffffff" w:val="clear"/>
              <w:tabs>
                <w:tab w:val="left" w:leader="none" w:pos="2500"/>
              </w:tabs>
              <w:spacing w:before="240" w:lineRule="auto"/>
              <w:jc w:val="center"/>
              <w:rPr>
                <w:b w:val="1"/>
                <w:bCs w:val="1"/>
              </w:rPr>
            </w:pPr>
            <w:r w:rsidDel="00000000" w:rsidR="00000000" w:rsidRPr="00000000">
              <w:rPr>
                <w:b w:val="1"/>
                <w:bCs w:val="1"/>
                <w:rtl w:val="0"/>
              </w:rPr>
              <w:t xml:space="preserve">ZMK</w:t>
            </w:r>
          </w:p>
        </w:tc>
        <w:tc>
          <w:tcPr>
            <w:tcBorders>
              <w:top w:color="000000" w:space="0" w:sz="0" w:val="nil"/>
              <w:left w:color="000000" w:space="0" w:sz="0" w:val="nil"/>
              <w:bottom w:color="000000" w:space="0" w:sz="8" w:val="single"/>
              <w:right w:color="000000" w:space="0" w:sz="0" w:val="nil"/>
            </w:tcBorders>
            <w:tcMar>
              <w:top w:w="0.0" w:type="dxa"/>
              <w:bottom w:w="0.0" w:type="dxa"/>
            </w:tcMar>
            <w:vAlign w:val="center"/>
          </w:tcPr>
          <w:p w:rsidR="00000000" w:rsidDel="00000000" w:rsidP="00000000" w:rsidRDefault="00000000" w:rsidRPr="00000000" w14:paraId="00000151">
            <w:pPr>
              <w:pBdr>
                <w:bottom w:color="000000" w:space="8" w:sz="0" w:val="none"/>
              </w:pBdr>
              <w:shd w:fill="ffffff" w:val="clear"/>
              <w:tabs>
                <w:tab w:val="left" w:leader="none" w:pos="2500"/>
              </w:tabs>
              <w:spacing w:before="240" w:lineRule="auto"/>
              <w:jc w:val="center"/>
              <w:rPr>
                <w:b w:val="1"/>
                <w:bCs w:val="1"/>
              </w:rPr>
            </w:pPr>
            <w:r w:rsidDel="00000000" w:rsidR="00000000" w:rsidRPr="00000000">
              <w:rPr>
                <w:b w:val="1"/>
                <w:bCs w:val="1"/>
                <w:rtl w:val="0"/>
              </w:rPr>
              <w:t xml:space="preserve">S</w:t>
            </w:r>
          </w:p>
        </w:tc>
        <w:tc>
          <w:tcPr>
            <w:gridSpan w:val="3"/>
            <w:tcBorders>
              <w:top w:color="000000" w:space="0" w:sz="0" w:val="nil"/>
              <w:left w:color="000000" w:space="0" w:sz="0" w:val="nil"/>
              <w:bottom w:color="000000" w:space="0" w:sz="8" w:val="single"/>
              <w:right w:color="000000" w:space="0" w:sz="0" w:val="nil"/>
            </w:tcBorders>
            <w:tcMar>
              <w:top w:w="0.0" w:type="dxa"/>
              <w:bottom w:w="0.0" w:type="dxa"/>
            </w:tcMar>
            <w:vAlign w:val="center"/>
          </w:tcPr>
          <w:p w:rsidR="00000000" w:rsidDel="00000000" w:rsidP="00000000" w:rsidRDefault="00000000" w:rsidRPr="00000000" w14:paraId="00000152">
            <w:pPr>
              <w:pBdr>
                <w:bottom w:color="000000" w:space="8" w:sz="0" w:val="none"/>
              </w:pBdr>
              <w:shd w:fill="ffffff" w:val="clear"/>
              <w:tabs>
                <w:tab w:val="left" w:leader="none" w:pos="2500"/>
              </w:tabs>
              <w:spacing w:before="240" w:lineRule="auto"/>
              <w:jc w:val="center"/>
              <w:rPr>
                <w:b w:val="1"/>
                <w:bCs w:val="1"/>
              </w:rPr>
            </w:pPr>
            <w:r w:rsidDel="00000000" w:rsidR="00000000" w:rsidRPr="00000000">
              <w:rPr>
                <w:b w:val="1"/>
                <w:bCs w:val="1"/>
                <w:rtl w:val="0"/>
              </w:rPr>
              <w:t xml:space="preserve">ZMK</w:t>
            </w:r>
          </w:p>
        </w:tc>
      </w:tr>
      <w:tr>
        <w:trPr>
          <w:cantSplit w:val="0"/>
          <w:trHeight w:val="170" w:hRule="atLeast"/>
          <w:tblHeader w:val="0"/>
        </w:trPr>
        <w:tc>
          <w:tcPr>
            <w:tcBorders>
              <w:top w:color="000000" w:space="0" w:sz="8"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55">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548000</w:t>
            </w:r>
          </w:p>
        </w:tc>
        <w:tc>
          <w:tcPr>
            <w:gridSpan w:val="2"/>
            <w:tcBorders>
              <w:top w:color="000000" w:space="0" w:sz="8" w:val="single"/>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56">
            <w:pPr>
              <w:jc w:val="center"/>
              <w:rPr/>
            </w:pPr>
            <w:r w:rsidDel="00000000" w:rsidR="00000000" w:rsidRPr="00000000">
              <w:rPr>
                <w:rtl w:val="0"/>
              </w:rPr>
              <w:t xml:space="preserve">214,66</w:t>
            </w:r>
          </w:p>
        </w:tc>
        <w:tc>
          <w:tcPr>
            <w:gridSpan w:val="2"/>
            <w:tcBorders>
              <w:top w:color="000000" w:space="0" w:sz="8" w:val="single"/>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58">
            <w:pPr>
              <w:jc w:val="center"/>
              <w:rPr/>
            </w:pPr>
            <w:r w:rsidDel="00000000" w:rsidR="00000000" w:rsidRPr="00000000">
              <w:rPr>
                <w:rtl w:val="0"/>
              </w:rPr>
              <w:t xml:space="preserve">-42</w:t>
            </w:r>
          </w:p>
        </w:tc>
        <w:tc>
          <w:tcPr>
            <w:gridSpan w:val="2"/>
            <w:tcBorders>
              <w:top w:color="000000" w:space="0" w:sz="8" w:val="single"/>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5A">
            <w:pPr>
              <w:jc w:val="center"/>
              <w:rPr/>
            </w:pPr>
            <w:r w:rsidDel="00000000" w:rsidR="00000000" w:rsidRPr="00000000">
              <w:rPr>
                <w:rtl w:val="0"/>
              </w:rPr>
              <w:t xml:space="preserve">-0,4010751102</w:t>
            </w:r>
          </w:p>
        </w:tc>
        <w:tc>
          <w:tcPr>
            <w:gridSpan w:val="3"/>
            <w:tcBorders>
              <w:top w:color="000000" w:space="0" w:sz="8" w:val="single"/>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5C">
            <w:pPr>
              <w:jc w:val="center"/>
              <w:rPr/>
            </w:pPr>
            <w:r w:rsidDel="00000000" w:rsidR="00000000" w:rsidRPr="00000000">
              <w:rPr>
                <w:rtl w:val="0"/>
              </w:rPr>
              <w:t xml:space="preserve">-12</w:t>
            </w:r>
          </w:p>
        </w:tc>
        <w:tc>
          <w:tcPr>
            <w:tcBorders>
              <w:top w:color="000000" w:space="0" w:sz="8" w:val="single"/>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5F">
            <w:pPr>
              <w:jc w:val="center"/>
              <w:rPr/>
            </w:pPr>
            <w:r w:rsidDel="00000000" w:rsidR="00000000" w:rsidRPr="00000000">
              <w:rPr>
                <w:rtl w:val="0"/>
              </w:rPr>
              <w:t xml:space="preserve">0,9663277683</w:t>
            </w:r>
          </w:p>
        </w:tc>
      </w:tr>
      <w:tr>
        <w:trPr>
          <w:cantSplit w:val="0"/>
          <w:trHeight w:val="17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60">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647001</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61">
            <w:pPr>
              <w:jc w:val="center"/>
              <w:rPr/>
            </w:pPr>
            <w:r w:rsidDel="00000000" w:rsidR="00000000" w:rsidRPr="00000000">
              <w:rPr>
                <w:rtl w:val="0"/>
              </w:rPr>
              <w:t xml:space="preserve">206,1</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63">
            <w:pPr>
              <w:jc w:val="center"/>
              <w:rPr/>
            </w:pPr>
            <w:r w:rsidDel="00000000" w:rsidR="00000000" w:rsidRPr="00000000">
              <w:rPr>
                <w:rtl w:val="0"/>
              </w:rPr>
              <w:t xml:space="preserve">-135</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65">
            <w:pPr>
              <w:jc w:val="center"/>
              <w:rPr/>
            </w:pPr>
            <w:r w:rsidDel="00000000" w:rsidR="00000000" w:rsidRPr="00000000">
              <w:rPr>
                <w:rtl w:val="0"/>
              </w:rPr>
              <w:t xml:space="preserve">-1,355311148</w:t>
            </w:r>
          </w:p>
        </w:tc>
        <w:tc>
          <w:tcPr>
            <w:gridSpan w:val="3"/>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67">
            <w:pPr>
              <w:jc w:val="center"/>
              <w:rPr/>
            </w:pPr>
            <w:r w:rsidDel="00000000" w:rsidR="00000000" w:rsidRPr="00000000">
              <w:rPr>
                <w:rtl w:val="0"/>
              </w:rPr>
              <w:t xml:space="preserve">126</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6A">
            <w:pPr>
              <w:jc w:val="center"/>
              <w:rPr/>
            </w:pPr>
            <w:r w:rsidDel="00000000" w:rsidR="00000000" w:rsidRPr="00000000">
              <w:rPr>
                <w:rtl w:val="0"/>
              </w:rPr>
              <w:t xml:space="preserve">1,264879883</w:t>
            </w:r>
          </w:p>
        </w:tc>
      </w:tr>
      <w:tr>
        <w:trPr>
          <w:cantSplit w:val="0"/>
          <w:trHeight w:val="17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6B">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648000</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6C">
            <w:pPr>
              <w:jc w:val="center"/>
              <w:rPr/>
            </w:pPr>
            <w:r w:rsidDel="00000000" w:rsidR="00000000" w:rsidRPr="00000000">
              <w:rPr>
                <w:rtl w:val="0"/>
              </w:rPr>
              <w:t xml:space="preserve">252,28</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6E">
            <w:pPr>
              <w:jc w:val="center"/>
              <w:rPr/>
            </w:pPr>
            <w:r w:rsidDel="00000000" w:rsidR="00000000" w:rsidRPr="00000000">
              <w:rPr>
                <w:rtl w:val="0"/>
              </w:rPr>
              <w:t xml:space="preserve">-8</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70">
            <w:pPr>
              <w:jc w:val="center"/>
              <w:rPr/>
            </w:pPr>
            <w:r w:rsidDel="00000000" w:rsidR="00000000" w:rsidRPr="00000000">
              <w:rPr>
                <w:rtl w:val="0"/>
              </w:rPr>
              <w:t xml:space="preserve">-0,1189749188</w:t>
            </w:r>
          </w:p>
        </w:tc>
        <w:tc>
          <w:tcPr>
            <w:gridSpan w:val="3"/>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72">
            <w:pPr>
              <w:jc w:val="center"/>
              <w:rPr/>
            </w:pPr>
            <w:r w:rsidDel="00000000" w:rsidR="00000000" w:rsidRPr="00000000">
              <w:rPr>
                <w:rtl w:val="0"/>
              </w:rPr>
              <w:t xml:space="preserve">-74</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75">
            <w:pPr>
              <w:jc w:val="center"/>
              <w:rPr/>
            </w:pPr>
            <w:r w:rsidDel="00000000" w:rsidR="00000000" w:rsidRPr="00000000">
              <w:rPr>
                <w:rtl w:val="0"/>
              </w:rPr>
              <w:t xml:space="preserve">-1,241703653</w:t>
            </w:r>
          </w:p>
        </w:tc>
      </w:tr>
      <w:tr>
        <w:trPr>
          <w:cantSplit w:val="0"/>
          <w:trHeight w:val="17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76">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648001</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77">
            <w:pPr>
              <w:jc w:val="center"/>
              <w:rPr/>
            </w:pPr>
            <w:r w:rsidDel="00000000" w:rsidR="00000000" w:rsidRPr="00000000">
              <w:rPr>
                <w:rtl w:val="0"/>
              </w:rPr>
              <w:t xml:space="preserve">195,88</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79">
            <w:pPr>
              <w:jc w:val="center"/>
              <w:rPr/>
            </w:pPr>
            <w:r w:rsidDel="00000000" w:rsidR="00000000" w:rsidRPr="00000000">
              <w:rPr>
                <w:rtl w:val="0"/>
              </w:rPr>
              <w:t xml:space="preserve">165</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7B">
            <w:pPr>
              <w:jc w:val="center"/>
              <w:rPr/>
            </w:pPr>
            <w:r w:rsidDel="00000000" w:rsidR="00000000" w:rsidRPr="00000000">
              <w:rPr>
                <w:rtl w:val="0"/>
              </w:rPr>
              <w:t xml:space="preserve">1,604300441</w:t>
            </w:r>
          </w:p>
        </w:tc>
        <w:tc>
          <w:tcPr>
            <w:gridSpan w:val="3"/>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7D">
            <w:pPr>
              <w:jc w:val="center"/>
              <w:rPr/>
            </w:pPr>
            <w:r w:rsidDel="00000000" w:rsidR="00000000" w:rsidRPr="00000000">
              <w:rPr>
                <w:rtl w:val="0"/>
              </w:rPr>
              <w:t xml:space="preserve">-117</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80">
            <w:pPr>
              <w:jc w:val="center"/>
              <w:rPr/>
            </w:pPr>
            <w:r w:rsidDel="00000000" w:rsidR="00000000" w:rsidRPr="00000000">
              <w:rPr>
                <w:rtl w:val="0"/>
              </w:rPr>
              <w:t xml:space="preserve">-1,135243593</w:t>
            </w:r>
          </w:p>
        </w:tc>
      </w:tr>
      <w:tr>
        <w:trPr>
          <w:cantSplit w:val="0"/>
          <w:trHeight w:val="17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81">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649003</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82">
            <w:pPr>
              <w:jc w:val="center"/>
              <w:rPr/>
            </w:pPr>
            <w:r w:rsidDel="00000000" w:rsidR="00000000" w:rsidRPr="00000000">
              <w:rPr>
                <w:rtl w:val="0"/>
              </w:rPr>
              <w:t xml:space="preserve">112,74</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84">
            <w:pPr>
              <w:jc w:val="center"/>
              <w:rPr/>
            </w:pPr>
            <w:r w:rsidDel="00000000" w:rsidR="00000000" w:rsidRPr="00000000">
              <w:rPr>
                <w:rtl w:val="0"/>
              </w:rPr>
              <w:t xml:space="preserve">-43</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86">
            <w:pPr>
              <w:jc w:val="center"/>
              <w:rPr/>
            </w:pPr>
            <w:r w:rsidDel="00000000" w:rsidR="00000000" w:rsidRPr="00000000">
              <w:rPr>
                <w:rtl w:val="0"/>
              </w:rPr>
              <w:t xml:space="preserve">-0,6811134211</w:t>
            </w:r>
          </w:p>
        </w:tc>
        <w:tc>
          <w:tcPr>
            <w:gridSpan w:val="3"/>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88">
            <w:pPr>
              <w:jc w:val="center"/>
              <w:rPr/>
            </w:pPr>
            <w:r w:rsidDel="00000000" w:rsidR="00000000" w:rsidRPr="00000000">
              <w:rPr>
                <w:rtl w:val="0"/>
              </w:rPr>
              <w:t xml:space="preserve">94</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8B">
            <w:pPr>
              <w:jc w:val="center"/>
              <w:rPr/>
            </w:pPr>
            <w:r w:rsidDel="00000000" w:rsidR="00000000" w:rsidRPr="00000000">
              <w:rPr>
                <w:rtl w:val="0"/>
              </w:rPr>
              <w:t xml:space="preserve">1,509867336</w:t>
            </w:r>
          </w:p>
        </w:tc>
      </w:tr>
      <w:tr>
        <w:trPr>
          <w:cantSplit w:val="0"/>
          <w:trHeight w:val="17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8C">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748001</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8D">
            <w:pPr>
              <w:jc w:val="center"/>
              <w:rPr/>
            </w:pPr>
            <w:r w:rsidDel="00000000" w:rsidR="00000000" w:rsidRPr="00000000">
              <w:rPr>
                <w:rtl w:val="0"/>
              </w:rPr>
              <w:t xml:space="preserve">213,49</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8F">
            <w:pPr>
              <w:jc w:val="center"/>
              <w:rPr/>
            </w:pPr>
            <w:r w:rsidDel="00000000" w:rsidR="00000000" w:rsidRPr="00000000">
              <w:rPr>
                <w:rtl w:val="0"/>
              </w:rPr>
              <w:t xml:space="preserve">24</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91">
            <w:pPr>
              <w:jc w:val="center"/>
              <w:rPr/>
            </w:pPr>
            <w:r w:rsidDel="00000000" w:rsidR="00000000" w:rsidRPr="00000000">
              <w:rPr>
                <w:rtl w:val="0"/>
              </w:rPr>
              <w:t xml:space="preserve">0,3729784219</w:t>
            </w:r>
          </w:p>
        </w:tc>
        <w:tc>
          <w:tcPr>
            <w:gridSpan w:val="3"/>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93">
            <w:pPr>
              <w:jc w:val="center"/>
              <w:rPr/>
            </w:pPr>
            <w:r w:rsidDel="00000000" w:rsidR="00000000" w:rsidRPr="00000000">
              <w:rPr>
                <w:rtl w:val="0"/>
              </w:rPr>
              <w:t xml:space="preserve">16</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96">
            <w:pPr>
              <w:jc w:val="center"/>
              <w:rPr/>
            </w:pPr>
            <w:r w:rsidDel="00000000" w:rsidR="00000000" w:rsidRPr="00000000">
              <w:rPr>
                <w:rtl w:val="0"/>
              </w:rPr>
              <w:t xml:space="preserve">0,2434200789</w:t>
            </w:r>
          </w:p>
        </w:tc>
      </w:tr>
      <w:tr>
        <w:trPr>
          <w:cantSplit w:val="0"/>
          <w:trHeight w:val="17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97">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748002</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98">
            <w:pPr>
              <w:jc w:val="center"/>
              <w:rPr/>
            </w:pPr>
            <w:r w:rsidDel="00000000" w:rsidR="00000000" w:rsidRPr="00000000">
              <w:rPr>
                <w:rtl w:val="0"/>
              </w:rPr>
              <w:t xml:space="preserve">208,61</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9A">
            <w:pPr>
              <w:jc w:val="center"/>
              <w:rPr/>
            </w:pPr>
            <w:r w:rsidDel="00000000" w:rsidR="00000000" w:rsidRPr="00000000">
              <w:rPr>
                <w:rtl w:val="0"/>
              </w:rPr>
              <w:t xml:space="preserve">-24</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9C">
            <w:pPr>
              <w:jc w:val="center"/>
              <w:rPr/>
            </w:pPr>
            <w:r w:rsidDel="00000000" w:rsidR="00000000" w:rsidRPr="00000000">
              <w:rPr>
                <w:rtl w:val="0"/>
              </w:rPr>
              <w:t xml:space="preserve">-0,1982562182</w:t>
            </w:r>
          </w:p>
        </w:tc>
        <w:tc>
          <w:tcPr>
            <w:gridSpan w:val="3"/>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9E">
            <w:pPr>
              <w:jc w:val="center"/>
              <w:rPr/>
            </w:pPr>
            <w:r w:rsidDel="00000000" w:rsidR="00000000" w:rsidRPr="00000000">
              <w:rPr>
                <w:rtl w:val="0"/>
              </w:rPr>
              <w:t xml:space="preserve">115</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A1">
            <w:pPr>
              <w:jc w:val="center"/>
              <w:rPr/>
            </w:pPr>
            <w:r w:rsidDel="00000000" w:rsidR="00000000" w:rsidRPr="00000000">
              <w:rPr>
                <w:rtl w:val="0"/>
              </w:rPr>
              <w:t xml:space="preserve">0,9830710279</w:t>
            </w:r>
          </w:p>
        </w:tc>
      </w:tr>
      <w:tr>
        <w:trPr>
          <w:cantSplit w:val="0"/>
          <w:trHeight w:val="17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A2">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748003</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A3">
            <w:pPr>
              <w:jc w:val="center"/>
              <w:rPr/>
            </w:pPr>
            <w:r w:rsidDel="00000000" w:rsidR="00000000" w:rsidRPr="00000000">
              <w:rPr>
                <w:rtl w:val="0"/>
              </w:rPr>
              <w:t xml:space="preserve">227,2</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A5">
            <w:pPr>
              <w:jc w:val="center"/>
              <w:rPr/>
            </w:pPr>
            <w:r w:rsidDel="00000000" w:rsidR="00000000" w:rsidRPr="00000000">
              <w:rPr>
                <w:rtl w:val="0"/>
              </w:rPr>
              <w:t xml:space="preserve">253</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A7">
            <w:pPr>
              <w:jc w:val="center"/>
              <w:rPr/>
            </w:pPr>
            <w:r w:rsidDel="00000000" w:rsidR="00000000" w:rsidRPr="00000000">
              <w:rPr>
                <w:rtl w:val="0"/>
              </w:rPr>
              <w:t xml:space="preserve">2,385974256</w:t>
            </w:r>
          </w:p>
        </w:tc>
        <w:tc>
          <w:tcPr>
            <w:gridSpan w:val="3"/>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A9">
            <w:pPr>
              <w:jc w:val="center"/>
              <w:rPr/>
            </w:pPr>
            <w:r w:rsidDel="00000000" w:rsidR="00000000" w:rsidRPr="00000000">
              <w:rPr>
                <w:rtl w:val="0"/>
              </w:rPr>
              <w:t xml:space="preserve">-231</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AC">
            <w:pPr>
              <w:jc w:val="center"/>
              <w:rPr/>
            </w:pPr>
            <w:r w:rsidDel="00000000" w:rsidR="00000000" w:rsidRPr="00000000">
              <w:rPr>
                <w:rtl w:val="0"/>
              </w:rPr>
              <w:t xml:space="preserve">-2,178804182</w:t>
            </w:r>
          </w:p>
        </w:tc>
      </w:tr>
      <w:tr>
        <w:trPr>
          <w:cantSplit w:val="0"/>
          <w:trHeight w:val="17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AD">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749000</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AE">
            <w:pPr>
              <w:jc w:val="center"/>
              <w:rPr/>
            </w:pPr>
            <w:r w:rsidDel="00000000" w:rsidR="00000000" w:rsidRPr="00000000">
              <w:rPr>
                <w:rtl w:val="0"/>
              </w:rPr>
              <w:t xml:space="preserve">215,31</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B0">
            <w:pPr>
              <w:jc w:val="center"/>
              <w:rPr/>
            </w:pPr>
            <w:r w:rsidDel="00000000" w:rsidR="00000000" w:rsidRPr="00000000">
              <w:rPr>
                <w:rtl w:val="0"/>
              </w:rPr>
              <w:t xml:space="preserve">20</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B2">
            <w:pPr>
              <w:jc w:val="center"/>
              <w:rPr/>
            </w:pPr>
            <w:r w:rsidDel="00000000" w:rsidR="00000000" w:rsidRPr="00000000">
              <w:rPr>
                <w:rtl w:val="0"/>
              </w:rPr>
              <w:t xml:space="preserve">0,1742386155</w:t>
            </w:r>
          </w:p>
        </w:tc>
        <w:tc>
          <w:tcPr>
            <w:gridSpan w:val="3"/>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B4">
            <w:pPr>
              <w:jc w:val="center"/>
              <w:rPr/>
            </w:pPr>
            <w:r w:rsidDel="00000000" w:rsidR="00000000" w:rsidRPr="00000000">
              <w:rPr>
                <w:rtl w:val="0"/>
              </w:rPr>
              <w:t xml:space="preserve">80</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B7">
            <w:pPr>
              <w:jc w:val="center"/>
              <w:rPr/>
            </w:pPr>
            <w:r w:rsidDel="00000000" w:rsidR="00000000" w:rsidRPr="00000000">
              <w:rPr>
                <w:rtl w:val="0"/>
              </w:rPr>
              <w:t xml:space="preserve">0,7248380085</w:t>
            </w:r>
          </w:p>
        </w:tc>
      </w:tr>
      <w:tr>
        <w:trPr>
          <w:cantSplit w:val="0"/>
          <w:trHeight w:val="17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B8">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749001</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B9">
            <w:pPr>
              <w:jc w:val="center"/>
              <w:rPr/>
            </w:pPr>
            <w:r w:rsidDel="00000000" w:rsidR="00000000" w:rsidRPr="00000000">
              <w:rPr>
                <w:rtl w:val="0"/>
              </w:rPr>
              <w:t xml:space="preserve">225,64</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BB">
            <w:pPr>
              <w:jc w:val="center"/>
              <w:rPr/>
            </w:pPr>
            <w:r w:rsidDel="00000000" w:rsidR="00000000" w:rsidRPr="00000000">
              <w:rPr>
                <w:rtl w:val="0"/>
              </w:rPr>
              <w:t xml:space="preserve">-63</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BD">
            <w:pPr>
              <w:jc w:val="center"/>
              <w:rPr/>
            </w:pPr>
            <w:r w:rsidDel="00000000" w:rsidR="00000000" w:rsidRPr="00000000">
              <w:rPr>
                <w:rtl w:val="0"/>
              </w:rPr>
              <w:t xml:space="preserve">-0,8444954362</w:t>
            </w:r>
          </w:p>
        </w:tc>
        <w:tc>
          <w:tcPr>
            <w:gridSpan w:val="3"/>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BF">
            <w:pPr>
              <w:jc w:val="center"/>
              <w:rPr/>
            </w:pPr>
            <w:r w:rsidDel="00000000" w:rsidR="00000000" w:rsidRPr="00000000">
              <w:rPr>
                <w:rtl w:val="0"/>
              </w:rPr>
              <w:t xml:space="preserve">119</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C2">
            <w:pPr>
              <w:jc w:val="center"/>
              <w:rPr/>
            </w:pPr>
            <w:r w:rsidDel="00000000" w:rsidR="00000000" w:rsidRPr="00000000">
              <w:rPr>
                <w:rtl w:val="0"/>
              </w:rPr>
              <w:t xml:space="preserve">1,60852949</w:t>
            </w:r>
          </w:p>
        </w:tc>
      </w:tr>
      <w:tr>
        <w:trPr>
          <w:cantSplit w:val="0"/>
          <w:trHeight w:val="17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3">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848000</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C4">
            <w:pPr>
              <w:jc w:val="center"/>
              <w:rPr/>
            </w:pPr>
            <w:r w:rsidDel="00000000" w:rsidR="00000000" w:rsidRPr="00000000">
              <w:rPr>
                <w:rtl w:val="0"/>
              </w:rPr>
              <w:t xml:space="preserve">217,31</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C6">
            <w:pPr>
              <w:jc w:val="center"/>
              <w:rPr/>
            </w:pPr>
            <w:r w:rsidDel="00000000" w:rsidR="00000000" w:rsidRPr="00000000">
              <w:rPr>
                <w:rtl w:val="0"/>
              </w:rPr>
              <w:t xml:space="preserve">169</w:t>
            </w:r>
          </w:p>
        </w:tc>
        <w:tc>
          <w:tcPr>
            <w:gridSpan w:val="2"/>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C8">
            <w:pPr>
              <w:jc w:val="center"/>
              <w:rPr/>
            </w:pPr>
            <w:r w:rsidDel="00000000" w:rsidR="00000000" w:rsidRPr="00000000">
              <w:rPr>
                <w:rtl w:val="0"/>
              </w:rPr>
              <w:t xml:space="preserve">1,405296105</w:t>
            </w:r>
          </w:p>
        </w:tc>
        <w:tc>
          <w:tcPr>
            <w:gridSpan w:val="3"/>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CA">
            <w:pPr>
              <w:jc w:val="center"/>
              <w:rPr/>
            </w:pPr>
            <w:r w:rsidDel="00000000" w:rsidR="00000000" w:rsidRPr="00000000">
              <w:rPr>
                <w:rtl w:val="0"/>
              </w:rPr>
              <w:t xml:space="preserve">-89</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CD">
            <w:pPr>
              <w:jc w:val="center"/>
              <w:rPr/>
            </w:pPr>
            <w:r w:rsidDel="00000000" w:rsidR="00000000" w:rsidRPr="00000000">
              <w:rPr>
                <w:rtl w:val="0"/>
              </w:rPr>
              <w:t xml:space="preserve">-0,7364349801</w:t>
            </w:r>
          </w:p>
        </w:tc>
      </w:tr>
      <w:tr>
        <w:trPr>
          <w:cantSplit w:val="0"/>
          <w:trHeight w:val="170" w:hRule="atLeast"/>
          <w:tblHeader w:val="0"/>
        </w:trPr>
        <w:tc>
          <w:tcPr>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1CE">
            <w:pPr>
              <w:pBdr>
                <w:bottom w:color="000000" w:space="8" w:sz="0" w:val="none"/>
              </w:pBdr>
              <w:shd w:fill="ffffff" w:val="clear"/>
              <w:tabs>
                <w:tab w:val="left" w:leader="none" w:pos="2500"/>
              </w:tabs>
              <w:spacing w:before="240" w:lineRule="auto"/>
              <w:jc w:val="center"/>
              <w:rPr/>
            </w:pPr>
            <w:r w:rsidDel="00000000" w:rsidR="00000000" w:rsidRPr="00000000">
              <w:rPr>
                <w:rtl w:val="0"/>
              </w:rPr>
              <w:t xml:space="preserve">848002</w:t>
            </w:r>
          </w:p>
        </w:tc>
        <w:tc>
          <w:tcPr>
            <w:gridSpan w:val="2"/>
            <w:tcBorders>
              <w:top w:color="000000" w:space="0" w:sz="0" w:val="nil"/>
              <w:left w:color="000000" w:space="0" w:sz="0" w:val="nil"/>
              <w:bottom w:color="000000" w:space="0" w:sz="8" w:val="single"/>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CF">
            <w:pPr>
              <w:jc w:val="center"/>
              <w:rPr/>
            </w:pPr>
            <w:r w:rsidDel="00000000" w:rsidR="00000000" w:rsidRPr="00000000">
              <w:rPr>
                <w:rtl w:val="0"/>
              </w:rPr>
              <w:t xml:space="preserve">205,61</w:t>
            </w:r>
          </w:p>
        </w:tc>
        <w:tc>
          <w:tcPr>
            <w:gridSpan w:val="2"/>
            <w:tcBorders>
              <w:top w:color="000000" w:space="0" w:sz="0" w:val="nil"/>
              <w:left w:color="000000" w:space="0" w:sz="0" w:val="nil"/>
              <w:bottom w:color="000000" w:space="0" w:sz="8" w:val="single"/>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D1">
            <w:pPr>
              <w:jc w:val="center"/>
              <w:rPr/>
            </w:pPr>
            <w:r w:rsidDel="00000000" w:rsidR="00000000" w:rsidRPr="00000000">
              <w:rPr>
                <w:rtl w:val="0"/>
              </w:rPr>
              <w:t xml:space="preserve">192</w:t>
            </w:r>
          </w:p>
        </w:tc>
        <w:tc>
          <w:tcPr>
            <w:gridSpan w:val="2"/>
            <w:tcBorders>
              <w:top w:color="000000" w:space="0" w:sz="0" w:val="nil"/>
              <w:left w:color="000000" w:space="0" w:sz="0" w:val="nil"/>
              <w:bottom w:color="000000" w:space="0" w:sz="8" w:val="single"/>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D3">
            <w:pPr>
              <w:jc w:val="center"/>
              <w:rPr/>
            </w:pPr>
            <w:r w:rsidDel="00000000" w:rsidR="00000000" w:rsidRPr="00000000">
              <w:rPr>
                <w:rtl w:val="0"/>
              </w:rPr>
              <w:t xml:space="preserve">1,646388594</w:t>
            </w:r>
          </w:p>
        </w:tc>
        <w:tc>
          <w:tcPr>
            <w:gridSpan w:val="3"/>
            <w:tcBorders>
              <w:top w:color="000000" w:space="0" w:sz="0" w:val="nil"/>
              <w:left w:color="000000" w:space="0" w:sz="0" w:val="nil"/>
              <w:bottom w:color="000000" w:space="0" w:sz="8" w:val="single"/>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D5">
            <w:pPr>
              <w:jc w:val="center"/>
              <w:rPr/>
            </w:pPr>
            <w:r w:rsidDel="00000000" w:rsidR="00000000" w:rsidRPr="00000000">
              <w:rPr>
                <w:rtl w:val="0"/>
              </w:rPr>
              <w:t xml:space="preserve">-24</w:t>
            </w:r>
          </w:p>
        </w:tc>
        <w:tc>
          <w:tcPr>
            <w:tcBorders>
              <w:top w:color="000000" w:space="0" w:sz="0" w:val="nil"/>
              <w:left w:color="000000" w:space="0" w:sz="0" w:val="nil"/>
              <w:bottom w:color="000000" w:space="0" w:sz="8" w:val="single"/>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1D8">
            <w:pPr>
              <w:jc w:val="center"/>
              <w:rPr/>
            </w:pPr>
            <w:r w:rsidDel="00000000" w:rsidR="00000000" w:rsidRPr="00000000">
              <w:rPr>
                <w:rtl w:val="0"/>
              </w:rPr>
              <w:t xml:space="preserve">-0,1983358872</w:t>
            </w:r>
          </w:p>
        </w:tc>
      </w:tr>
    </w:tbl>
    <w:p w:rsidR="00000000" w:rsidDel="00000000" w:rsidP="00000000" w:rsidRDefault="00000000" w:rsidRPr="00000000" w14:paraId="000001D9">
      <w:pPr>
        <w:widowControl w:val="1"/>
        <w:spacing w:after="200" w:lineRule="auto"/>
        <w:jc w:val="both"/>
        <w:rPr/>
      </w:pPr>
      <w:r w:rsidDel="00000000" w:rsidR="00000000" w:rsidRPr="00000000">
        <w:rPr>
          <w:rtl w:val="0"/>
        </w:rPr>
        <w:t xml:space="preserve">Fonte: Autor, (2025). </w:t>
      </w:r>
      <w:r w:rsidDel="00000000" w:rsidR="00000000" w:rsidRPr="00000000">
        <w:rPr>
          <w:b w:val="1"/>
          <w:bCs w:val="1"/>
          <w:rtl w:val="0"/>
        </w:rPr>
        <w:t xml:space="preserve">Nota: </w:t>
      </w:r>
      <w:r w:rsidDel="00000000" w:rsidR="00000000" w:rsidRPr="00000000">
        <w:rPr>
          <w:rtl w:val="0"/>
        </w:rPr>
        <w:t xml:space="preserve">p&lt;0,05 foram considerados estatisticamente significantes. </w:t>
      </w:r>
    </w:p>
    <w:p w:rsidR="00000000" w:rsidDel="00000000" w:rsidP="00000000" w:rsidRDefault="00000000" w:rsidRPr="00000000" w14:paraId="000001DA">
      <w:pPr>
        <w:widowControl w:val="1"/>
        <w:spacing w:after="200" w:line="360" w:lineRule="auto"/>
        <w:ind w:firstLine="720"/>
        <w:jc w:val="both"/>
        <w:rPr>
          <w:sz w:val="24"/>
          <w:szCs w:val="24"/>
        </w:rPr>
      </w:pPr>
      <w:r w:rsidDel="00000000" w:rsidR="00000000" w:rsidRPr="00000000">
        <w:rPr>
          <w:sz w:val="24"/>
          <w:szCs w:val="24"/>
          <w:rtl w:val="0"/>
        </w:rPr>
        <w:t xml:space="preserve">As evidências observadas são coerentes com estudos recentes que descrevem o prolongamento da estação seca e a redução da umidade atmosférica na Amazônia, associados tanto ao aquecimento dos oceanos (El Niño e Atlântico tropical norte) quanto ao avanço do desmatamento e à degradação da floresta (Fu et al., 2013; Arvor et al., 2018; Espinoza et al., 2021; Artaxo, 2023). O processo de “cerradização” da Amazônia oriental, descrito por Artaxo (2023), pode estar contribuindo para o aumento dos dias secos em outubro e para a antecipação da estação seca, alterando o ciclo hidrológico e a dinâmica dos ecossistemas em escala regional. Assim, os resultados reforçam a hipótese de que a porção amazônica do Tocantins também está passando por uma mudança de configuração sazonal da precipitação, que pode ocasionar implicações ambientais, agrícolas e hidrológicas.</w:t>
      </w:r>
    </w:p>
    <w:p w:rsidR="00000000" w:rsidDel="00000000" w:rsidP="00000000" w:rsidRDefault="00000000" w:rsidRPr="00000000" w14:paraId="000001DB">
      <w:pPr>
        <w:widowControl w:val="1"/>
        <w:tabs>
          <w:tab w:val="left" w:leader="none" w:pos="1290"/>
        </w:tabs>
        <w:spacing w:after="160" w:line="259" w:lineRule="auto"/>
        <w:jc w:val="both"/>
        <w:rPr>
          <w:sz w:val="28"/>
          <w:szCs w:val="28"/>
        </w:rPr>
      </w:pPr>
      <w:r w:rsidDel="00000000" w:rsidR="00000000" w:rsidRPr="00000000">
        <w:rPr>
          <w:b w:val="1"/>
          <w:bCs w:val="1"/>
          <w:sz w:val="24"/>
          <w:szCs w:val="24"/>
          <w:rtl w:val="0"/>
        </w:rPr>
        <w:t xml:space="preserve">4. CONSIDERAÇÕES FINAIS</w:t>
      </w:r>
      <w:r w:rsidDel="00000000" w:rsidR="00000000" w:rsidRPr="00000000">
        <w:rPr>
          <w:rtl w:val="0"/>
        </w:rPr>
      </w:r>
    </w:p>
    <w:p w:rsidR="00000000" w:rsidDel="00000000" w:rsidP="00000000" w:rsidRDefault="00000000" w:rsidRPr="00000000" w14:paraId="000001DC">
      <w:pPr>
        <w:widowControl w:val="1"/>
        <w:tabs>
          <w:tab w:val="left" w:leader="none" w:pos="699"/>
        </w:tabs>
        <w:spacing w:line="360" w:lineRule="auto"/>
        <w:jc w:val="both"/>
        <w:rPr>
          <w:sz w:val="24"/>
          <w:szCs w:val="24"/>
        </w:rPr>
      </w:pPr>
      <w:r w:rsidDel="00000000" w:rsidR="00000000" w:rsidRPr="00000000">
        <w:rPr>
          <w:sz w:val="24"/>
          <w:szCs w:val="24"/>
          <w:rtl w:val="0"/>
        </w:rPr>
        <w:tab/>
        <w:t xml:space="preserve">Este estudo avaliou as tendências do total de precipitação e do total de dias secos em um conjunto de doze estações pluviométricas localizadas na porção amazônica do Tocantins, entre 1969 e 2024. As análises, realizadas para o período da estação chuvosa (outubro a abril) e especificamente para os meses de outubro e abril, revelaram um padrão espacial heterogêneo e tendências contrastantes, refletindo a complexidade das dinâmicas pluviométricas regionais. No conjunto das estações, dentro da estação chuvosa, verificaram-se tendências estatisticamente significativas em parte dessas estações, tanto de aumento quanto de redução do total de precipitação e dos dias secos, indicando mudança na configuração da estação chuvosa local.</w:t>
      </w:r>
    </w:p>
    <w:p w:rsidR="00000000" w:rsidDel="00000000" w:rsidP="00000000" w:rsidRDefault="00000000" w:rsidRPr="00000000" w14:paraId="000001DD">
      <w:pPr>
        <w:widowControl w:val="1"/>
        <w:tabs>
          <w:tab w:val="left" w:leader="none" w:pos="699"/>
        </w:tabs>
        <w:spacing w:line="360" w:lineRule="auto"/>
        <w:jc w:val="both"/>
        <w:rPr>
          <w:sz w:val="24"/>
          <w:szCs w:val="24"/>
        </w:rPr>
      </w:pPr>
      <w:r w:rsidDel="00000000" w:rsidR="00000000" w:rsidRPr="00000000">
        <w:rPr>
          <w:sz w:val="24"/>
          <w:szCs w:val="24"/>
          <w:rtl w:val="0"/>
        </w:rPr>
        <w:tab/>
        <w:t xml:space="preserve">Em outubro, predominaram tendências de redução da precipitação e aumento do total de dias secos, muitas delas significativas, sugerindo atraso no início da estação chuvosa. Já em abril, os resultados foram mais dispersos e, em sua maioria, não significativos, apontando para uma transição mais gradual para o período seco. Esses padrões reforçam a hipótese de encurtamento e maior irregularidade da estação chuvosa na porção Amazônica do Tocantins, associada à intensificação das forçantes climáticas regionais e das mudanças no uso e cobertura da terra. Tais evidências ressaltam a importância do monitoramento contínuo e do planejamento dos recursos hídricos e agrícolas, como medidas essenciais diante do avanço das mudanças nas condições climáticas regionais.</w:t>
      </w:r>
    </w:p>
    <w:p w:rsidR="00000000" w:rsidDel="00000000" w:rsidP="00000000" w:rsidRDefault="00000000" w:rsidRPr="00000000" w14:paraId="000001DE">
      <w:pPr>
        <w:widowControl w:val="1"/>
        <w:tabs>
          <w:tab w:val="left" w:leader="none" w:pos="1290"/>
        </w:tabs>
        <w:spacing w:after="200" w:before="200" w:line="259" w:lineRule="auto"/>
        <w:jc w:val="both"/>
        <w:rPr>
          <w:b w:val="1"/>
          <w:bCs w:val="1"/>
          <w:sz w:val="24"/>
          <w:szCs w:val="24"/>
        </w:rPr>
      </w:pPr>
      <w:r w:rsidDel="00000000" w:rsidR="00000000" w:rsidRPr="00000000">
        <w:rPr>
          <w:b w:val="1"/>
          <w:bCs w:val="1"/>
          <w:sz w:val="24"/>
          <w:szCs w:val="24"/>
          <w:rtl w:val="0"/>
        </w:rPr>
        <w:t xml:space="preserve">REFERÊNCIAS</w:t>
      </w:r>
    </w:p>
    <w:p w:rsidR="00000000" w:rsidDel="00000000" w:rsidP="00000000" w:rsidRDefault="00000000" w:rsidRPr="00000000" w14:paraId="000001DF">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ARVOR, D.; MEIRELLES, M.; BÉGUÉ, A.; COQUERY, M.; DUBREUIL, V.; SHIMABUKURO, Y. E. </w:t>
      </w:r>
      <w:r w:rsidDel="00000000" w:rsidR="00000000" w:rsidRPr="00000000">
        <w:rPr>
          <w:b w:val="1"/>
          <w:bCs w:val="1"/>
          <w:sz w:val="24"/>
          <w:szCs w:val="24"/>
          <w:rtl w:val="0"/>
        </w:rPr>
        <w:t xml:space="preserve">Monitoring thirty years of small water reservoirs proliferation in the southern Brazilian Amazon with Landsat time series.</w:t>
      </w:r>
      <w:r w:rsidDel="00000000" w:rsidR="00000000" w:rsidRPr="00000000">
        <w:rPr>
          <w:sz w:val="24"/>
          <w:szCs w:val="24"/>
          <w:rtl w:val="0"/>
        </w:rPr>
        <w:t xml:space="preserve"> </w:t>
      </w:r>
      <w:r w:rsidDel="00000000" w:rsidR="00000000" w:rsidRPr="00000000">
        <w:rPr>
          <w:i w:val="1"/>
          <w:iCs w:val="1"/>
          <w:sz w:val="24"/>
          <w:szCs w:val="24"/>
          <w:rtl w:val="0"/>
        </w:rPr>
        <w:t xml:space="preserve">ISPRS Journal of Photogrammetry and Remote Sensing</w:t>
      </w:r>
      <w:r w:rsidDel="00000000" w:rsidR="00000000" w:rsidRPr="00000000">
        <w:rPr>
          <w:sz w:val="24"/>
          <w:szCs w:val="24"/>
          <w:rtl w:val="0"/>
        </w:rPr>
        <w:t xml:space="preserve">, v. 145, p. 225–237, 2018.</w:t>
      </w:r>
    </w:p>
    <w:p w:rsidR="00000000" w:rsidDel="00000000" w:rsidP="00000000" w:rsidRDefault="00000000" w:rsidRPr="00000000" w14:paraId="000001E0">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ARTAXO, Paulo.</w:t>
      </w:r>
      <w:r w:rsidDel="00000000" w:rsidR="00000000" w:rsidRPr="00000000">
        <w:rPr>
          <w:b w:val="1"/>
          <w:bCs w:val="1"/>
          <w:sz w:val="24"/>
          <w:szCs w:val="24"/>
          <w:rtl w:val="0"/>
        </w:rPr>
        <w:t xml:space="preserve"> Amazon deforestation implications in local/regional climate change.</w:t>
      </w:r>
      <w:r w:rsidDel="00000000" w:rsidR="00000000" w:rsidRPr="00000000">
        <w:rPr>
          <w:sz w:val="24"/>
          <w:szCs w:val="24"/>
          <w:rtl w:val="0"/>
        </w:rPr>
        <w:t xml:space="preserve"> </w:t>
      </w:r>
      <w:r w:rsidDel="00000000" w:rsidR="00000000" w:rsidRPr="00000000">
        <w:rPr>
          <w:i w:val="1"/>
          <w:iCs w:val="1"/>
          <w:sz w:val="24"/>
          <w:szCs w:val="24"/>
          <w:rtl w:val="0"/>
        </w:rPr>
        <w:t xml:space="preserve">Proceedings of the National Academy of Sciences</w:t>
      </w:r>
      <w:r w:rsidDel="00000000" w:rsidR="00000000" w:rsidRPr="00000000">
        <w:rPr>
          <w:sz w:val="24"/>
          <w:szCs w:val="24"/>
          <w:rtl w:val="0"/>
        </w:rPr>
        <w:t xml:space="preserve">, v. 120, n. 50, e2317456120, 2023.</w:t>
      </w:r>
    </w:p>
    <w:p w:rsidR="00000000" w:rsidDel="00000000" w:rsidP="00000000" w:rsidRDefault="00000000" w:rsidRPr="00000000" w14:paraId="000001E1">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FU, R.; GOMES, A. M.; ZHANG, Y.; RAO, V. B.; LI, W.; JUAREZ, R. I. N.; FISCH, G.; DIAS, M. A. F. S.; DA ROCHA, H. R. </w:t>
      </w:r>
      <w:r w:rsidDel="00000000" w:rsidR="00000000" w:rsidRPr="00000000">
        <w:rPr>
          <w:b w:val="1"/>
          <w:bCs w:val="1"/>
          <w:sz w:val="24"/>
          <w:szCs w:val="24"/>
          <w:rtl w:val="0"/>
        </w:rPr>
        <w:t xml:space="preserve">Increased dry-season length over southern Amazonia in recent decades and its implication for future climate projections.</w:t>
      </w:r>
      <w:r w:rsidDel="00000000" w:rsidR="00000000" w:rsidRPr="00000000">
        <w:rPr>
          <w:sz w:val="24"/>
          <w:szCs w:val="24"/>
          <w:rtl w:val="0"/>
        </w:rPr>
        <w:t xml:space="preserve"> </w:t>
      </w:r>
      <w:r w:rsidDel="00000000" w:rsidR="00000000" w:rsidRPr="00000000">
        <w:rPr>
          <w:i w:val="1"/>
          <w:iCs w:val="1"/>
          <w:sz w:val="24"/>
          <w:szCs w:val="24"/>
          <w:rtl w:val="0"/>
        </w:rPr>
        <w:t xml:space="preserve">Proceedings of the National Academy of Sciences of the United States of America</w:t>
      </w:r>
      <w:r w:rsidDel="00000000" w:rsidR="00000000" w:rsidRPr="00000000">
        <w:rPr>
          <w:sz w:val="24"/>
          <w:szCs w:val="24"/>
          <w:rtl w:val="0"/>
        </w:rPr>
        <w:t xml:space="preserve">, v. 110, n. 45, p. 18110–18115, 2013.</w:t>
      </w:r>
    </w:p>
    <w:p w:rsidR="00000000" w:rsidDel="00000000" w:rsidP="00000000" w:rsidRDefault="00000000" w:rsidRPr="00000000" w14:paraId="000001E2">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IRANNEZHAD, M.; MARTTILA, H.; DE-LIANG, C.; KLØVE, B. </w:t>
      </w:r>
      <w:r w:rsidDel="00000000" w:rsidR="00000000" w:rsidRPr="00000000">
        <w:rPr>
          <w:b w:val="1"/>
          <w:bCs w:val="1"/>
          <w:sz w:val="24"/>
          <w:szCs w:val="24"/>
          <w:rtl w:val="0"/>
        </w:rPr>
        <w:t xml:space="preserve">Century-long variability and trends in daily precipitation characteristics at three Finnish stations.</w:t>
      </w:r>
      <w:r w:rsidDel="00000000" w:rsidR="00000000" w:rsidRPr="00000000">
        <w:rPr>
          <w:sz w:val="24"/>
          <w:szCs w:val="24"/>
          <w:rtl w:val="0"/>
        </w:rPr>
        <w:t xml:space="preserve"> </w:t>
      </w:r>
      <w:r w:rsidDel="00000000" w:rsidR="00000000" w:rsidRPr="00000000">
        <w:rPr>
          <w:i w:val="1"/>
          <w:iCs w:val="1"/>
          <w:sz w:val="24"/>
          <w:szCs w:val="24"/>
          <w:rtl w:val="0"/>
        </w:rPr>
        <w:t xml:space="preserve">Advances in Climate Change Research</w:t>
      </w:r>
      <w:r w:rsidDel="00000000" w:rsidR="00000000" w:rsidRPr="00000000">
        <w:rPr>
          <w:sz w:val="24"/>
          <w:szCs w:val="24"/>
          <w:rtl w:val="0"/>
        </w:rPr>
        <w:t xml:space="preserve">, 7, 54–69, 2016.</w:t>
      </w:r>
    </w:p>
    <w:p w:rsidR="00000000" w:rsidDel="00000000" w:rsidP="00000000" w:rsidRDefault="00000000" w:rsidRPr="00000000" w14:paraId="000001E3">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KENDALL, M. G. </w:t>
      </w:r>
      <w:r w:rsidDel="00000000" w:rsidR="00000000" w:rsidRPr="00000000">
        <w:rPr>
          <w:b w:val="1"/>
          <w:bCs w:val="1"/>
          <w:sz w:val="24"/>
          <w:szCs w:val="24"/>
          <w:rtl w:val="0"/>
        </w:rPr>
        <w:t xml:space="preserve">Rank correlation measures.</w:t>
      </w:r>
      <w:r w:rsidDel="00000000" w:rsidR="00000000" w:rsidRPr="00000000">
        <w:rPr>
          <w:sz w:val="24"/>
          <w:szCs w:val="24"/>
          <w:rtl w:val="0"/>
        </w:rPr>
        <w:t xml:space="preserve"> </w:t>
      </w:r>
      <w:r w:rsidDel="00000000" w:rsidR="00000000" w:rsidRPr="00000000">
        <w:rPr>
          <w:i w:val="1"/>
          <w:iCs w:val="1"/>
          <w:sz w:val="24"/>
          <w:szCs w:val="24"/>
          <w:rtl w:val="0"/>
        </w:rPr>
        <w:t xml:space="preserve">London: Charles Griffin</w:t>
      </w:r>
      <w:r w:rsidDel="00000000" w:rsidR="00000000" w:rsidRPr="00000000">
        <w:rPr>
          <w:sz w:val="24"/>
          <w:szCs w:val="24"/>
          <w:rtl w:val="0"/>
        </w:rPr>
        <w:t xml:space="preserve">, 220 p., 1975.</w:t>
      </w:r>
    </w:p>
    <w:p w:rsidR="00000000" w:rsidDel="00000000" w:rsidP="00000000" w:rsidRDefault="00000000" w:rsidRPr="00000000" w14:paraId="000001E4">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KOCSIS, T.; SZÉKELY, I. K.; ANDA, A. </w:t>
      </w:r>
      <w:r w:rsidDel="00000000" w:rsidR="00000000" w:rsidRPr="00000000">
        <w:rPr>
          <w:b w:val="1"/>
          <w:bCs w:val="1"/>
          <w:sz w:val="24"/>
          <w:szCs w:val="24"/>
          <w:rtl w:val="0"/>
        </w:rPr>
        <w:t xml:space="preserve">Homogeneity tests and non-parametric analyses of tendencies in precipitation time series in Keszthely, Western Hungary.</w:t>
      </w:r>
      <w:r w:rsidDel="00000000" w:rsidR="00000000" w:rsidRPr="00000000">
        <w:rPr>
          <w:sz w:val="24"/>
          <w:szCs w:val="24"/>
          <w:rtl w:val="0"/>
        </w:rPr>
        <w:t xml:space="preserve"> </w:t>
      </w:r>
      <w:r w:rsidDel="00000000" w:rsidR="00000000" w:rsidRPr="00000000">
        <w:rPr>
          <w:i w:val="1"/>
          <w:iCs w:val="1"/>
          <w:sz w:val="24"/>
          <w:szCs w:val="24"/>
          <w:rtl w:val="0"/>
        </w:rPr>
        <w:t xml:space="preserve">Theoretical and Applied Climatology</w:t>
      </w:r>
      <w:r w:rsidDel="00000000" w:rsidR="00000000" w:rsidRPr="00000000">
        <w:rPr>
          <w:sz w:val="24"/>
          <w:szCs w:val="24"/>
          <w:rtl w:val="0"/>
        </w:rPr>
        <w:t xml:space="preserve">, 139, 849–859, 2020.</w:t>
      </w:r>
    </w:p>
    <w:p w:rsidR="00000000" w:rsidDel="00000000" w:rsidP="00000000" w:rsidRDefault="00000000" w:rsidRPr="00000000" w14:paraId="000001E5">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MANN, H. B. </w:t>
      </w:r>
      <w:r w:rsidDel="00000000" w:rsidR="00000000" w:rsidRPr="00000000">
        <w:rPr>
          <w:b w:val="1"/>
          <w:bCs w:val="1"/>
          <w:sz w:val="24"/>
          <w:szCs w:val="24"/>
          <w:rtl w:val="0"/>
        </w:rPr>
        <w:t xml:space="preserve">Nonparametric tests against trend.</w:t>
      </w:r>
      <w:r w:rsidDel="00000000" w:rsidR="00000000" w:rsidRPr="00000000">
        <w:rPr>
          <w:sz w:val="24"/>
          <w:szCs w:val="24"/>
          <w:rtl w:val="0"/>
        </w:rPr>
        <w:t xml:space="preserve"> </w:t>
      </w:r>
      <w:r w:rsidDel="00000000" w:rsidR="00000000" w:rsidRPr="00000000">
        <w:rPr>
          <w:i w:val="1"/>
          <w:iCs w:val="1"/>
          <w:sz w:val="24"/>
          <w:szCs w:val="24"/>
          <w:rtl w:val="0"/>
        </w:rPr>
        <w:t xml:space="preserve">Econometrica</w:t>
      </w:r>
      <w:r w:rsidDel="00000000" w:rsidR="00000000" w:rsidRPr="00000000">
        <w:rPr>
          <w:sz w:val="24"/>
          <w:szCs w:val="24"/>
          <w:rtl w:val="0"/>
        </w:rPr>
        <w:t xml:space="preserve">, v. 13, n. 3, p. 245–259, 1945.</w:t>
      </w:r>
    </w:p>
    <w:p w:rsidR="00000000" w:rsidDel="00000000" w:rsidP="00000000" w:rsidRDefault="00000000" w:rsidRPr="00000000" w14:paraId="000001E6">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MARENGO, J. A.; CUNHA, A. P.; ESPINOZA, J.-C.; FU, R.; SCHÖNGART, J.; JIMENEZ, J. C.; COSTA, M. C.; RIBEIRO, J. M.; WONGCHUIG, S.; ZHAO, S.</w:t>
      </w:r>
      <w:r w:rsidDel="00000000" w:rsidR="00000000" w:rsidRPr="00000000">
        <w:rPr>
          <w:b w:val="1"/>
          <w:bCs w:val="1"/>
          <w:sz w:val="24"/>
          <w:szCs w:val="24"/>
          <w:rtl w:val="0"/>
        </w:rPr>
        <w:t xml:space="preserve"> The drought of Amazonia in 2023–2024.</w:t>
      </w:r>
      <w:r w:rsidDel="00000000" w:rsidR="00000000" w:rsidRPr="00000000">
        <w:rPr>
          <w:sz w:val="24"/>
          <w:szCs w:val="24"/>
          <w:rtl w:val="0"/>
        </w:rPr>
        <w:t xml:space="preserve"> </w:t>
      </w:r>
      <w:r w:rsidDel="00000000" w:rsidR="00000000" w:rsidRPr="00000000">
        <w:rPr>
          <w:i w:val="1"/>
          <w:iCs w:val="1"/>
          <w:sz w:val="24"/>
          <w:szCs w:val="24"/>
          <w:rtl w:val="0"/>
        </w:rPr>
        <w:t xml:space="preserve">American Journal of Climate Change</w:t>
      </w:r>
      <w:r w:rsidDel="00000000" w:rsidR="00000000" w:rsidRPr="00000000">
        <w:rPr>
          <w:sz w:val="24"/>
          <w:szCs w:val="24"/>
          <w:rtl w:val="0"/>
        </w:rPr>
        <w:t xml:space="preserve">, v. 13, p. 567–597, 2024.</w:t>
      </w:r>
    </w:p>
    <w:p w:rsidR="00000000" w:rsidDel="00000000" w:rsidP="00000000" w:rsidRDefault="00000000" w:rsidRPr="00000000" w14:paraId="000001E7">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SANTOS, V. C. dos; SILVA, R. A. e; MACIEL, G. F. </w:t>
      </w:r>
      <w:r w:rsidDel="00000000" w:rsidR="00000000" w:rsidRPr="00000000">
        <w:rPr>
          <w:b w:val="1"/>
          <w:bCs w:val="1"/>
          <w:sz w:val="24"/>
          <w:szCs w:val="24"/>
          <w:rtl w:val="0"/>
        </w:rPr>
        <w:t xml:space="preserve">Detecção de tendências na estação chuvosa do estado do Tocantins.</w:t>
      </w:r>
      <w:r w:rsidDel="00000000" w:rsidR="00000000" w:rsidRPr="00000000">
        <w:rPr>
          <w:sz w:val="24"/>
          <w:szCs w:val="24"/>
          <w:rtl w:val="0"/>
        </w:rPr>
        <w:t xml:space="preserve"> </w:t>
      </w:r>
      <w:r w:rsidDel="00000000" w:rsidR="00000000" w:rsidRPr="00000000">
        <w:rPr>
          <w:i w:val="1"/>
          <w:iCs w:val="1"/>
          <w:sz w:val="24"/>
          <w:szCs w:val="24"/>
          <w:rtl w:val="0"/>
        </w:rPr>
        <w:t xml:space="preserve">Desafios – Revista Interdisciplinar da Universidade Federal do Tocantins</w:t>
      </w:r>
      <w:r w:rsidDel="00000000" w:rsidR="00000000" w:rsidRPr="00000000">
        <w:rPr>
          <w:sz w:val="24"/>
          <w:szCs w:val="24"/>
          <w:rtl w:val="0"/>
        </w:rPr>
        <w:t xml:space="preserve">, v. 11, n. 3, 2024.</w:t>
      </w:r>
    </w:p>
    <w:p w:rsidR="00000000" w:rsidDel="00000000" w:rsidP="00000000" w:rsidRDefault="00000000" w:rsidRPr="00000000" w14:paraId="000001E8">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SEPLAN – Secretaria do Planejamento e Orçamento do Estado do Tocantins.</w:t>
      </w:r>
      <w:r w:rsidDel="00000000" w:rsidR="00000000" w:rsidRPr="00000000">
        <w:rPr>
          <w:b w:val="1"/>
          <w:bCs w:val="1"/>
          <w:sz w:val="24"/>
          <w:szCs w:val="24"/>
          <w:rtl w:val="0"/>
        </w:rPr>
        <w:t xml:space="preserve"> Bacias hidrográficas. Plano de informação de bacias hidrográficas em escala 100.000 com recorte espacial para o Estado do Tocantins.</w:t>
      </w:r>
      <w:r w:rsidDel="00000000" w:rsidR="00000000" w:rsidRPr="00000000">
        <w:rPr>
          <w:sz w:val="24"/>
          <w:szCs w:val="24"/>
          <w:rtl w:val="0"/>
        </w:rPr>
        <w:t xml:space="preserve"> Palmas: SEFAZ-TO, 2012.</w:t>
      </w:r>
    </w:p>
    <w:p w:rsidR="00000000" w:rsidDel="00000000" w:rsidP="00000000" w:rsidRDefault="00000000" w:rsidRPr="00000000" w14:paraId="000001E9">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SEPLAN – Secretaria do Planejamento e Orçamento do Estado do Tocantins.</w:t>
      </w:r>
      <w:r w:rsidDel="00000000" w:rsidR="00000000" w:rsidRPr="00000000">
        <w:rPr>
          <w:b w:val="1"/>
          <w:bCs w:val="1"/>
          <w:sz w:val="24"/>
          <w:szCs w:val="24"/>
          <w:rtl w:val="0"/>
        </w:rPr>
        <w:t xml:space="preserve"> Limite municipal 2022 A. Plano de informação de limites municipais do Estado do Tocantins, em escala 1:25.000.</w:t>
      </w:r>
      <w:r w:rsidDel="00000000" w:rsidR="00000000" w:rsidRPr="00000000">
        <w:rPr>
          <w:sz w:val="24"/>
          <w:szCs w:val="24"/>
          <w:rtl w:val="0"/>
        </w:rPr>
        <w:t xml:space="preserve"> Versão 2022. Palmas: SEPLAN-TO/SEFAZ-TO, 2022.</w:t>
      </w:r>
    </w:p>
    <w:p w:rsidR="00000000" w:rsidDel="00000000" w:rsidP="00000000" w:rsidRDefault="00000000" w:rsidRPr="00000000" w14:paraId="000001EA">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SILVA, R. A.; SANTOS, V. C. dos; MACIEL, G. F. </w:t>
      </w:r>
      <w:r w:rsidDel="00000000" w:rsidR="00000000" w:rsidRPr="00000000">
        <w:rPr>
          <w:b w:val="1"/>
          <w:bCs w:val="1"/>
          <w:sz w:val="24"/>
          <w:szCs w:val="24"/>
          <w:rtl w:val="0"/>
        </w:rPr>
        <w:t xml:space="preserve">Variabilidade temporal dos atributos da estação chuvosa de Palmas, Tocantins.</w:t>
      </w:r>
      <w:r w:rsidDel="00000000" w:rsidR="00000000" w:rsidRPr="00000000">
        <w:rPr>
          <w:sz w:val="24"/>
          <w:szCs w:val="24"/>
          <w:rtl w:val="0"/>
        </w:rPr>
        <w:t xml:space="preserve"> </w:t>
      </w:r>
      <w:r w:rsidDel="00000000" w:rsidR="00000000" w:rsidRPr="00000000">
        <w:rPr>
          <w:i w:val="1"/>
          <w:iCs w:val="1"/>
          <w:sz w:val="24"/>
          <w:szCs w:val="24"/>
          <w:rtl w:val="0"/>
        </w:rPr>
        <w:t xml:space="preserve">Revista Brasileira de Geografia Física</w:t>
      </w:r>
      <w:r w:rsidDel="00000000" w:rsidR="00000000" w:rsidRPr="00000000">
        <w:rPr>
          <w:sz w:val="24"/>
          <w:szCs w:val="24"/>
          <w:rtl w:val="0"/>
        </w:rPr>
        <w:t xml:space="preserve">, v. 17, n. 3, p. 1630–1648, 2024.</w:t>
      </w:r>
    </w:p>
    <w:p w:rsidR="00000000" w:rsidDel="00000000" w:rsidP="00000000" w:rsidRDefault="00000000" w:rsidRPr="00000000" w14:paraId="000001EB">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SILVA JUNIOR, Celso Henrique Leite; ALMEIDA, Catherine Torres de; ARAGÃO, Luiz Eduardo Oliveira e Cruz de; ANDERSON, Liana Oighenstein. </w:t>
      </w:r>
      <w:r w:rsidDel="00000000" w:rsidR="00000000" w:rsidRPr="00000000">
        <w:rPr>
          <w:b w:val="1"/>
          <w:bCs w:val="1"/>
          <w:sz w:val="24"/>
          <w:szCs w:val="24"/>
          <w:rtl w:val="0"/>
        </w:rPr>
        <w:t xml:space="preserve">Tendências espaço-temporais das chuvas na Amazônia brasileira</w:t>
      </w:r>
      <w:r w:rsidDel="00000000" w:rsidR="00000000" w:rsidRPr="00000000">
        <w:rPr>
          <w:sz w:val="24"/>
          <w:szCs w:val="24"/>
          <w:rtl w:val="0"/>
        </w:rPr>
        <w:t xml:space="preserve">. </w:t>
      </w:r>
      <w:r w:rsidDel="00000000" w:rsidR="00000000" w:rsidRPr="00000000">
        <w:rPr>
          <w:i w:val="1"/>
          <w:iCs w:val="1"/>
          <w:sz w:val="24"/>
          <w:szCs w:val="24"/>
          <w:rtl w:val="0"/>
        </w:rPr>
        <w:t xml:space="preserve">Anais do Simpósio Brasileiro de Geografia Física Aplicada</w:t>
      </w:r>
      <w:r w:rsidDel="00000000" w:rsidR="00000000" w:rsidRPr="00000000">
        <w:rPr>
          <w:sz w:val="24"/>
          <w:szCs w:val="24"/>
          <w:rtl w:val="0"/>
        </w:rPr>
        <w:t xml:space="preserve">, v. 1, 2017.</w:t>
      </w:r>
    </w:p>
    <w:p w:rsidR="00000000" w:rsidDel="00000000" w:rsidP="00000000" w:rsidRDefault="00000000" w:rsidRPr="00000000" w14:paraId="000001EC">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SOUZA, E. B. de; FERREIRA, D. B. S.; GUIMARÃES, J. T. F.; FRANCO, V. S.; AZEVEDO, F. T. M. de; SOUZA, P. J. O. P. </w:t>
      </w:r>
      <w:r w:rsidDel="00000000" w:rsidR="00000000" w:rsidRPr="00000000">
        <w:rPr>
          <w:b w:val="1"/>
          <w:bCs w:val="1"/>
          <w:sz w:val="24"/>
          <w:szCs w:val="24"/>
          <w:rtl w:val="0"/>
        </w:rPr>
        <w:t xml:space="preserve">Padrões climatológicos e tendências da precipitação nos regimes chuvoso e seco da Amazônia oriental.</w:t>
      </w:r>
      <w:r w:rsidDel="00000000" w:rsidR="00000000" w:rsidRPr="00000000">
        <w:rPr>
          <w:sz w:val="24"/>
          <w:szCs w:val="24"/>
          <w:rtl w:val="0"/>
        </w:rPr>
        <w:t xml:space="preserve"> </w:t>
      </w:r>
      <w:r w:rsidDel="00000000" w:rsidR="00000000" w:rsidRPr="00000000">
        <w:rPr>
          <w:i w:val="1"/>
          <w:iCs w:val="1"/>
          <w:sz w:val="24"/>
          <w:szCs w:val="24"/>
          <w:rtl w:val="0"/>
        </w:rPr>
        <w:t xml:space="preserve">Revista Brasileira de Climatologia, Curitiba</w:t>
      </w:r>
      <w:r w:rsidDel="00000000" w:rsidR="00000000" w:rsidRPr="00000000">
        <w:rPr>
          <w:sz w:val="24"/>
          <w:szCs w:val="24"/>
          <w:rtl w:val="0"/>
        </w:rPr>
        <w:t xml:space="preserve">, v. 21, p. 81–92, jul./dez. 2017.</w:t>
      </w:r>
    </w:p>
    <w:p w:rsidR="00000000" w:rsidDel="00000000" w:rsidP="00000000" w:rsidRDefault="00000000" w:rsidRPr="00000000" w14:paraId="000001ED">
      <w:pPr>
        <w:widowControl w:val="1"/>
        <w:tabs>
          <w:tab w:val="left" w:leader="none" w:pos="1269"/>
        </w:tabs>
        <w:spacing w:after="200" w:lineRule="auto"/>
        <w:ind w:firstLine="708"/>
        <w:jc w:val="both"/>
        <w:rPr>
          <w:sz w:val="24"/>
          <w:szCs w:val="24"/>
        </w:rPr>
      </w:pPr>
      <w:r w:rsidDel="00000000" w:rsidR="00000000" w:rsidRPr="00000000">
        <w:rPr>
          <w:sz w:val="24"/>
          <w:szCs w:val="24"/>
          <w:rtl w:val="0"/>
        </w:rPr>
        <w:t xml:space="preserve">TOCANTINS (Estado). Secretaria do Meio Ambiente e Recursos Hídricos. </w:t>
      </w:r>
      <w:r w:rsidDel="00000000" w:rsidR="00000000" w:rsidRPr="00000000">
        <w:rPr>
          <w:b w:val="1"/>
          <w:bCs w:val="1"/>
          <w:sz w:val="24"/>
          <w:szCs w:val="24"/>
          <w:rtl w:val="0"/>
        </w:rPr>
        <w:t xml:space="preserve">Plano de Prevenção e Combate aos Desmatamentos e Incêndios Florestais do Tocantins: PPCDIF - TO 2021-2025.</w:t>
      </w:r>
      <w:r w:rsidDel="00000000" w:rsidR="00000000" w:rsidRPr="00000000">
        <w:rPr>
          <w:sz w:val="24"/>
          <w:szCs w:val="24"/>
          <w:rtl w:val="0"/>
        </w:rPr>
        <w:t xml:space="preserve"> Palmas: SEMARH, 2021.</w:t>
      </w:r>
    </w:p>
    <w:p w:rsidR="00000000" w:rsidDel="00000000" w:rsidP="00000000" w:rsidRDefault="00000000" w:rsidRPr="00000000" w14:paraId="000001EE">
      <w:pPr>
        <w:rPr/>
      </w:pPr>
      <w:r w:rsidDel="00000000" w:rsidR="00000000" w:rsidRPr="00000000">
        <w:rPr>
          <w:rtl w:val="0"/>
        </w:rPr>
      </w:r>
    </w:p>
    <w:sectPr>
      <w:headerReference r:id="rId8" w:type="default"/>
      <w:footerReference r:id="rId9" w:type="default"/>
      <w:pgSz w:h="16840" w:w="11910" w:orient="portrait"/>
      <w:pgMar w:bottom="1133" w:top="1700" w:left="1700"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6350</wp:posOffset>
          </wp:positionV>
          <wp:extent cx="600075" cy="191770"/>
          <wp:effectExtent b="0" l="0" r="0" t="0"/>
          <wp:wrapSquare wrapText="bothSides" distB="0" distT="0" distL="114300" distR="114300"/>
          <wp:docPr id="2023691357"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600075" cy="1917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850900</wp:posOffset>
          </wp:positionH>
          <wp:positionV relativeFrom="paragraph">
            <wp:posOffset>164465</wp:posOffset>
          </wp:positionV>
          <wp:extent cx="1231265" cy="384175"/>
          <wp:effectExtent b="0" l="0" r="0" t="0"/>
          <wp:wrapSquare wrapText="bothSides" distB="0" distT="0" distL="114300" distR="114300"/>
          <wp:docPr id="202369135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231265" cy="384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2644140</wp:posOffset>
          </wp:positionH>
          <wp:positionV relativeFrom="paragraph">
            <wp:posOffset>0</wp:posOffset>
          </wp:positionV>
          <wp:extent cx="419100" cy="241935"/>
          <wp:effectExtent b="0" l="0" r="0" t="0"/>
          <wp:wrapSquare wrapText="bothSides" distB="0" distT="0" distL="114300" distR="114300"/>
          <wp:docPr id="202369135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419100" cy="2419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3139440</wp:posOffset>
          </wp:positionH>
          <wp:positionV relativeFrom="paragraph">
            <wp:posOffset>184785</wp:posOffset>
          </wp:positionV>
          <wp:extent cx="542290" cy="384175"/>
          <wp:effectExtent b="0" l="0" r="0" t="0"/>
          <wp:wrapSquare wrapText="bothSides" distB="0" distT="0" distL="114300" distR="114300"/>
          <wp:docPr id="2023691356"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542290" cy="384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3910965</wp:posOffset>
          </wp:positionH>
          <wp:positionV relativeFrom="paragraph">
            <wp:posOffset>188595</wp:posOffset>
          </wp:positionV>
          <wp:extent cx="914400" cy="353695"/>
          <wp:effectExtent b="0" l="0" r="0" t="0"/>
          <wp:wrapSquare wrapText="bothSides" distB="0" distT="0" distL="114300" distR="114300"/>
          <wp:docPr id="2023691355"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914400" cy="3536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5006340</wp:posOffset>
          </wp:positionH>
          <wp:positionV relativeFrom="paragraph">
            <wp:posOffset>194310</wp:posOffset>
          </wp:positionV>
          <wp:extent cx="756285" cy="335280"/>
          <wp:effectExtent b="0" l="0" r="0" t="0"/>
          <wp:wrapSquare wrapText="bothSides" distB="0" distT="0" distL="114300" distR="114300"/>
          <wp:docPr id="2023691352"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756285" cy="33528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drawing>
        <wp:inline distB="0" distT="0" distL="0" distR="0">
          <wp:extent cx="3253105" cy="1610360"/>
          <wp:effectExtent b="0" l="0" r="0" t="0"/>
          <wp:docPr descr="Logotipo, nome da empresa&#10;&#10;O conteúdo gerado por IA pode estar incorreto." id="2023691351" name="image1.png"/>
          <a:graphic>
            <a:graphicData uri="http://schemas.openxmlformats.org/drawingml/2006/picture">
              <pic:pic>
                <pic:nvPicPr>
                  <pic:cNvPr descr="Logotipo, nome da empresa&#10;&#10;O conteúdo gerado por IA pode estar incorreto." id="0" name="image1.png"/>
                  <pic:cNvPicPr preferRelativeResize="0"/>
                </pic:nvPicPr>
                <pic:blipFill>
                  <a:blip r:embed="rId1"/>
                  <a:srcRect b="26667" l="2865" r="-2171" t="33993"/>
                  <a:stretch>
                    <a:fillRect/>
                  </a:stretch>
                </pic:blipFill>
                <pic:spPr>
                  <a:xfrm>
                    <a:off x="0" y="0"/>
                    <a:ext cx="3253105" cy="16103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spacing w:before="120"/>
      <w:ind w:left="821" w:right="115" w:hanging="360"/>
      <w:jc w:val="both"/>
    </w:pPr>
  </w:style>
  <w:style w:type="paragraph" w:styleId="TableParagraph" w:customStyle="1">
    <w:name w:val="Table Paragraph"/>
    <w:basedOn w:val="Normal"/>
    <w:uiPriority w:val="1"/>
    <w:qFormat w:val="1"/>
  </w:style>
  <w:style w:type="paragraph" w:styleId="Cabealho">
    <w:name w:val="header"/>
    <w:basedOn w:val="Normal"/>
    <w:link w:val="CabealhoChar"/>
    <w:uiPriority w:val="99"/>
    <w:unhideWhenUsed w:val="1"/>
    <w:rsid w:val="005A1575"/>
    <w:pPr>
      <w:tabs>
        <w:tab w:val="center" w:pos="4252"/>
        <w:tab w:val="right" w:pos="8504"/>
      </w:tabs>
    </w:pPr>
  </w:style>
  <w:style w:type="character" w:styleId="CabealhoChar" w:customStyle="1">
    <w:name w:val="Cabeçalho Char"/>
    <w:basedOn w:val="Fontepargpadro"/>
    <w:link w:val="Cabealho"/>
    <w:uiPriority w:val="99"/>
    <w:rsid w:val="005A1575"/>
    <w:rPr>
      <w:rFonts w:ascii="Times New Roman" w:cs="Times New Roman" w:eastAsia="Times New Roman" w:hAnsi="Times New Roman"/>
      <w:lang w:val="pt-PT"/>
    </w:rPr>
  </w:style>
  <w:style w:type="paragraph" w:styleId="Rodap">
    <w:name w:val="footer"/>
    <w:basedOn w:val="Normal"/>
    <w:link w:val="RodapChar"/>
    <w:uiPriority w:val="99"/>
    <w:unhideWhenUsed w:val="1"/>
    <w:rsid w:val="005A1575"/>
    <w:pPr>
      <w:tabs>
        <w:tab w:val="center" w:pos="4252"/>
        <w:tab w:val="right" w:pos="8504"/>
      </w:tabs>
    </w:pPr>
  </w:style>
  <w:style w:type="character" w:styleId="RodapChar" w:customStyle="1">
    <w:name w:val="Rodapé Char"/>
    <w:basedOn w:val="Fontepargpadro"/>
    <w:link w:val="Rodap"/>
    <w:uiPriority w:val="99"/>
    <w:rsid w:val="005A1575"/>
    <w:rPr>
      <w:rFonts w:ascii="Times New Roman" w:cs="Times New Roman" w:eastAsia="Times New Roman" w:hAnsi="Times New Roman"/>
      <w:lang w:val="pt-PT"/>
    </w:r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left w:w="115.0" w:type="dxa"/>
        <w:right w:w="115.0" w:type="dxa"/>
      </w:tblCellMar>
    </w:tblPr>
  </w:style>
  <w:style w:type="table" w:styleId="a1" w:customStyle="1">
    <w:basedOn w:val="TableNormal2"/>
    <w:tblPr>
      <w:tblStyleRowBandSize w:val="1"/>
      <w:tblStyleColBandSize w:val="1"/>
    </w:tblPr>
  </w:style>
  <w:style w:type="table" w:styleId="a2" w:customStyle="1">
    <w:basedOn w:val="TableNormal2"/>
    <w:tblPr>
      <w:tblStyleRowBandSize w:val="1"/>
      <w:tblStyleColBandSize w:val="1"/>
    </w:tblPr>
  </w:style>
  <w:style w:type="table" w:styleId="a3" w:customStyle="1">
    <w:basedOn w:val="TableNormal2"/>
    <w:tblPr>
      <w:tblStyleRowBandSize w:val="1"/>
      <w:tblStyleColBandSize w:val="1"/>
      <w:tblCellMar>
        <w:left w:w="115.0" w:type="dxa"/>
        <w:right w:w="115.0" w:type="dxa"/>
      </w:tblCellMar>
    </w:tblPr>
  </w:style>
  <w:style w:type="table" w:styleId="a4" w:customStyle="1">
    <w:basedOn w:val="TableNormal2"/>
    <w:tblPr>
      <w:tblStyleRowBandSize w:val="1"/>
      <w:tblStyleColBandSize w:val="1"/>
      <w:tblCellMar>
        <w:left w:w="115.0" w:type="dxa"/>
        <w:right w:w="115.0" w:type="dxa"/>
      </w:tblCellMar>
    </w:tblPr>
  </w:style>
  <w:style w:type="table" w:styleId="a5" w:customStyle="1">
    <w:basedOn w:val="TableNormal2"/>
    <w:tblPr>
      <w:tblStyleRowBandSize w:val="1"/>
      <w:tblStyleColBandSize w:val="1"/>
      <w:tblCellMar>
        <w:left w:w="115.0" w:type="dxa"/>
        <w:right w:w="115.0" w:type="dxa"/>
      </w:tblCellMar>
    </w:tblPr>
  </w:style>
  <w:style w:type="table" w:styleId="a6" w:customStyle="1">
    <w:basedOn w:val="TableNormal2"/>
    <w:tblPr>
      <w:tblStyleRowBandSize w:val="1"/>
      <w:tblStyleColBandSize w:val="1"/>
    </w:tblPr>
  </w:style>
  <w:style w:type="table" w:styleId="a7" w:customStyle="1">
    <w:basedOn w:val="TableNormal2"/>
    <w:tblPr>
      <w:tblStyleRowBandSize w:val="1"/>
      <w:tblStyleColBandSize w:val="1"/>
    </w:tblPr>
  </w:style>
  <w:style w:type="table" w:styleId="a8" w:customStyle="1">
    <w:basedOn w:val="TableNormal2"/>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2.png"/><Relationship Id="rId4" Type="http://schemas.openxmlformats.org/officeDocument/2006/relationships/image" Target="media/image5.png"/><Relationship Id="rId5" Type="http://schemas.openxmlformats.org/officeDocument/2006/relationships/image" Target="media/image4.png"/><Relationship Id="rId6"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PE9fV7XH6T2nUeAuC3jqPZPHpA==">CgMxLjA4AHIhMWdtb0pSUnRxUHI3ajdtOENEYzJuTl9aUjEwQ3J6U2ph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2025-10-30T21:53:00Z</dcterms:created>
  <dc:creator>Lísias Faria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