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7F6A8" w14:textId="307A9C2C" w:rsidR="00E6395A" w:rsidRPr="00CB5FB8" w:rsidRDefault="007A127D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CB5FB8">
        <w:rPr>
          <w:b/>
          <w:sz w:val="24"/>
          <w:szCs w:val="24"/>
        </w:rPr>
        <w:t xml:space="preserve">DISTRIBUIÇÃO ESPACIAL E </w:t>
      </w:r>
      <w:r w:rsidR="002D26ED" w:rsidRPr="00CB5FB8">
        <w:rPr>
          <w:b/>
          <w:sz w:val="24"/>
          <w:szCs w:val="24"/>
        </w:rPr>
        <w:t xml:space="preserve">ÁREA BASAL </w:t>
      </w:r>
      <w:r w:rsidRPr="00CB5FB8">
        <w:rPr>
          <w:b/>
          <w:sz w:val="24"/>
          <w:szCs w:val="24"/>
        </w:rPr>
        <w:t xml:space="preserve">DE </w:t>
      </w:r>
      <w:proofErr w:type="spellStart"/>
      <w:r w:rsidRPr="00CB5FB8">
        <w:rPr>
          <w:b/>
          <w:bCs/>
          <w:i/>
          <w:iCs/>
          <w:sz w:val="24"/>
          <w:szCs w:val="24"/>
        </w:rPr>
        <w:t>Eschweilera</w:t>
      </w:r>
      <w:proofErr w:type="spellEnd"/>
      <w:r w:rsidRPr="00CB5FB8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CB5FB8">
        <w:rPr>
          <w:b/>
          <w:bCs/>
          <w:i/>
          <w:iCs/>
          <w:sz w:val="24"/>
          <w:szCs w:val="24"/>
        </w:rPr>
        <w:t>ovata</w:t>
      </w:r>
      <w:proofErr w:type="spellEnd"/>
      <w:r w:rsidRPr="00CB5FB8">
        <w:rPr>
          <w:b/>
          <w:bCs/>
          <w:sz w:val="24"/>
          <w:szCs w:val="24"/>
        </w:rPr>
        <w:t xml:space="preserve"> (</w:t>
      </w:r>
      <w:proofErr w:type="spellStart"/>
      <w:r w:rsidRPr="00CB5FB8">
        <w:rPr>
          <w:b/>
          <w:bCs/>
          <w:sz w:val="24"/>
          <w:szCs w:val="24"/>
        </w:rPr>
        <w:t>Cambess</w:t>
      </w:r>
      <w:proofErr w:type="spellEnd"/>
      <w:r w:rsidRPr="00CB5FB8">
        <w:rPr>
          <w:b/>
          <w:bCs/>
          <w:sz w:val="24"/>
          <w:szCs w:val="24"/>
        </w:rPr>
        <w:t xml:space="preserve">.) </w:t>
      </w:r>
      <w:r w:rsidR="00457196">
        <w:rPr>
          <w:b/>
          <w:bCs/>
          <w:sz w:val="24"/>
          <w:szCs w:val="24"/>
        </w:rPr>
        <w:t xml:space="preserve">Mart. </w:t>
      </w:r>
      <w:proofErr w:type="spellStart"/>
      <w:r w:rsidR="00457196">
        <w:rPr>
          <w:b/>
          <w:bCs/>
          <w:sz w:val="24"/>
          <w:szCs w:val="24"/>
        </w:rPr>
        <w:t>ex</w:t>
      </w:r>
      <w:proofErr w:type="spellEnd"/>
      <w:r w:rsidR="00457196">
        <w:rPr>
          <w:b/>
          <w:bCs/>
          <w:sz w:val="24"/>
          <w:szCs w:val="24"/>
        </w:rPr>
        <w:t xml:space="preserve"> </w:t>
      </w:r>
      <w:r w:rsidRPr="00CB5FB8">
        <w:rPr>
          <w:b/>
          <w:bCs/>
          <w:sz w:val="24"/>
          <w:szCs w:val="24"/>
        </w:rPr>
        <w:t>Miers</w:t>
      </w:r>
      <w:r w:rsidRPr="00CB5FB8">
        <w:rPr>
          <w:b/>
          <w:sz w:val="24"/>
          <w:szCs w:val="24"/>
        </w:rPr>
        <w:t xml:space="preserve"> EM FLORESTA SECUNDÁRIA AMAZÔNICA </w:t>
      </w:r>
    </w:p>
    <w:p w14:paraId="7278137B" w14:textId="57BB3442" w:rsidR="00CD6629" w:rsidRPr="00CB5FB8" w:rsidRDefault="00CD6629" w:rsidP="007E14A1">
      <w:pPr>
        <w:jc w:val="center"/>
        <w:rPr>
          <w:color w:val="FF0000"/>
          <w:sz w:val="24"/>
          <w:szCs w:val="24"/>
        </w:rPr>
      </w:pPr>
      <w:r w:rsidRPr="00CB5FB8">
        <w:rPr>
          <w:rFonts w:eastAsia="Calibri"/>
          <w:sz w:val="24"/>
          <w:szCs w:val="24"/>
        </w:rPr>
        <w:t>Leilson Willamis Nascimento da Silva</w:t>
      </w:r>
      <w:r w:rsidRPr="00CB5FB8">
        <w:rPr>
          <w:sz w:val="24"/>
          <w:szCs w:val="24"/>
          <w:vertAlign w:val="superscript"/>
        </w:rPr>
        <w:t>1</w:t>
      </w:r>
      <w:r w:rsidRPr="00CB5FB8">
        <w:rPr>
          <w:sz w:val="24"/>
          <w:szCs w:val="24"/>
        </w:rPr>
        <w:t>; Luiz Eduardo da Silva Barroso</w:t>
      </w:r>
      <w:r w:rsidRPr="00CB5FB8">
        <w:rPr>
          <w:sz w:val="24"/>
          <w:szCs w:val="24"/>
          <w:vertAlign w:val="superscript"/>
        </w:rPr>
        <w:t>2</w:t>
      </w:r>
      <w:r w:rsidRPr="00CB5FB8">
        <w:rPr>
          <w:sz w:val="24"/>
          <w:szCs w:val="24"/>
        </w:rPr>
        <w:t xml:space="preserve">; </w:t>
      </w:r>
      <w:r w:rsidRPr="00CB5FB8">
        <w:rPr>
          <w:rFonts w:eastAsia="Calibri"/>
          <w:sz w:val="24"/>
          <w:szCs w:val="24"/>
        </w:rPr>
        <w:t>Elielson Holanda Prado</w:t>
      </w:r>
      <w:r w:rsidRPr="00CB5FB8">
        <w:rPr>
          <w:sz w:val="24"/>
          <w:szCs w:val="24"/>
          <w:vertAlign w:val="superscript"/>
        </w:rPr>
        <w:t>3</w:t>
      </w:r>
      <w:r w:rsidRPr="00CB5FB8">
        <w:rPr>
          <w:rFonts w:eastAsia="Calibri"/>
          <w:sz w:val="24"/>
          <w:szCs w:val="24"/>
        </w:rPr>
        <w:t>; Yago Felipe dos Santos</w:t>
      </w:r>
      <w:r w:rsidRPr="00CB5FB8">
        <w:rPr>
          <w:rFonts w:eastAsia="Calibri"/>
          <w:sz w:val="24"/>
          <w:szCs w:val="24"/>
          <w:vertAlign w:val="superscript"/>
        </w:rPr>
        <w:t>4</w:t>
      </w:r>
      <w:r w:rsidRPr="00CB5FB8">
        <w:rPr>
          <w:rFonts w:eastAsia="Calibri"/>
          <w:sz w:val="24"/>
          <w:szCs w:val="24"/>
        </w:rPr>
        <w:t>; Camila de Almeida Milhomem</w:t>
      </w:r>
      <w:r w:rsidRPr="00CB5FB8">
        <w:rPr>
          <w:rFonts w:eastAsia="Calibri"/>
          <w:sz w:val="24"/>
          <w:szCs w:val="24"/>
          <w:vertAlign w:val="superscript"/>
        </w:rPr>
        <w:t>5</w:t>
      </w:r>
      <w:r w:rsidRPr="00CB5FB8">
        <w:rPr>
          <w:rFonts w:eastAsia="Calibri"/>
          <w:sz w:val="24"/>
          <w:szCs w:val="24"/>
        </w:rPr>
        <w:t xml:space="preserve">; </w:t>
      </w:r>
      <w:r w:rsidRPr="00CB5FB8">
        <w:rPr>
          <w:sz w:val="24"/>
          <w:szCs w:val="24"/>
        </w:rPr>
        <w:t>Gustavo Schwartz</w:t>
      </w:r>
      <w:r w:rsidRPr="00CB5FB8">
        <w:rPr>
          <w:rFonts w:eastAsia="Calibri"/>
          <w:sz w:val="24"/>
          <w:szCs w:val="24"/>
          <w:vertAlign w:val="superscript"/>
        </w:rPr>
        <w:t>6</w:t>
      </w:r>
      <w:r w:rsidRPr="00CB5FB8">
        <w:rPr>
          <w:rFonts w:eastAsia="Calibri"/>
          <w:sz w:val="24"/>
          <w:szCs w:val="24"/>
        </w:rPr>
        <w:t>; Luiz Fernandes Silva Dionisio</w:t>
      </w:r>
      <w:r w:rsidRPr="00CB5FB8">
        <w:rPr>
          <w:rFonts w:eastAsia="Calibri"/>
          <w:sz w:val="24"/>
          <w:szCs w:val="24"/>
          <w:vertAlign w:val="superscript"/>
        </w:rPr>
        <w:t>7</w:t>
      </w:r>
    </w:p>
    <w:p w14:paraId="03905810" w14:textId="77777777" w:rsidR="00CD6629" w:rsidRPr="00CB5FB8" w:rsidRDefault="00CD6629" w:rsidP="00CD662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38F1363" w14:textId="4CC5E191" w:rsidR="00CD6629" w:rsidRPr="00CB5FB8" w:rsidRDefault="00CD6629" w:rsidP="00CD6629">
      <w:pPr>
        <w:jc w:val="center"/>
        <w:rPr>
          <w:i/>
          <w:sz w:val="24"/>
          <w:szCs w:val="24"/>
          <w:u w:val="single"/>
        </w:rPr>
      </w:pPr>
      <w:r w:rsidRPr="00CB5FB8">
        <w:rPr>
          <w:sz w:val="24"/>
          <w:szCs w:val="24"/>
          <w:vertAlign w:val="superscript"/>
        </w:rPr>
        <w:t xml:space="preserve">1 </w:t>
      </w:r>
      <w:r w:rsidRPr="00CB5FB8">
        <w:rPr>
          <w:rFonts w:eastAsia="Calibri"/>
          <w:iCs/>
          <w:sz w:val="24"/>
          <w:szCs w:val="24"/>
        </w:rPr>
        <w:t xml:space="preserve">Graduando em Engenharia Florestal, Universidade do Estado do Pará, Castanhal, Pará. </w:t>
      </w:r>
      <w:r w:rsidRPr="00CB5FB8">
        <w:rPr>
          <w:bCs/>
          <w:iCs/>
          <w:sz w:val="24"/>
          <w:szCs w:val="24"/>
        </w:rPr>
        <w:t>Autor correspondente:</w:t>
      </w:r>
      <w:r w:rsidRPr="00CB5FB8">
        <w:rPr>
          <w:iCs/>
          <w:sz w:val="24"/>
          <w:szCs w:val="24"/>
        </w:rPr>
        <w:t xml:space="preserve"> </w:t>
      </w:r>
      <w:hyperlink r:id="rId9">
        <w:r w:rsidRPr="00CB5FB8">
          <w:rPr>
            <w:iCs/>
            <w:u w:val="single"/>
          </w:rPr>
          <w:t>leilson.silva@aluno.uepa.br</w:t>
        </w:r>
      </w:hyperlink>
    </w:p>
    <w:p w14:paraId="32E791EF" w14:textId="77777777" w:rsidR="00CD6629" w:rsidRPr="00CB5FB8" w:rsidRDefault="00CD6629" w:rsidP="00CD6629">
      <w:pPr>
        <w:keepLines/>
        <w:shd w:val="clear" w:color="auto" w:fill="FFFFFF"/>
        <w:tabs>
          <w:tab w:val="left" w:pos="2500"/>
        </w:tabs>
        <w:jc w:val="center"/>
        <w:rPr>
          <w:iCs/>
          <w:color w:val="FF0000"/>
          <w:sz w:val="24"/>
          <w:szCs w:val="24"/>
        </w:rPr>
      </w:pPr>
      <w:r w:rsidRPr="00CB5FB8">
        <w:rPr>
          <w:sz w:val="24"/>
          <w:szCs w:val="24"/>
          <w:vertAlign w:val="superscript"/>
        </w:rPr>
        <w:t xml:space="preserve">2 </w:t>
      </w:r>
      <w:r w:rsidRPr="00CB5FB8">
        <w:rPr>
          <w:rFonts w:eastAsia="Calibri"/>
          <w:iCs/>
          <w:sz w:val="24"/>
          <w:szCs w:val="24"/>
        </w:rPr>
        <w:t>Graduando em Engenharia Florestal, Universidade do Estado do Pará, Castanhal, Pará</w:t>
      </w:r>
    </w:p>
    <w:p w14:paraId="78D656E9" w14:textId="77777777" w:rsidR="00CD6629" w:rsidRPr="00CB5FB8" w:rsidRDefault="00CD6629" w:rsidP="00CD6629">
      <w:pPr>
        <w:keepLines/>
        <w:shd w:val="clear" w:color="auto" w:fill="FFFFFF"/>
        <w:tabs>
          <w:tab w:val="left" w:pos="2500"/>
        </w:tabs>
        <w:jc w:val="center"/>
        <w:rPr>
          <w:rFonts w:eastAsia="Calibri"/>
          <w:iCs/>
          <w:sz w:val="24"/>
          <w:szCs w:val="24"/>
        </w:rPr>
      </w:pPr>
      <w:r w:rsidRPr="00CB5FB8">
        <w:rPr>
          <w:sz w:val="24"/>
          <w:szCs w:val="24"/>
          <w:vertAlign w:val="superscript"/>
        </w:rPr>
        <w:t xml:space="preserve">3 </w:t>
      </w:r>
      <w:r w:rsidRPr="00CB5FB8">
        <w:rPr>
          <w:rFonts w:eastAsia="Calibri"/>
          <w:iCs/>
          <w:sz w:val="24"/>
          <w:szCs w:val="24"/>
        </w:rPr>
        <w:t>Graduando em Engenharia Florestal, Universidade do Estado do Pará, Castanhal, Pará</w:t>
      </w:r>
    </w:p>
    <w:p w14:paraId="51D127B9" w14:textId="77777777" w:rsidR="00CD6629" w:rsidRPr="00CB5FB8" w:rsidRDefault="00CD6629" w:rsidP="00CD6629">
      <w:pPr>
        <w:keepLines/>
        <w:shd w:val="clear" w:color="auto" w:fill="FFFFFF"/>
        <w:tabs>
          <w:tab w:val="left" w:pos="2500"/>
        </w:tabs>
        <w:jc w:val="center"/>
        <w:rPr>
          <w:rFonts w:eastAsia="Calibri"/>
          <w:iCs/>
          <w:sz w:val="24"/>
          <w:szCs w:val="24"/>
        </w:rPr>
      </w:pPr>
      <w:r w:rsidRPr="00CB5FB8">
        <w:rPr>
          <w:sz w:val="24"/>
          <w:szCs w:val="24"/>
          <w:vertAlign w:val="superscript"/>
        </w:rPr>
        <w:t xml:space="preserve">4 </w:t>
      </w:r>
      <w:r w:rsidRPr="00CB5FB8">
        <w:rPr>
          <w:rFonts w:eastAsia="Calibri"/>
          <w:iCs/>
          <w:sz w:val="24"/>
          <w:szCs w:val="24"/>
        </w:rPr>
        <w:t>Graduando em Engenharia Florestal, Universidade do Estado do Pará, Castanhal, Pará</w:t>
      </w:r>
    </w:p>
    <w:p w14:paraId="5FEDC071" w14:textId="1DDDDE80" w:rsidR="00CD6629" w:rsidRPr="00CB5FB8" w:rsidRDefault="00CD6629" w:rsidP="00CD6629">
      <w:pPr>
        <w:keepLines/>
        <w:shd w:val="clear" w:color="auto" w:fill="FFFFFF"/>
        <w:tabs>
          <w:tab w:val="left" w:pos="2500"/>
        </w:tabs>
        <w:jc w:val="center"/>
        <w:rPr>
          <w:rFonts w:eastAsia="Calibri"/>
          <w:iCs/>
          <w:sz w:val="24"/>
          <w:szCs w:val="24"/>
        </w:rPr>
      </w:pPr>
      <w:r w:rsidRPr="00CB5FB8">
        <w:rPr>
          <w:sz w:val="24"/>
          <w:szCs w:val="24"/>
          <w:vertAlign w:val="superscript"/>
        </w:rPr>
        <w:t xml:space="preserve">5 </w:t>
      </w:r>
      <w:r w:rsidRPr="00CB5FB8">
        <w:rPr>
          <w:rFonts w:eastAsia="Calibri"/>
          <w:iCs/>
          <w:sz w:val="24"/>
          <w:szCs w:val="24"/>
        </w:rPr>
        <w:t xml:space="preserve">Doutoranda em </w:t>
      </w:r>
      <w:r w:rsidR="007E2806" w:rsidRPr="00CB5FB8">
        <w:rPr>
          <w:rFonts w:eastAsia="Calibri"/>
          <w:iCs/>
          <w:sz w:val="24"/>
          <w:szCs w:val="24"/>
        </w:rPr>
        <w:t>Ciências Florestais</w:t>
      </w:r>
      <w:r w:rsidRPr="00CB5FB8">
        <w:rPr>
          <w:rFonts w:eastAsia="Calibri"/>
          <w:iCs/>
          <w:sz w:val="24"/>
          <w:szCs w:val="24"/>
        </w:rPr>
        <w:t xml:space="preserve">, Universidade </w:t>
      </w:r>
      <w:r w:rsidR="007E2806" w:rsidRPr="00CB5FB8">
        <w:rPr>
          <w:rFonts w:eastAsia="Calibri"/>
          <w:iCs/>
          <w:sz w:val="24"/>
          <w:szCs w:val="24"/>
        </w:rPr>
        <w:t>Federal Rural da Amazônia</w:t>
      </w:r>
      <w:r w:rsidRPr="00CB5FB8">
        <w:rPr>
          <w:rFonts w:eastAsia="Calibri"/>
          <w:iCs/>
          <w:sz w:val="24"/>
          <w:szCs w:val="24"/>
        </w:rPr>
        <w:t xml:space="preserve">, </w:t>
      </w:r>
      <w:r w:rsidR="007E2806" w:rsidRPr="00CB5FB8">
        <w:rPr>
          <w:rFonts w:eastAsia="Calibri"/>
          <w:iCs/>
          <w:sz w:val="24"/>
          <w:szCs w:val="24"/>
        </w:rPr>
        <w:t>Belém</w:t>
      </w:r>
      <w:r w:rsidRPr="00CB5FB8">
        <w:rPr>
          <w:rFonts w:eastAsia="Calibri"/>
          <w:iCs/>
          <w:sz w:val="24"/>
          <w:szCs w:val="24"/>
        </w:rPr>
        <w:t>, Pará</w:t>
      </w:r>
    </w:p>
    <w:p w14:paraId="3EFC9FE5" w14:textId="0F80DCD9" w:rsidR="00CD6629" w:rsidRPr="00CB5FB8" w:rsidRDefault="00CD6629" w:rsidP="00CD6629">
      <w:pPr>
        <w:keepLines/>
        <w:shd w:val="clear" w:color="auto" w:fill="FFFFFF"/>
        <w:tabs>
          <w:tab w:val="left" w:pos="2500"/>
        </w:tabs>
        <w:jc w:val="center"/>
        <w:rPr>
          <w:rFonts w:eastAsia="Calibri"/>
          <w:iCs/>
          <w:sz w:val="24"/>
          <w:szCs w:val="24"/>
        </w:rPr>
      </w:pPr>
      <w:r w:rsidRPr="00CB5FB8">
        <w:rPr>
          <w:sz w:val="24"/>
          <w:szCs w:val="24"/>
          <w:vertAlign w:val="superscript"/>
        </w:rPr>
        <w:t xml:space="preserve">6 </w:t>
      </w:r>
      <w:r w:rsidR="007E2806" w:rsidRPr="00CB5FB8">
        <w:rPr>
          <w:rFonts w:eastAsia="Calibri"/>
          <w:iCs/>
          <w:sz w:val="24"/>
          <w:szCs w:val="24"/>
        </w:rPr>
        <w:t>Doutor em Ecologia e Manejo Florestal, Embrapa Amazônia Oriental, Belém, Pará</w:t>
      </w:r>
    </w:p>
    <w:p w14:paraId="60321245" w14:textId="7C8EDCCB" w:rsidR="00E6395A" w:rsidRPr="00CB5FB8" w:rsidRDefault="00CD6629" w:rsidP="00CD6629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rFonts w:eastAsia="Calibri"/>
          <w:iCs/>
          <w:sz w:val="24"/>
          <w:szCs w:val="24"/>
        </w:rPr>
      </w:pPr>
      <w:r w:rsidRPr="00CB5FB8">
        <w:rPr>
          <w:sz w:val="24"/>
          <w:szCs w:val="24"/>
          <w:vertAlign w:val="superscript"/>
        </w:rPr>
        <w:t xml:space="preserve">7 </w:t>
      </w:r>
      <w:r w:rsidRPr="00CB5FB8">
        <w:rPr>
          <w:rFonts w:eastAsia="Calibri"/>
          <w:iCs/>
          <w:sz w:val="24"/>
          <w:szCs w:val="24"/>
        </w:rPr>
        <w:t>Doutor em Ciências Florestais, Universidade do Estado do Pará, Castanhal, Pará</w:t>
      </w:r>
    </w:p>
    <w:p w14:paraId="133AD403" w14:textId="77777777" w:rsidR="007E2806" w:rsidRPr="00CB5FB8" w:rsidRDefault="007E2806" w:rsidP="00CD6629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7BF3DC78" w14:textId="77777777" w:rsidR="00E6395A" w:rsidRPr="00CB5FB8" w:rsidRDefault="003A1173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 w:rsidRPr="00CB5FB8">
        <w:rPr>
          <w:b/>
          <w:sz w:val="24"/>
          <w:szCs w:val="24"/>
          <w:u w:val="single"/>
        </w:rPr>
        <w:t>RESUMO</w:t>
      </w:r>
    </w:p>
    <w:p w14:paraId="77A4148D" w14:textId="77777777" w:rsidR="006C287F" w:rsidRDefault="006C287F" w:rsidP="007A127D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48BA0930" w14:textId="07C846C7" w:rsidR="005B23BA" w:rsidRPr="005B23BA" w:rsidRDefault="005B23BA" w:rsidP="005B23BA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5B23BA">
        <w:rPr>
          <w:sz w:val="24"/>
          <w:szCs w:val="24"/>
        </w:rPr>
        <w:t xml:space="preserve">A recuperação estrutural de florestas secundárias na Amazônia Oriental requer avanços no entendimento de como práticas de manejo influenciam a dinâmica das espécies arbóreas em regeneração. Este estudo avaliou a distribuição espacial e a variação estrutural de </w:t>
      </w:r>
      <w:proofErr w:type="spellStart"/>
      <w:r w:rsidRPr="005B23BA">
        <w:rPr>
          <w:i/>
          <w:iCs/>
          <w:sz w:val="24"/>
          <w:szCs w:val="24"/>
        </w:rPr>
        <w:t>Eschweilera</w:t>
      </w:r>
      <w:proofErr w:type="spellEnd"/>
      <w:r w:rsidRPr="005B23BA">
        <w:rPr>
          <w:i/>
          <w:iCs/>
          <w:sz w:val="24"/>
          <w:szCs w:val="24"/>
        </w:rPr>
        <w:t xml:space="preserve"> </w:t>
      </w:r>
      <w:proofErr w:type="spellStart"/>
      <w:r w:rsidRPr="005B23BA">
        <w:rPr>
          <w:i/>
          <w:iCs/>
          <w:sz w:val="24"/>
          <w:szCs w:val="24"/>
        </w:rPr>
        <w:t>ovata</w:t>
      </w:r>
      <w:proofErr w:type="spellEnd"/>
      <w:r w:rsidRPr="005B23BA">
        <w:rPr>
          <w:sz w:val="24"/>
          <w:szCs w:val="24"/>
        </w:rPr>
        <w:t xml:space="preserve"> (</w:t>
      </w:r>
      <w:proofErr w:type="spellStart"/>
      <w:r w:rsidRPr="005B23BA">
        <w:rPr>
          <w:sz w:val="24"/>
          <w:szCs w:val="24"/>
        </w:rPr>
        <w:t>Cambess</w:t>
      </w:r>
      <w:proofErr w:type="spellEnd"/>
      <w:r w:rsidRPr="005B23BA">
        <w:rPr>
          <w:sz w:val="24"/>
          <w:szCs w:val="24"/>
        </w:rPr>
        <w:t xml:space="preserve">.) </w:t>
      </w:r>
      <w:r w:rsidR="0075564A">
        <w:rPr>
          <w:sz w:val="24"/>
          <w:szCs w:val="24"/>
        </w:rPr>
        <w:t xml:space="preserve">Mart. </w:t>
      </w:r>
      <w:proofErr w:type="spellStart"/>
      <w:r w:rsidR="0075564A">
        <w:rPr>
          <w:sz w:val="24"/>
          <w:szCs w:val="24"/>
        </w:rPr>
        <w:t>ex</w:t>
      </w:r>
      <w:proofErr w:type="spellEnd"/>
      <w:r w:rsidR="0075564A">
        <w:rPr>
          <w:sz w:val="24"/>
          <w:szCs w:val="24"/>
        </w:rPr>
        <w:t xml:space="preserve"> </w:t>
      </w:r>
      <w:r w:rsidRPr="005B23BA">
        <w:rPr>
          <w:sz w:val="24"/>
          <w:szCs w:val="24"/>
        </w:rPr>
        <w:t xml:space="preserve">Miers em 1 ha de floresta secundária manejada no município de Igarapé-Açu (PA), com monitoramentos realizados em 2018 e 2024. Foram mensurados todos os indivíduos com DAP ≥ 5 cm em 100 parcelas de 10 × 10 m. A distribuição espacial foi analisada pela função K de Ripley e pela estimativa de densidade </w:t>
      </w:r>
      <w:r w:rsidRPr="005B23BA">
        <w:rPr>
          <w:i/>
          <w:sz w:val="24"/>
          <w:szCs w:val="24"/>
        </w:rPr>
        <w:t>Kernel</w:t>
      </w:r>
      <w:r w:rsidRPr="005B23BA">
        <w:rPr>
          <w:sz w:val="24"/>
          <w:szCs w:val="24"/>
        </w:rPr>
        <w:t xml:space="preserve">, enquanto diferenças na área basal entre os anos foram testadas por ANOVA. Os resultados demonstraram padrão agregado em curtas distâncias, com raio de agregação de 12 m em 2018 e 13 m em 2024, indicando persistência dos núcleos populacionais ao longo do tempo. Observou-se incremento de 29,9% no número de indivíduos (134 para 174) e aumento significativo na área basal, evidenciando avanço sucessional associado ao crescimento diamétrico e ao recrutamento. Os achados indicam que </w:t>
      </w:r>
      <w:r w:rsidRPr="005B23BA">
        <w:rPr>
          <w:i/>
          <w:iCs/>
          <w:sz w:val="24"/>
          <w:szCs w:val="24"/>
        </w:rPr>
        <w:t xml:space="preserve">E. </w:t>
      </w:r>
      <w:proofErr w:type="spellStart"/>
      <w:r w:rsidRPr="005B23BA">
        <w:rPr>
          <w:i/>
          <w:iCs/>
          <w:sz w:val="24"/>
          <w:szCs w:val="24"/>
        </w:rPr>
        <w:t>ovata</w:t>
      </w:r>
      <w:proofErr w:type="spellEnd"/>
      <w:r w:rsidRPr="005B23BA">
        <w:rPr>
          <w:sz w:val="24"/>
          <w:szCs w:val="24"/>
        </w:rPr>
        <w:t xml:space="preserve"> apresenta desempenho regenerativo robusto e estabilidade espacial em floresta secundária sob manejo silvicultural, reforçando sua relevância como espécie-chave na recuperação estrutural de ambientes pós-distúrbio.</w:t>
      </w:r>
    </w:p>
    <w:p w14:paraId="14EB4324" w14:textId="77777777" w:rsidR="005B23BA" w:rsidRDefault="005B23BA" w:rsidP="00DD3E9E">
      <w:pPr>
        <w:shd w:val="clear" w:color="auto" w:fill="FFFFFF"/>
        <w:tabs>
          <w:tab w:val="left" w:pos="2500"/>
        </w:tabs>
      </w:pPr>
    </w:p>
    <w:p w14:paraId="6988F731" w14:textId="23FF51A1" w:rsidR="00DD3E9E" w:rsidRPr="00CB5FB8" w:rsidRDefault="003A1173" w:rsidP="00DD3E9E">
      <w:pPr>
        <w:shd w:val="clear" w:color="auto" w:fill="FFFFFF"/>
        <w:tabs>
          <w:tab w:val="left" w:pos="2500"/>
        </w:tabs>
        <w:rPr>
          <w:sz w:val="24"/>
          <w:szCs w:val="24"/>
        </w:rPr>
      </w:pPr>
      <w:r w:rsidRPr="00CB5FB8">
        <w:rPr>
          <w:b/>
          <w:sz w:val="24"/>
          <w:szCs w:val="24"/>
        </w:rPr>
        <w:t xml:space="preserve">Palavras-chave: </w:t>
      </w:r>
      <w:r w:rsidR="00DD3E9E" w:rsidRPr="00CB5FB8">
        <w:rPr>
          <w:sz w:val="24"/>
          <w:szCs w:val="24"/>
        </w:rPr>
        <w:t>Sucessão secundária; Distribuição espacial; Área basal</w:t>
      </w:r>
    </w:p>
    <w:p w14:paraId="46380497" w14:textId="77777777" w:rsidR="00DD54FF" w:rsidRPr="00CB5FB8" w:rsidRDefault="00DD54FF" w:rsidP="00DD3E9E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46801447" w14:textId="691D656E" w:rsidR="00E6395A" w:rsidRPr="00CB5FB8" w:rsidRDefault="003A1173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 w:rsidRPr="00CB5FB8">
        <w:rPr>
          <w:b/>
          <w:sz w:val="24"/>
          <w:szCs w:val="24"/>
        </w:rPr>
        <w:t>Área de Interesse do Simpósio</w:t>
      </w:r>
      <w:r w:rsidRPr="00CB5FB8">
        <w:rPr>
          <w:sz w:val="24"/>
          <w:szCs w:val="24"/>
        </w:rPr>
        <w:t>:</w:t>
      </w:r>
      <w:r w:rsidR="00DD3E9E" w:rsidRPr="00CB5FB8">
        <w:rPr>
          <w:sz w:val="24"/>
          <w:szCs w:val="24"/>
        </w:rPr>
        <w:t xml:space="preserve"> </w:t>
      </w:r>
      <w:r w:rsidR="004B6130" w:rsidRPr="00CB5FB8">
        <w:rPr>
          <w:sz w:val="24"/>
          <w:szCs w:val="24"/>
        </w:rPr>
        <w:t>Ciências Agrárias</w:t>
      </w:r>
    </w:p>
    <w:p w14:paraId="3A96BCD6" w14:textId="77777777" w:rsidR="00E6395A" w:rsidRPr="00CB5FB8" w:rsidRDefault="00E6395A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336AB611" w14:textId="6E14E1E1" w:rsidR="00E6395A" w:rsidRPr="00CB5FB8" w:rsidRDefault="003A1173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 w:rsidRPr="00CB5FB8">
        <w:br w:type="page"/>
      </w:r>
    </w:p>
    <w:p w14:paraId="1FD786CA" w14:textId="77777777" w:rsidR="00E6395A" w:rsidRPr="00CB5FB8" w:rsidRDefault="003A1173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 w:rsidRPr="00CB5FB8">
        <w:rPr>
          <w:b/>
          <w:sz w:val="24"/>
          <w:szCs w:val="24"/>
        </w:rPr>
        <w:lastRenderedPageBreak/>
        <w:t xml:space="preserve">1. INTRODUÇÃO </w:t>
      </w:r>
    </w:p>
    <w:p w14:paraId="1C1E5A69" w14:textId="4B8B59CF" w:rsidR="00C12C9F" w:rsidRPr="00CB5FB8" w:rsidRDefault="00C12C9F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>As florestas secundárias constituem componentes essenciais na recomposição da paisagem amazônica e no restabelecimento de processos ecológicos em áreas degradadas. No Nordeste Paraense, onde o uso agropecuário intenso resultou em ampla fragmentação da cobertura florestal</w:t>
      </w:r>
      <w:r w:rsidR="00DD54FF" w:rsidRPr="00CB5FB8">
        <w:rPr>
          <w:sz w:val="24"/>
          <w:szCs w:val="24"/>
        </w:rPr>
        <w:t>.</w:t>
      </w:r>
      <w:r w:rsidRPr="00CB5FB8">
        <w:rPr>
          <w:sz w:val="24"/>
          <w:szCs w:val="24"/>
        </w:rPr>
        <w:t xml:space="preserve"> </w:t>
      </w:r>
      <w:r w:rsidR="00DD54FF" w:rsidRPr="00CB5FB8">
        <w:rPr>
          <w:sz w:val="24"/>
          <w:szCs w:val="24"/>
        </w:rPr>
        <w:t>E</w:t>
      </w:r>
      <w:r w:rsidRPr="00CB5FB8">
        <w:rPr>
          <w:sz w:val="24"/>
          <w:szCs w:val="24"/>
        </w:rPr>
        <w:t>ssas formações representam importantes mosaicos sucessionais sustentados pela interação entre a regeneração natural e o manejo voltado à restauração (Schaefer et al., 2022; Menezes et al., 2022). O monitoramento contínuo dessas áreas permite compreender a trajetória da sucessão e avaliar a efetividade das práticas de manejo aplicadas à recuperação de ecossistemas florestais.</w:t>
      </w:r>
    </w:p>
    <w:p w14:paraId="15C530E0" w14:textId="5EC08E42" w:rsidR="00A97BD0" w:rsidRPr="00CB5FB8" w:rsidRDefault="00913BC1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ab/>
      </w:r>
      <w:r w:rsidR="00A97BD0" w:rsidRPr="00CB5FB8">
        <w:rPr>
          <w:sz w:val="24"/>
          <w:szCs w:val="24"/>
        </w:rPr>
        <w:t>A dinâmica de regeneração e a estrutura populacional das espécies arbóreas são influenciadas por fatores bióticos, abióticos e silviculturais, como a abertura do dossel, a disponibilidade de luz e a heterogeneidade do microambiente (Miron et al., 2021). Intervenções planejadas alteram as condições microclimáticas, afetando diretamente o recrutamento e a sobrevivência das espécies tolerantes à sombra. A compreensão desses processos é fundamental para aprimorar estratégias de manejo adaptativo em florestas sob recuperação (Schaefer et al., 2022).</w:t>
      </w:r>
    </w:p>
    <w:p w14:paraId="466060C3" w14:textId="78288A6C" w:rsidR="005B23BA" w:rsidRPr="005B23BA" w:rsidRDefault="005B23BA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5B23BA">
        <w:rPr>
          <w:sz w:val="24"/>
          <w:szCs w:val="24"/>
        </w:rPr>
        <w:t xml:space="preserve">A espécie </w:t>
      </w:r>
      <w:proofErr w:type="spellStart"/>
      <w:r w:rsidRPr="005B23BA">
        <w:rPr>
          <w:i/>
          <w:iCs/>
          <w:sz w:val="24"/>
          <w:szCs w:val="24"/>
        </w:rPr>
        <w:t>Eschweilera</w:t>
      </w:r>
      <w:proofErr w:type="spellEnd"/>
      <w:r w:rsidRPr="005B23BA">
        <w:rPr>
          <w:i/>
          <w:iCs/>
          <w:sz w:val="24"/>
          <w:szCs w:val="24"/>
        </w:rPr>
        <w:t xml:space="preserve"> </w:t>
      </w:r>
      <w:proofErr w:type="spellStart"/>
      <w:r w:rsidRPr="005B23BA">
        <w:rPr>
          <w:i/>
          <w:iCs/>
          <w:sz w:val="24"/>
          <w:szCs w:val="24"/>
        </w:rPr>
        <w:t>ovata</w:t>
      </w:r>
      <w:proofErr w:type="spellEnd"/>
      <w:r w:rsidRPr="005B23BA">
        <w:rPr>
          <w:sz w:val="24"/>
          <w:szCs w:val="24"/>
        </w:rPr>
        <w:t xml:space="preserve"> (</w:t>
      </w:r>
      <w:proofErr w:type="spellStart"/>
      <w:r w:rsidRPr="005B23BA">
        <w:rPr>
          <w:sz w:val="24"/>
          <w:szCs w:val="24"/>
        </w:rPr>
        <w:t>Cambess</w:t>
      </w:r>
      <w:proofErr w:type="spellEnd"/>
      <w:r w:rsidRPr="005B23BA">
        <w:rPr>
          <w:sz w:val="24"/>
          <w:szCs w:val="24"/>
        </w:rPr>
        <w:t xml:space="preserve">.) Mart. </w:t>
      </w:r>
      <w:proofErr w:type="spellStart"/>
      <w:r w:rsidRPr="005B23BA">
        <w:rPr>
          <w:sz w:val="24"/>
          <w:szCs w:val="24"/>
        </w:rPr>
        <w:t>ex</w:t>
      </w:r>
      <w:proofErr w:type="spellEnd"/>
      <w:r w:rsidRPr="005B23BA">
        <w:rPr>
          <w:sz w:val="24"/>
          <w:szCs w:val="24"/>
        </w:rPr>
        <w:t xml:space="preserve"> Miers (</w:t>
      </w:r>
      <w:r w:rsidRPr="005B23BA">
        <w:rPr>
          <w:bCs/>
          <w:sz w:val="24"/>
          <w:szCs w:val="24"/>
        </w:rPr>
        <w:t>biribá</w:t>
      </w:r>
      <w:r w:rsidRPr="005B23BA">
        <w:rPr>
          <w:sz w:val="24"/>
          <w:szCs w:val="24"/>
        </w:rPr>
        <w:t xml:space="preserve">), pertencente à família </w:t>
      </w:r>
      <w:proofErr w:type="spellStart"/>
      <w:r w:rsidRPr="005B23BA">
        <w:rPr>
          <w:sz w:val="24"/>
          <w:szCs w:val="24"/>
        </w:rPr>
        <w:t>Lecythidaceae</w:t>
      </w:r>
      <w:proofErr w:type="spellEnd"/>
      <w:r w:rsidRPr="005B23BA">
        <w:rPr>
          <w:sz w:val="24"/>
          <w:szCs w:val="24"/>
        </w:rPr>
        <w:t>, apresenta ampla distribuição no território brasileiro, ocorrendo em praticamente todos os biomas, incluindo Amazônia, Mat</w:t>
      </w:r>
      <w:r>
        <w:rPr>
          <w:sz w:val="24"/>
          <w:szCs w:val="24"/>
        </w:rPr>
        <w:t>a Atlântica, Cerrado e Caatinga</w:t>
      </w:r>
      <w:r w:rsidRPr="005B23BA">
        <w:rPr>
          <w:sz w:val="24"/>
          <w:szCs w:val="24"/>
        </w:rPr>
        <w:t xml:space="preserve">. Trata-se de uma espécie de destaque ecológico pela elevada representatividade na composição florística e pela importância como recurso alimentar para a fauna local, especialmente dispersores de médio porte. Além disso, </w:t>
      </w:r>
      <w:r w:rsidRPr="005B23BA">
        <w:rPr>
          <w:i/>
          <w:iCs/>
          <w:sz w:val="24"/>
          <w:szCs w:val="24"/>
        </w:rPr>
        <w:t xml:space="preserve">E. </w:t>
      </w:r>
      <w:proofErr w:type="spellStart"/>
      <w:r w:rsidRPr="005B23BA">
        <w:rPr>
          <w:i/>
          <w:iCs/>
          <w:sz w:val="24"/>
          <w:szCs w:val="24"/>
        </w:rPr>
        <w:t>ovata</w:t>
      </w:r>
      <w:proofErr w:type="spellEnd"/>
      <w:r w:rsidRPr="005B23BA">
        <w:rPr>
          <w:sz w:val="24"/>
          <w:szCs w:val="24"/>
        </w:rPr>
        <w:t xml:space="preserve"> ocorre tanto em florestas maduras quanto em áreas em regeneração, o que reforça seu papel na dinâmica sucessionais de ecossistemas florestais (Silva, 2022; Vilela, 2008).</w:t>
      </w:r>
    </w:p>
    <w:p w14:paraId="55540C7F" w14:textId="7A6CE8CA" w:rsidR="00A97BD0" w:rsidRPr="00CB5FB8" w:rsidRDefault="00913BC1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ab/>
      </w:r>
      <w:r w:rsidR="00A97BD0" w:rsidRPr="00CB5FB8">
        <w:rPr>
          <w:sz w:val="24"/>
          <w:szCs w:val="24"/>
        </w:rPr>
        <w:t>A análise da distribuição espacial das espécies arbóreas é uma ferramenta importante para compreender os mecanismos ecológicos que regem a regeneração florestal. A aplicação da função K de Ripley permite identificar se os indivíduos apresentam padrão agregado, aleatório ou uniforme, o que reflete processos relacionados à dispersão, competição e características do habitat (Miron et al., 2021</w:t>
      </w:r>
      <w:r w:rsidR="00B50DED" w:rsidRPr="00CB5FB8">
        <w:rPr>
          <w:sz w:val="24"/>
          <w:szCs w:val="24"/>
        </w:rPr>
        <w:t xml:space="preserve">). </w:t>
      </w:r>
      <w:r w:rsidR="00A97BD0" w:rsidRPr="00CB5FB8">
        <w:rPr>
          <w:sz w:val="24"/>
          <w:szCs w:val="24"/>
        </w:rPr>
        <w:t xml:space="preserve">Dessa forma, investigar o padrão espacial de </w:t>
      </w:r>
      <w:r w:rsidR="00A97BD0" w:rsidRPr="00CB5FB8">
        <w:rPr>
          <w:i/>
          <w:iCs/>
          <w:sz w:val="24"/>
          <w:szCs w:val="24"/>
        </w:rPr>
        <w:t xml:space="preserve">E. </w:t>
      </w:r>
      <w:proofErr w:type="spellStart"/>
      <w:r w:rsidR="00A97BD0" w:rsidRPr="00CB5FB8">
        <w:rPr>
          <w:i/>
          <w:iCs/>
          <w:sz w:val="24"/>
          <w:szCs w:val="24"/>
        </w:rPr>
        <w:t>ovata</w:t>
      </w:r>
      <w:proofErr w:type="spellEnd"/>
      <w:r w:rsidR="00A97BD0" w:rsidRPr="00CB5FB8">
        <w:rPr>
          <w:sz w:val="24"/>
          <w:szCs w:val="24"/>
        </w:rPr>
        <w:t xml:space="preserve"> em áreas manejadas possibilita compreender como o manejo e a estrutura do dossel influenciam o comportamento populacional de espécies e contribuem para a restauração de </w:t>
      </w:r>
      <w:r w:rsidR="00A97BD0" w:rsidRPr="00CB5FB8">
        <w:rPr>
          <w:sz w:val="24"/>
          <w:szCs w:val="24"/>
        </w:rPr>
        <w:lastRenderedPageBreak/>
        <w:t>florestas secundárias amazônicas.</w:t>
      </w:r>
    </w:p>
    <w:p w14:paraId="7453046C" w14:textId="7AFAC53A" w:rsidR="00A97BD0" w:rsidRPr="00CB5FB8" w:rsidRDefault="00913BC1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ab/>
      </w:r>
      <w:r w:rsidR="00F166E4" w:rsidRPr="00CB5FB8">
        <w:rPr>
          <w:sz w:val="24"/>
          <w:szCs w:val="24"/>
        </w:rPr>
        <w:t xml:space="preserve">Apesar de sua ampla distribuição e importância ecológica, ainda são limitados os estudos que abordam o </w:t>
      </w:r>
      <w:r w:rsidR="00F137DB" w:rsidRPr="00CB5FB8">
        <w:rPr>
          <w:sz w:val="24"/>
          <w:szCs w:val="24"/>
        </w:rPr>
        <w:t xml:space="preserve">padrão espacial </w:t>
      </w:r>
      <w:r w:rsidR="00F166E4" w:rsidRPr="00CB5FB8">
        <w:rPr>
          <w:sz w:val="24"/>
          <w:szCs w:val="24"/>
        </w:rPr>
        <w:t xml:space="preserve">de </w:t>
      </w:r>
      <w:proofErr w:type="spellStart"/>
      <w:r w:rsidR="00F166E4" w:rsidRPr="00CB5FB8">
        <w:rPr>
          <w:i/>
          <w:iCs/>
          <w:sz w:val="24"/>
          <w:szCs w:val="24"/>
        </w:rPr>
        <w:t>Eschweilera</w:t>
      </w:r>
      <w:proofErr w:type="spellEnd"/>
      <w:r w:rsidR="00F166E4" w:rsidRPr="00CB5FB8">
        <w:rPr>
          <w:i/>
          <w:iCs/>
          <w:sz w:val="24"/>
          <w:szCs w:val="24"/>
        </w:rPr>
        <w:t xml:space="preserve"> </w:t>
      </w:r>
      <w:proofErr w:type="spellStart"/>
      <w:r w:rsidR="00F166E4" w:rsidRPr="00CB5FB8">
        <w:rPr>
          <w:i/>
          <w:iCs/>
          <w:sz w:val="24"/>
          <w:szCs w:val="24"/>
        </w:rPr>
        <w:t>ovata</w:t>
      </w:r>
      <w:proofErr w:type="spellEnd"/>
      <w:r w:rsidR="00F166E4" w:rsidRPr="00CB5FB8">
        <w:rPr>
          <w:sz w:val="24"/>
          <w:szCs w:val="24"/>
        </w:rPr>
        <w:t xml:space="preserve"> em florestas secundárias manejadas. Diante desse cenário, este trabalho teve como objetivo avaliar a distribuição espacial e a variação da área basal da espécie em um ambiente de floresta secundária submetido tratamentos silviculturais, buscando compreender os efeitos dessas intervenções sobre a estrutura populacional e a trajetória sucessionais locais.</w:t>
      </w:r>
    </w:p>
    <w:p w14:paraId="01C79841" w14:textId="77777777" w:rsidR="00913BC1" w:rsidRPr="00CB5FB8" w:rsidRDefault="00913BC1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</w:p>
    <w:p w14:paraId="6FBACB3A" w14:textId="6C1359CB" w:rsidR="00913BC1" w:rsidRPr="00CB5FB8" w:rsidRDefault="003A1173" w:rsidP="00A97BD0">
      <w:pPr>
        <w:widowControl/>
        <w:tabs>
          <w:tab w:val="left" w:pos="699"/>
        </w:tabs>
        <w:spacing w:after="160" w:line="360" w:lineRule="auto"/>
        <w:jc w:val="both"/>
        <w:rPr>
          <w:b/>
          <w:sz w:val="24"/>
          <w:szCs w:val="24"/>
        </w:rPr>
      </w:pPr>
      <w:r w:rsidRPr="00CB5FB8">
        <w:rPr>
          <w:b/>
          <w:sz w:val="24"/>
          <w:szCs w:val="24"/>
        </w:rPr>
        <w:t>2. MATERIAL E MÉTODOS</w:t>
      </w:r>
    </w:p>
    <w:p w14:paraId="617C5C3D" w14:textId="77777777" w:rsidR="00521A65" w:rsidRPr="00CB5FB8" w:rsidRDefault="003A1173" w:rsidP="00521A65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  <w:r w:rsidRPr="00CB5FB8">
        <w:rPr>
          <w:sz w:val="24"/>
          <w:szCs w:val="24"/>
        </w:rPr>
        <w:t>2.1 ÁREA DE ESTUDO</w:t>
      </w:r>
    </w:p>
    <w:p w14:paraId="096355E2" w14:textId="17AA06F8" w:rsidR="00B50120" w:rsidRPr="00CB5FB8" w:rsidRDefault="00A97BD0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 xml:space="preserve">O estudo foi realizado na Fazenda Fattoria </w:t>
      </w:r>
      <w:proofErr w:type="spellStart"/>
      <w:r w:rsidRPr="00CB5FB8">
        <w:rPr>
          <w:sz w:val="24"/>
          <w:szCs w:val="24"/>
        </w:rPr>
        <w:t>Piave</w:t>
      </w:r>
      <w:proofErr w:type="spellEnd"/>
      <w:r w:rsidRPr="00CB5FB8">
        <w:rPr>
          <w:sz w:val="24"/>
          <w:szCs w:val="24"/>
        </w:rPr>
        <w:t xml:space="preserve"> (01°06’27,</w:t>
      </w:r>
      <w:proofErr w:type="gramStart"/>
      <w:r w:rsidRPr="00CB5FB8">
        <w:rPr>
          <w:sz w:val="24"/>
          <w:szCs w:val="24"/>
        </w:rPr>
        <w:t>52”S</w:t>
      </w:r>
      <w:proofErr w:type="gramEnd"/>
      <w:r w:rsidRPr="00CB5FB8">
        <w:rPr>
          <w:sz w:val="24"/>
          <w:szCs w:val="24"/>
        </w:rPr>
        <w:t>; 47°34’17,</w:t>
      </w:r>
      <w:proofErr w:type="gramStart"/>
      <w:r w:rsidRPr="00CB5FB8">
        <w:rPr>
          <w:sz w:val="24"/>
          <w:szCs w:val="24"/>
        </w:rPr>
        <w:t>87”W</w:t>
      </w:r>
      <w:proofErr w:type="gramEnd"/>
      <w:r w:rsidRPr="00CB5FB8">
        <w:rPr>
          <w:sz w:val="24"/>
          <w:szCs w:val="24"/>
        </w:rPr>
        <w:t>), em Igarapé-Açu, nordeste do Pará, em</w:t>
      </w:r>
      <w:r w:rsidR="005B23BA">
        <w:rPr>
          <w:sz w:val="24"/>
          <w:szCs w:val="24"/>
        </w:rPr>
        <w:t xml:space="preserve"> uma área</w:t>
      </w:r>
      <w:r w:rsidRPr="00CB5FB8">
        <w:rPr>
          <w:sz w:val="24"/>
          <w:szCs w:val="24"/>
        </w:rPr>
        <w:t xml:space="preserve"> de 79 ha. O clima é tropical úmido (Am), segundo a classificação de </w:t>
      </w:r>
      <w:proofErr w:type="spellStart"/>
      <w:r w:rsidRPr="00CB5FB8">
        <w:rPr>
          <w:sz w:val="24"/>
          <w:szCs w:val="24"/>
        </w:rPr>
        <w:t>Köppen</w:t>
      </w:r>
      <w:proofErr w:type="spellEnd"/>
      <w:r w:rsidRPr="00CB5FB8">
        <w:rPr>
          <w:sz w:val="24"/>
          <w:szCs w:val="24"/>
        </w:rPr>
        <w:t>, com temperatura média anual de 25 °C, umidade de 85% e precipitação de 2.350 mm. Após cerca de 40 anos de uso agropecuário itinerante, a área foi abandonada em 2000 e encontra-se em processo de regeneração natural há 25 anos.</w:t>
      </w:r>
    </w:p>
    <w:p w14:paraId="396A38D4" w14:textId="42E2775F" w:rsidR="00521A65" w:rsidRPr="00CB5FB8" w:rsidRDefault="00521A65" w:rsidP="00521A65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FF0000"/>
        </w:rPr>
      </w:pPr>
      <w:r w:rsidRPr="00CB5FB8">
        <w:t xml:space="preserve">Figura 1 – </w:t>
      </w:r>
      <w:r w:rsidR="00234CCB" w:rsidRPr="00CB5FB8">
        <w:t>Localização da área experimental no município de Igarapé-Açu, nordeste paraense.</w:t>
      </w:r>
    </w:p>
    <w:p w14:paraId="3B12FB33" w14:textId="66A671A0" w:rsidR="00521A65" w:rsidRPr="00CB5FB8" w:rsidRDefault="00234CCB" w:rsidP="00521A65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  <w:r w:rsidRPr="00CB5FB8">
        <w:rPr>
          <w:noProof/>
        </w:rPr>
        <w:drawing>
          <wp:inline distT="0" distB="0" distL="0" distR="0" wp14:anchorId="1A61E2FD" wp14:editId="40E8C9B4">
            <wp:extent cx="5511800" cy="3520440"/>
            <wp:effectExtent l="0" t="0" r="0" b="3810"/>
            <wp:docPr id="184752190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21901" name="Imagem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5118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C70C" w14:textId="21FB5161" w:rsidR="00F137DB" w:rsidRPr="00CB5FB8" w:rsidRDefault="00D50759" w:rsidP="00ED792E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 w:rsidRPr="00CB5FB8">
        <w:t>Fonte: Autores, 2025</w:t>
      </w:r>
      <w:r w:rsidR="00933686" w:rsidRPr="00CB5FB8">
        <w:t>.</w:t>
      </w:r>
    </w:p>
    <w:p w14:paraId="58860D5B" w14:textId="77777777" w:rsidR="00D50759" w:rsidRPr="00CB5FB8" w:rsidRDefault="00D50759" w:rsidP="00ED792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FF0000"/>
        </w:rPr>
      </w:pPr>
    </w:p>
    <w:p w14:paraId="28510B7C" w14:textId="77777777" w:rsidR="00521A65" w:rsidRPr="00CB5FB8" w:rsidRDefault="00141532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rPr>
          <w:sz w:val="24"/>
          <w:szCs w:val="24"/>
        </w:rPr>
      </w:pPr>
      <w:r w:rsidRPr="00CB5FB8">
        <w:rPr>
          <w:sz w:val="24"/>
          <w:szCs w:val="24"/>
        </w:rPr>
        <w:t>2.2</w:t>
      </w:r>
      <w:r w:rsidR="00521A65" w:rsidRPr="00CB5FB8">
        <w:rPr>
          <w:sz w:val="24"/>
          <w:szCs w:val="24"/>
        </w:rPr>
        <w:t xml:space="preserve"> DELIMITAÇÃO DA PARCELA</w:t>
      </w:r>
    </w:p>
    <w:p w14:paraId="7E87F797" w14:textId="77777777" w:rsidR="00913BC1" w:rsidRPr="00CB5FB8" w:rsidRDefault="00913BC1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rPr>
          <w:sz w:val="24"/>
          <w:szCs w:val="24"/>
        </w:rPr>
      </w:pPr>
    </w:p>
    <w:p w14:paraId="02E114DD" w14:textId="77777777" w:rsidR="00457196" w:rsidRDefault="00457196" w:rsidP="00913BC1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457196">
        <w:rPr>
          <w:sz w:val="24"/>
          <w:szCs w:val="24"/>
        </w:rPr>
        <w:t xml:space="preserve">Em 2018, foi instalada uma parcela permanente de 1 ha (100 × 100 m), subdividida em 100 </w:t>
      </w:r>
      <w:proofErr w:type="spellStart"/>
      <w:r w:rsidRPr="00457196">
        <w:rPr>
          <w:sz w:val="24"/>
          <w:szCs w:val="24"/>
        </w:rPr>
        <w:t>subparcelas</w:t>
      </w:r>
      <w:proofErr w:type="spellEnd"/>
      <w:r w:rsidRPr="00457196">
        <w:rPr>
          <w:sz w:val="24"/>
          <w:szCs w:val="24"/>
        </w:rPr>
        <w:t xml:space="preserve"> de 10 × 10 m, monitorada em dois períodos (2018 e 2024). Embora a parcela seja avaliada em intervalos regulares de dois anos como parte do programa contínuo de monitoramento da área, este trabalho utilizou apenas os dados referentes aos anos</w:t>
      </w:r>
      <w:r>
        <w:rPr>
          <w:sz w:val="24"/>
          <w:szCs w:val="24"/>
        </w:rPr>
        <w:t xml:space="preserve"> mencionados acima</w:t>
      </w:r>
      <w:r w:rsidRPr="00457196">
        <w:rPr>
          <w:sz w:val="24"/>
          <w:szCs w:val="24"/>
        </w:rPr>
        <w:t>, pois representam momentos-chave do processo de regeneração antes e após a aplicação dos tratamentos silviculturais.</w:t>
      </w:r>
    </w:p>
    <w:p w14:paraId="1F240501" w14:textId="0FEA0F65" w:rsidR="00913BC1" w:rsidRPr="00CB5FB8" w:rsidRDefault="00457196" w:rsidP="00913BC1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t xml:space="preserve"> </w:t>
      </w:r>
      <w:r w:rsidR="00C26D1D" w:rsidRPr="00CB5FB8">
        <w:rPr>
          <w:sz w:val="24"/>
          <w:szCs w:val="24"/>
        </w:rPr>
        <w:t>Essa unidade experimental, denominada Parcela Permanente Manejada (PPM), foi estabelecida em uma área de floresta secundária com o objetivo de avaliar estratégias de aceleração da regeneração natural. Após o</w:t>
      </w:r>
      <w:r w:rsidR="005B23BA">
        <w:rPr>
          <w:sz w:val="24"/>
          <w:szCs w:val="24"/>
        </w:rPr>
        <w:t xml:space="preserve"> primeiro monitoramento (2018)</w:t>
      </w:r>
      <w:r w:rsidR="00C26D1D" w:rsidRPr="00CB5FB8">
        <w:rPr>
          <w:sz w:val="24"/>
          <w:szCs w:val="24"/>
        </w:rPr>
        <w:t>, a área foi submetida a tratamentos silviculturais, incluindo a supressão de lianas (cipós) e a abertura de clareiras para enriquecimento com espécies arbóreas de valor comercial. Vale ressaltar que, durante as aberturas, a espécie-alvo deste estudo não foi removida, permitindo testar intervenções voltadas à recuperação estrutural e funcional da vegetação secundária.</w:t>
      </w:r>
    </w:p>
    <w:p w14:paraId="291D99E7" w14:textId="77777777" w:rsidR="00C26D1D" w:rsidRPr="00CB5FB8" w:rsidRDefault="00C26D1D" w:rsidP="00913BC1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</w:p>
    <w:p w14:paraId="4D72BFE4" w14:textId="77777777" w:rsidR="00141532" w:rsidRPr="00CB5FB8" w:rsidRDefault="00141532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 w:rsidRPr="00CB5FB8">
        <w:rPr>
          <w:sz w:val="24"/>
          <w:szCs w:val="24"/>
        </w:rPr>
        <w:t>2.3</w:t>
      </w:r>
      <w:r w:rsidR="00521A65" w:rsidRPr="00CB5FB8">
        <w:rPr>
          <w:sz w:val="24"/>
          <w:szCs w:val="24"/>
        </w:rPr>
        <w:t xml:space="preserve"> COLETA DE DADOS</w:t>
      </w:r>
    </w:p>
    <w:p w14:paraId="1CE16D76" w14:textId="77777777" w:rsidR="00913BC1" w:rsidRPr="00CB5FB8" w:rsidRDefault="00913BC1" w:rsidP="00913BC1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</w:p>
    <w:p w14:paraId="2E033CF9" w14:textId="2BD8F433" w:rsidR="00AA0494" w:rsidRPr="00CB5FB8" w:rsidRDefault="00AA0494" w:rsidP="00913BC1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 xml:space="preserve">Foram utilizados dados vetoriais georreferenciados e informações obtidas em campo. O levantamento consistiu em um censo florestal (inventário 100%) realizado nas 100 </w:t>
      </w:r>
      <w:proofErr w:type="spellStart"/>
      <w:r w:rsidRPr="00CB5FB8">
        <w:rPr>
          <w:sz w:val="24"/>
          <w:szCs w:val="24"/>
        </w:rPr>
        <w:t>subparcelas</w:t>
      </w:r>
      <w:proofErr w:type="spellEnd"/>
      <w:r w:rsidRPr="00CB5FB8">
        <w:rPr>
          <w:sz w:val="24"/>
          <w:szCs w:val="24"/>
        </w:rPr>
        <w:t xml:space="preserve">, incluindo todos os indivíduos com diâmetro à altura do peito (DAP) ≥ 5 cm. As medições ocorreram em dois períodos, 2018 e 2024, sendo registradas as variáveis: altura total, DAP, número de indivíduos </w:t>
      </w:r>
      <w:r w:rsidR="00F137DB" w:rsidRPr="00CB5FB8">
        <w:rPr>
          <w:sz w:val="24"/>
          <w:szCs w:val="24"/>
        </w:rPr>
        <w:t xml:space="preserve">vivos, </w:t>
      </w:r>
      <w:r w:rsidRPr="00CB5FB8">
        <w:rPr>
          <w:sz w:val="24"/>
          <w:szCs w:val="24"/>
        </w:rPr>
        <w:t>recrutas e mortos, além das coordenadas geográficas de cada árvore. Cada indivíduo foi posicionado em um grid cartesiano com origem no canto sudoeste da parcela (0,0), a partir de medições perpendiculares aos eixos de referência (coordenadas x, y).</w:t>
      </w:r>
    </w:p>
    <w:p w14:paraId="7FB99C96" w14:textId="6F179ABC" w:rsidR="00141532" w:rsidRPr="00CB5FB8" w:rsidRDefault="00141532" w:rsidP="00913BC1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 xml:space="preserve">A espécie </w:t>
      </w:r>
      <w:proofErr w:type="spellStart"/>
      <w:r w:rsidR="00146E87" w:rsidRPr="00CB5FB8">
        <w:rPr>
          <w:i/>
          <w:iCs/>
          <w:sz w:val="24"/>
          <w:szCs w:val="24"/>
        </w:rPr>
        <w:t>Eschweilera</w:t>
      </w:r>
      <w:proofErr w:type="spellEnd"/>
      <w:r w:rsidR="00146E87" w:rsidRPr="00CB5FB8">
        <w:rPr>
          <w:i/>
          <w:iCs/>
          <w:sz w:val="24"/>
          <w:szCs w:val="24"/>
        </w:rPr>
        <w:t xml:space="preserve"> </w:t>
      </w:r>
      <w:proofErr w:type="spellStart"/>
      <w:r w:rsidR="00146E87" w:rsidRPr="00CB5FB8">
        <w:rPr>
          <w:i/>
          <w:iCs/>
          <w:sz w:val="24"/>
          <w:szCs w:val="24"/>
        </w:rPr>
        <w:t>ovata</w:t>
      </w:r>
      <w:proofErr w:type="spellEnd"/>
      <w:r w:rsidR="00146E87" w:rsidRPr="00CB5FB8">
        <w:rPr>
          <w:sz w:val="24"/>
          <w:szCs w:val="24"/>
        </w:rPr>
        <w:t> </w:t>
      </w:r>
      <w:r w:rsidRPr="00CB5FB8">
        <w:rPr>
          <w:sz w:val="24"/>
          <w:szCs w:val="24"/>
        </w:rPr>
        <w:t>foi selecionada para análise detalhada em razão de (i) sua representatividade em área basal e (</w:t>
      </w:r>
      <w:proofErr w:type="spellStart"/>
      <w:r w:rsidRPr="00CB5FB8">
        <w:rPr>
          <w:sz w:val="24"/>
          <w:szCs w:val="24"/>
        </w:rPr>
        <w:t>ii</w:t>
      </w:r>
      <w:proofErr w:type="spellEnd"/>
      <w:r w:rsidRPr="00CB5FB8">
        <w:rPr>
          <w:sz w:val="24"/>
          <w:szCs w:val="24"/>
        </w:rPr>
        <w:t>) sua ocorrência expressiva ao longo de toda a área do experimento.</w:t>
      </w:r>
    </w:p>
    <w:p w14:paraId="56B849A1" w14:textId="77777777" w:rsidR="00C80639" w:rsidRPr="00CB5FB8" w:rsidRDefault="00C80639" w:rsidP="00C80639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jc w:val="both"/>
        <w:rPr>
          <w:sz w:val="24"/>
          <w:szCs w:val="24"/>
        </w:rPr>
      </w:pPr>
    </w:p>
    <w:p w14:paraId="63B5E772" w14:textId="7F308710" w:rsidR="00913BC1" w:rsidRPr="00CB5FB8" w:rsidRDefault="00141532" w:rsidP="00C80639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 w:rsidRPr="00CB5FB8">
        <w:rPr>
          <w:sz w:val="24"/>
          <w:szCs w:val="24"/>
        </w:rPr>
        <w:t>2.</w:t>
      </w:r>
      <w:r w:rsidR="000A2A4E" w:rsidRPr="00CB5FB8">
        <w:rPr>
          <w:sz w:val="24"/>
          <w:szCs w:val="24"/>
        </w:rPr>
        <w:t>4</w:t>
      </w:r>
      <w:r w:rsidRPr="00CB5FB8">
        <w:rPr>
          <w:sz w:val="24"/>
          <w:szCs w:val="24"/>
        </w:rPr>
        <w:t xml:space="preserve"> ANÁLISE DE DADOS</w:t>
      </w:r>
    </w:p>
    <w:p w14:paraId="04F6B97D" w14:textId="77777777" w:rsidR="00913BC1" w:rsidRPr="00CB5FB8" w:rsidRDefault="00913BC1" w:rsidP="00C80639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</w:p>
    <w:p w14:paraId="39345EA1" w14:textId="2A1E7697" w:rsidR="00141532" w:rsidRPr="00CB5FB8" w:rsidRDefault="00141532" w:rsidP="00FF54CC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 xml:space="preserve">O padrão espacial foi avaliado pela função K </w:t>
      </w:r>
      <w:proofErr w:type="spellStart"/>
      <w:r w:rsidRPr="00CB5FB8">
        <w:rPr>
          <w:sz w:val="24"/>
          <w:szCs w:val="24"/>
        </w:rPr>
        <w:t>univariada</w:t>
      </w:r>
      <w:proofErr w:type="spellEnd"/>
      <w:r w:rsidRPr="00CB5FB8">
        <w:rPr>
          <w:sz w:val="24"/>
          <w:szCs w:val="24"/>
        </w:rPr>
        <w:t xml:space="preserve"> de Ripley (Ripley, 1977), transformada em L(d), considerando incrementos de 1 m até um raio máximo de 30 m. O efeito de borda foi corrigido pelo método </w:t>
      </w:r>
      <w:proofErr w:type="spellStart"/>
      <w:r w:rsidRPr="005B23BA">
        <w:rPr>
          <w:i/>
          <w:sz w:val="24"/>
          <w:szCs w:val="24"/>
        </w:rPr>
        <w:t>border</w:t>
      </w:r>
      <w:proofErr w:type="spellEnd"/>
      <w:r w:rsidRPr="005B23BA">
        <w:rPr>
          <w:i/>
          <w:sz w:val="24"/>
          <w:szCs w:val="24"/>
        </w:rPr>
        <w:t xml:space="preserve"> </w:t>
      </w:r>
      <w:proofErr w:type="spellStart"/>
      <w:r w:rsidRPr="005B23BA">
        <w:rPr>
          <w:i/>
          <w:sz w:val="24"/>
          <w:szCs w:val="24"/>
        </w:rPr>
        <w:t>correction</w:t>
      </w:r>
      <w:proofErr w:type="spellEnd"/>
      <w:r w:rsidRPr="00CB5FB8">
        <w:rPr>
          <w:sz w:val="24"/>
          <w:szCs w:val="24"/>
        </w:rPr>
        <w:t>, e a hipótese nula de aleatoriedade espacial completa (CSR) testada com 999 simulações (intervalo de confiança de 99,9%). Valores acima do envelope indicam agregação; abaixo, uniformidade; e dentro, padrão aleatório</w:t>
      </w:r>
      <w:r w:rsidR="00B50DED" w:rsidRPr="00CB5FB8">
        <w:rPr>
          <w:sz w:val="24"/>
          <w:szCs w:val="24"/>
        </w:rPr>
        <w:t>.</w:t>
      </w:r>
    </w:p>
    <w:p w14:paraId="37959FAA" w14:textId="021B1AB9" w:rsidR="00186593" w:rsidRPr="00CB5FB8" w:rsidRDefault="00141532" w:rsidP="00186593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 xml:space="preserve">A estimativa de densidade </w:t>
      </w:r>
      <w:r w:rsidRPr="00CB5FB8">
        <w:rPr>
          <w:i/>
          <w:iCs/>
          <w:sz w:val="24"/>
          <w:szCs w:val="24"/>
        </w:rPr>
        <w:t>Kernel</w:t>
      </w:r>
      <w:r w:rsidRPr="00CB5FB8">
        <w:rPr>
          <w:sz w:val="24"/>
          <w:szCs w:val="24"/>
        </w:rPr>
        <w:t xml:space="preserve"> foi aplicada com largura de banda ajustada à variabilidade dos pontos e resolução de 150 × 150 células, gerando superfícies contínuas de densidade relativa (indivíduos </w:t>
      </w:r>
      <w:proofErr w:type="gramStart"/>
      <w:r w:rsidRPr="00CB5FB8">
        <w:rPr>
          <w:sz w:val="24"/>
          <w:szCs w:val="24"/>
        </w:rPr>
        <w:t>ha</w:t>
      </w:r>
      <w:proofErr w:type="gramEnd"/>
      <w:r w:rsidRPr="00CB5FB8">
        <w:rPr>
          <w:sz w:val="24"/>
          <w:szCs w:val="24"/>
        </w:rPr>
        <w:t>⁻¹) e identificando regiões de maior concentração da espécie</w:t>
      </w:r>
      <w:r w:rsidR="00186593" w:rsidRPr="00CB5FB8">
        <w:rPr>
          <w:sz w:val="24"/>
          <w:szCs w:val="24"/>
        </w:rPr>
        <w:t>.</w:t>
      </w:r>
    </w:p>
    <w:p w14:paraId="4B515845" w14:textId="7BFCBC1A" w:rsidR="00AB5B7F" w:rsidRPr="00CB5FB8" w:rsidRDefault="009B6D55" w:rsidP="00913BC1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 xml:space="preserve">Para avaliar o efeito temporal sobre a área basal de </w:t>
      </w:r>
      <w:proofErr w:type="spellStart"/>
      <w:r w:rsidRPr="00CB5FB8">
        <w:rPr>
          <w:i/>
          <w:iCs/>
          <w:sz w:val="24"/>
          <w:szCs w:val="24"/>
        </w:rPr>
        <w:t>Eschweilera</w:t>
      </w:r>
      <w:proofErr w:type="spellEnd"/>
      <w:r w:rsidRPr="00CB5FB8">
        <w:rPr>
          <w:i/>
          <w:iCs/>
          <w:sz w:val="24"/>
          <w:szCs w:val="24"/>
        </w:rPr>
        <w:t xml:space="preserve"> </w:t>
      </w:r>
      <w:proofErr w:type="spellStart"/>
      <w:r w:rsidRPr="00CB5FB8">
        <w:rPr>
          <w:i/>
          <w:iCs/>
          <w:sz w:val="24"/>
          <w:szCs w:val="24"/>
        </w:rPr>
        <w:t>ovata</w:t>
      </w:r>
      <w:proofErr w:type="spellEnd"/>
      <w:r w:rsidRPr="00CB5FB8">
        <w:rPr>
          <w:sz w:val="24"/>
          <w:szCs w:val="24"/>
        </w:rPr>
        <w:t xml:space="preserve">, aplicou-se uma análise de variância (ANOVA) de um único fator, considerando o ano como variável independente. As premissas do modelo foram verificadas por meio da inspeção gráfica dos resíduos e de testes formais de normalidade, homogeneidade e independência. As médias entre anos foram comparadas pelo teste de </w:t>
      </w:r>
      <w:proofErr w:type="spellStart"/>
      <w:r w:rsidRPr="00CB5FB8">
        <w:rPr>
          <w:sz w:val="24"/>
          <w:szCs w:val="24"/>
        </w:rPr>
        <w:t>Tukey</w:t>
      </w:r>
      <w:proofErr w:type="spellEnd"/>
      <w:r w:rsidRPr="00CB5FB8">
        <w:rPr>
          <w:sz w:val="24"/>
          <w:szCs w:val="24"/>
        </w:rPr>
        <w:t>, adotando-se nível de significância de 5%.</w:t>
      </w:r>
    </w:p>
    <w:p w14:paraId="0F49160E" w14:textId="7F018AFD" w:rsidR="00C80639" w:rsidRPr="00E42C77" w:rsidRDefault="00E42C77" w:rsidP="00913BC1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E42C77">
        <w:rPr>
          <w:sz w:val="24"/>
          <w:szCs w:val="24"/>
        </w:rPr>
        <w:t xml:space="preserve">Os dados de inventário florestal foram processados no software R (R Core Team, 2025). Para organização e manipulação das variáveis, utilizou-se o pacote </w:t>
      </w:r>
      <w:proofErr w:type="spellStart"/>
      <w:r w:rsidRPr="00E42C77">
        <w:rPr>
          <w:bCs/>
          <w:i/>
          <w:sz w:val="24"/>
          <w:szCs w:val="24"/>
        </w:rPr>
        <w:t>tidyverse</w:t>
      </w:r>
      <w:proofErr w:type="spellEnd"/>
      <w:r w:rsidRPr="00E42C77">
        <w:rPr>
          <w:i/>
          <w:sz w:val="24"/>
          <w:szCs w:val="24"/>
        </w:rPr>
        <w:t xml:space="preserve"> </w:t>
      </w:r>
      <w:r w:rsidRPr="00E42C77">
        <w:rPr>
          <w:sz w:val="24"/>
          <w:szCs w:val="24"/>
        </w:rPr>
        <w:t xml:space="preserve">(Wickham et al., 2019), enquanto as análises estatísticas foram conduzidas com os pacotes </w:t>
      </w:r>
      <w:proofErr w:type="spellStart"/>
      <w:r w:rsidRPr="00E42C77">
        <w:rPr>
          <w:bCs/>
          <w:sz w:val="24"/>
          <w:szCs w:val="24"/>
        </w:rPr>
        <w:t>ExpDes</w:t>
      </w:r>
      <w:proofErr w:type="spellEnd"/>
      <w:r w:rsidRPr="00E42C77">
        <w:rPr>
          <w:sz w:val="24"/>
          <w:szCs w:val="24"/>
        </w:rPr>
        <w:t xml:space="preserve"> e </w:t>
      </w:r>
      <w:proofErr w:type="spellStart"/>
      <w:r w:rsidRPr="00E42C77">
        <w:rPr>
          <w:bCs/>
          <w:sz w:val="24"/>
          <w:szCs w:val="24"/>
        </w:rPr>
        <w:t>AgroR</w:t>
      </w:r>
      <w:proofErr w:type="spellEnd"/>
      <w:r w:rsidRPr="00E42C77">
        <w:rPr>
          <w:sz w:val="24"/>
          <w:szCs w:val="24"/>
        </w:rPr>
        <w:t>, que também auxiliaram na verificação das premissas de normalidade (Shapiro–Wilk), homogeneidade de variâncias (Bartlett) e independência dos erros (</w:t>
      </w:r>
      <w:proofErr w:type="spellStart"/>
      <w:r w:rsidRPr="00E42C77">
        <w:rPr>
          <w:sz w:val="24"/>
          <w:szCs w:val="24"/>
        </w:rPr>
        <w:t>Durbin</w:t>
      </w:r>
      <w:proofErr w:type="spellEnd"/>
      <w:r w:rsidRPr="00E42C77">
        <w:rPr>
          <w:sz w:val="24"/>
          <w:szCs w:val="24"/>
        </w:rPr>
        <w:t>–Watson).</w:t>
      </w:r>
    </w:p>
    <w:p w14:paraId="793DF63B" w14:textId="4ADDE44D" w:rsidR="00E42C77" w:rsidRDefault="00E42C77" w:rsidP="00913BC1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E42C77">
        <w:rPr>
          <w:sz w:val="24"/>
          <w:szCs w:val="24"/>
        </w:rPr>
        <w:t xml:space="preserve">A visualização gráfica foi realizada com o </w:t>
      </w:r>
      <w:r w:rsidRPr="00E42C77">
        <w:rPr>
          <w:bCs/>
          <w:sz w:val="24"/>
          <w:szCs w:val="24"/>
        </w:rPr>
        <w:t>ggplot2</w:t>
      </w:r>
      <w:r w:rsidRPr="00E42C77">
        <w:rPr>
          <w:sz w:val="24"/>
          <w:szCs w:val="24"/>
        </w:rPr>
        <w:t xml:space="preserve">, e as análises espaciais complementares com o pacote </w:t>
      </w:r>
      <w:proofErr w:type="spellStart"/>
      <w:r w:rsidRPr="00E42C77">
        <w:rPr>
          <w:bCs/>
          <w:sz w:val="24"/>
          <w:szCs w:val="24"/>
        </w:rPr>
        <w:t>spatstat</w:t>
      </w:r>
      <w:proofErr w:type="spellEnd"/>
      <w:r w:rsidRPr="00E42C77">
        <w:rPr>
          <w:sz w:val="24"/>
          <w:szCs w:val="24"/>
        </w:rPr>
        <w:t>. A área basal individual e as coordenadas métricas foram os parâmetros determinantes para inclusão nos cálculos estatísticos e para a definição dos pontos no plano cartesiano das análises espaciais. Essa abordagem permitiu integrar o comportamento estrutural (área basal) ao arranjo espacial da espécie em cada parcela nos dois períodos avaliados.</w:t>
      </w:r>
    </w:p>
    <w:p w14:paraId="6E74F635" w14:textId="77777777" w:rsidR="00E42C77" w:rsidRPr="00E42C77" w:rsidRDefault="00E42C77" w:rsidP="00913BC1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</w:p>
    <w:p w14:paraId="069F1E08" w14:textId="63BCECB0" w:rsidR="00146E87" w:rsidRPr="00CB5FB8" w:rsidRDefault="003A117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8"/>
          <w:szCs w:val="28"/>
        </w:rPr>
      </w:pPr>
      <w:r w:rsidRPr="00CB5FB8">
        <w:rPr>
          <w:b/>
          <w:sz w:val="24"/>
          <w:szCs w:val="24"/>
        </w:rPr>
        <w:t>3. RESULTADOS E DISCUSSÃO</w:t>
      </w:r>
      <w:r w:rsidRPr="00CB5FB8">
        <w:rPr>
          <w:b/>
          <w:sz w:val="28"/>
          <w:szCs w:val="28"/>
        </w:rPr>
        <w:t xml:space="preserve"> </w:t>
      </w:r>
    </w:p>
    <w:p w14:paraId="2B6882D3" w14:textId="77777777" w:rsidR="00C80639" w:rsidRPr="00CB5FB8" w:rsidRDefault="00C80639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8"/>
          <w:szCs w:val="28"/>
        </w:rPr>
      </w:pPr>
    </w:p>
    <w:p w14:paraId="707E2837" w14:textId="08842D47" w:rsidR="009B6D55" w:rsidRPr="00CB5FB8" w:rsidRDefault="00597575" w:rsidP="00C8063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 xml:space="preserve">A análise espacial de </w:t>
      </w:r>
      <w:proofErr w:type="spellStart"/>
      <w:r w:rsidRPr="00CB5FB8">
        <w:rPr>
          <w:i/>
          <w:iCs/>
          <w:sz w:val="24"/>
          <w:szCs w:val="24"/>
        </w:rPr>
        <w:t>Eschweilera</w:t>
      </w:r>
      <w:proofErr w:type="spellEnd"/>
      <w:r w:rsidRPr="00CB5FB8">
        <w:rPr>
          <w:i/>
          <w:iCs/>
          <w:sz w:val="24"/>
          <w:szCs w:val="24"/>
        </w:rPr>
        <w:t xml:space="preserve"> </w:t>
      </w:r>
      <w:proofErr w:type="spellStart"/>
      <w:r w:rsidRPr="00CB5FB8">
        <w:rPr>
          <w:i/>
          <w:iCs/>
          <w:sz w:val="24"/>
          <w:szCs w:val="24"/>
        </w:rPr>
        <w:t>ovata</w:t>
      </w:r>
      <w:proofErr w:type="spellEnd"/>
      <w:r w:rsidRPr="00CB5FB8">
        <w:rPr>
          <w:sz w:val="24"/>
          <w:szCs w:val="24"/>
        </w:rPr>
        <w:t xml:space="preserve"> revelou um padrão de agregação consistente ao longo do tempo. A função L de Ripley rejeitou a hipótese de Aleatoriedade Espacial </w:t>
      </w:r>
      <w:r w:rsidRPr="00CB5FB8">
        <w:rPr>
          <w:sz w:val="24"/>
          <w:szCs w:val="24"/>
        </w:rPr>
        <w:lastRenderedPageBreak/>
        <w:t>Completa (CSR) até aproximadamente 12 m em 2018 e 13 m em 2024 (Figura 2), indicando que a espécie mantém uma distribuição agrupada em curtas distâncias e tende à aleatoriedade em escalas maiores. Padrões semelhantes foram reportados para espécies de dossel tardias em florestas amazônicas manejadas, nas quais a dispersão limitada de sementes e o estabelecimento em microambientes sombreados promovem agregação local (Miron et al., 2021</w:t>
      </w:r>
      <w:r w:rsidR="00B50DED" w:rsidRPr="00CB5FB8">
        <w:rPr>
          <w:sz w:val="24"/>
          <w:szCs w:val="24"/>
        </w:rPr>
        <w:t>)</w:t>
      </w:r>
      <w:r w:rsidR="004B1512" w:rsidRPr="00CB5FB8">
        <w:rPr>
          <w:sz w:val="24"/>
          <w:szCs w:val="24"/>
        </w:rPr>
        <w:t>.</w:t>
      </w:r>
    </w:p>
    <w:p w14:paraId="4F2B8E3F" w14:textId="743D8083" w:rsidR="00E6395A" w:rsidRPr="00CB5FB8" w:rsidRDefault="003A1173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000000"/>
        </w:rPr>
      </w:pPr>
      <w:r w:rsidRPr="00CB5FB8">
        <w:t xml:space="preserve">Figura </w:t>
      </w:r>
      <w:r w:rsidR="00234CCB" w:rsidRPr="00CB5FB8">
        <w:t>2</w:t>
      </w:r>
      <w:r w:rsidRPr="00CB5FB8">
        <w:t xml:space="preserve"> – </w:t>
      </w:r>
      <w:r w:rsidR="00141532" w:rsidRPr="00CB5FB8">
        <w:rPr>
          <w:color w:val="000000"/>
        </w:rPr>
        <w:t xml:space="preserve">Padrão espacial de </w:t>
      </w:r>
      <w:proofErr w:type="spellStart"/>
      <w:r w:rsidR="00AB5B7F" w:rsidRPr="00CB5FB8">
        <w:rPr>
          <w:i/>
          <w:iCs/>
          <w:color w:val="000000"/>
        </w:rPr>
        <w:t>Eschweilera</w:t>
      </w:r>
      <w:proofErr w:type="spellEnd"/>
      <w:r w:rsidR="00AB5B7F" w:rsidRPr="00CB5FB8">
        <w:rPr>
          <w:i/>
          <w:iCs/>
          <w:color w:val="000000"/>
        </w:rPr>
        <w:t xml:space="preserve"> </w:t>
      </w:r>
      <w:proofErr w:type="spellStart"/>
      <w:r w:rsidR="00AB5B7F" w:rsidRPr="00CB5FB8">
        <w:rPr>
          <w:i/>
          <w:iCs/>
          <w:color w:val="000000"/>
        </w:rPr>
        <w:t>ovata</w:t>
      </w:r>
      <w:proofErr w:type="spellEnd"/>
      <w:r w:rsidR="00AB5B7F" w:rsidRPr="00CB5FB8">
        <w:rPr>
          <w:color w:val="000000"/>
        </w:rPr>
        <w:t xml:space="preserve"> </w:t>
      </w:r>
      <w:r w:rsidR="00141532" w:rsidRPr="00CB5FB8">
        <w:rPr>
          <w:color w:val="000000"/>
        </w:rPr>
        <w:t xml:space="preserve">em 1 ha de floresta secundária com 25 anos de sucessão natural em dois períodos (2018 e 2024) no município de Igarapé-Açu, Pará. As linhas vermelhas demonstram o ajuste para a função K de Ripley transformada (L (d)). O envelope azul indica o nível de confiança de 99,9% para a hipótese de aleatoriedade espacial completa (CSR). O grid bidimensional representa a parcela de estudo, onde os indivíduos se encontram espacializados e ponderados pela sua área basal. Os mapas de densidade de kernel (árvores </w:t>
      </w:r>
      <w:proofErr w:type="spellStart"/>
      <w:r w:rsidR="00141532" w:rsidRPr="00CB5FB8">
        <w:rPr>
          <w:color w:val="000000"/>
        </w:rPr>
        <w:t>ha</w:t>
      </w:r>
      <w:proofErr w:type="spellEnd"/>
      <w:r w:rsidR="00EF42E0" w:rsidRPr="00CB5FB8">
        <w:rPr>
          <w:color w:val="000000"/>
          <w:vertAlign w:val="superscript"/>
        </w:rPr>
        <w:t>-1</w:t>
      </w:r>
      <w:r w:rsidR="00141532" w:rsidRPr="00CB5FB8">
        <w:rPr>
          <w:color w:val="000000"/>
        </w:rPr>
        <w:t>) mostram a distribuição dos clusters na área.</w:t>
      </w:r>
    </w:p>
    <w:p w14:paraId="54FCD975" w14:textId="5B8FB6FA" w:rsidR="00E6395A" w:rsidRPr="00CB5FB8" w:rsidRDefault="00234CCB" w:rsidP="006E688D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FF0000"/>
        </w:rPr>
      </w:pPr>
      <w:r w:rsidRPr="00CB5FB8">
        <w:rPr>
          <w:noProof/>
          <w:color w:val="FF0000"/>
        </w:rPr>
        <w:drawing>
          <wp:inline distT="0" distB="0" distL="0" distR="0" wp14:anchorId="33A64C8C" wp14:editId="50161F87">
            <wp:extent cx="5757557" cy="3284631"/>
            <wp:effectExtent l="0" t="0" r="0" b="0"/>
            <wp:docPr id="39578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877" name="Imagem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57" cy="32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3DCA" w14:textId="2EB91711" w:rsidR="00E6395A" w:rsidRPr="00CB5FB8" w:rsidRDefault="003A1173" w:rsidP="00141532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 w:rsidRPr="00CB5FB8">
        <w:t>Fonte: Autor</w:t>
      </w:r>
      <w:r w:rsidR="00234CCB" w:rsidRPr="00CB5FB8">
        <w:t>, 2025</w:t>
      </w:r>
      <w:r w:rsidR="0012515F" w:rsidRPr="00CB5FB8">
        <w:t>.</w:t>
      </w:r>
    </w:p>
    <w:p w14:paraId="3B2ADEF2" w14:textId="77777777" w:rsidR="006E688D" w:rsidRPr="00CB5FB8" w:rsidRDefault="006E688D" w:rsidP="00141532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FF0000"/>
        </w:rPr>
      </w:pPr>
    </w:p>
    <w:p w14:paraId="2F8CE90E" w14:textId="77777777" w:rsidR="00E42C77" w:rsidRDefault="00597575" w:rsidP="00C8063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>Os mapas de densidade de kernel, evidencia</w:t>
      </w:r>
      <w:r w:rsidR="00AB2297" w:rsidRPr="00CB5FB8">
        <w:rPr>
          <w:sz w:val="24"/>
          <w:szCs w:val="24"/>
        </w:rPr>
        <w:t>m</w:t>
      </w:r>
      <w:r w:rsidRPr="00CB5FB8">
        <w:rPr>
          <w:sz w:val="24"/>
          <w:szCs w:val="24"/>
        </w:rPr>
        <w:t xml:space="preserve"> zonas de maior concentração de indivíduos que se sobrepõem parcialmente entre os dois períodos, o que sugere persistência de núcleos populacionais. Em ecossistemas secundários amazônicos, tais núcleos representam áreas de microambiente favorável e indicam progressão estrutural em resposta a distúrbios controlados, como a abertura de clareiras e o manejo de cipós e lianas (Schaefer et al., 2022).</w:t>
      </w:r>
    </w:p>
    <w:p w14:paraId="1854731C" w14:textId="4BD597ED" w:rsidR="00597575" w:rsidRPr="00CB5FB8" w:rsidRDefault="00597575" w:rsidP="00C8063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 xml:space="preserve"> O manejo adotado na área, ao aumentar a penetração de luz e reduzir a competição por </w:t>
      </w:r>
      <w:r w:rsidR="006834F1" w:rsidRPr="00CB5FB8">
        <w:rPr>
          <w:sz w:val="24"/>
          <w:szCs w:val="24"/>
        </w:rPr>
        <w:t>disponibilidades de nutrientes</w:t>
      </w:r>
      <w:r w:rsidRPr="00CB5FB8">
        <w:rPr>
          <w:sz w:val="24"/>
          <w:szCs w:val="24"/>
        </w:rPr>
        <w:t xml:space="preserve">, provavelmente contribuiu para o fortalecimento desses </w:t>
      </w:r>
      <w:r w:rsidRPr="00CB5FB8">
        <w:rPr>
          <w:sz w:val="24"/>
          <w:szCs w:val="24"/>
        </w:rPr>
        <w:lastRenderedPageBreak/>
        <w:t xml:space="preserve">agrupamentos, sem alterar a coesão espacial do conjunto. </w:t>
      </w:r>
      <w:r w:rsidR="00607CD2" w:rsidRPr="00CB5FB8">
        <w:rPr>
          <w:sz w:val="24"/>
          <w:szCs w:val="24"/>
        </w:rPr>
        <w:t>Em estudos similares</w:t>
      </w:r>
      <w:r w:rsidRPr="00CB5FB8">
        <w:rPr>
          <w:sz w:val="24"/>
          <w:szCs w:val="24"/>
        </w:rPr>
        <w:t xml:space="preserve">, </w:t>
      </w:r>
      <w:proofErr w:type="spellStart"/>
      <w:r w:rsidRPr="00CB5FB8">
        <w:rPr>
          <w:sz w:val="24"/>
          <w:szCs w:val="24"/>
        </w:rPr>
        <w:t>Bedrij</w:t>
      </w:r>
      <w:proofErr w:type="spellEnd"/>
      <w:r w:rsidRPr="00CB5FB8">
        <w:rPr>
          <w:sz w:val="24"/>
          <w:szCs w:val="24"/>
        </w:rPr>
        <w:t xml:space="preserve"> et al. (2024) observaram que clareiras de pequena escala em florestas tropicais manejadas tendem a conservar o padrão espacial pré-existente, mas estimulam incrementos localizados de crescimento e recrutamento.</w:t>
      </w:r>
    </w:p>
    <w:p w14:paraId="4010A055" w14:textId="77777777" w:rsidR="00E42C77" w:rsidRDefault="00597575" w:rsidP="00C8063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 xml:space="preserve">Entre 2024, registrou-se ingresso de 40 indivíduos, elevando a população de </w:t>
      </w:r>
      <w:r w:rsidRPr="00CB5FB8">
        <w:rPr>
          <w:i/>
          <w:iCs/>
          <w:sz w:val="24"/>
          <w:szCs w:val="24"/>
        </w:rPr>
        <w:t xml:space="preserve">E. </w:t>
      </w:r>
      <w:proofErr w:type="spellStart"/>
      <w:r w:rsidRPr="00CB5FB8">
        <w:rPr>
          <w:i/>
          <w:iCs/>
          <w:sz w:val="24"/>
          <w:szCs w:val="24"/>
        </w:rPr>
        <w:t>ovata</w:t>
      </w:r>
      <w:proofErr w:type="spellEnd"/>
      <w:r w:rsidRPr="00CB5FB8">
        <w:rPr>
          <w:sz w:val="24"/>
          <w:szCs w:val="24"/>
        </w:rPr>
        <w:t xml:space="preserve"> de 134 para 174 árvores, o que representa um aumento de aproximadamente </w:t>
      </w:r>
      <w:r w:rsidR="00EF42E0" w:rsidRPr="00CB5FB8">
        <w:rPr>
          <w:sz w:val="24"/>
          <w:szCs w:val="24"/>
        </w:rPr>
        <w:t>30</w:t>
      </w:r>
      <w:r w:rsidRPr="00CB5FB8">
        <w:rPr>
          <w:sz w:val="24"/>
          <w:szCs w:val="24"/>
        </w:rPr>
        <w:t xml:space="preserve"> % (Figura 3). Esse resultado denota um bom potencial regenerativo da espécie, condizente com observações de florestas secundárias de média idade na Amazônia oriental (Schaefer et al., 2022). No entanto, </w:t>
      </w:r>
      <w:r w:rsidR="00EF42E0" w:rsidRPr="00CB5FB8">
        <w:rPr>
          <w:sz w:val="24"/>
          <w:szCs w:val="24"/>
        </w:rPr>
        <w:t>as recrutas pertencem</w:t>
      </w:r>
      <w:r w:rsidRPr="00CB5FB8">
        <w:rPr>
          <w:sz w:val="24"/>
          <w:szCs w:val="24"/>
        </w:rPr>
        <w:t xml:space="preserve"> a classes diamétricas pequenas, indicando que a conversão do ingresso em biomassa estrutural ainda é limitada. </w:t>
      </w:r>
    </w:p>
    <w:p w14:paraId="22ADA165" w14:textId="58E3A063" w:rsidR="00C12C9F" w:rsidRPr="00CB5FB8" w:rsidRDefault="00597575" w:rsidP="00C8063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>O padrão espacial agregado observado pode acentuar a competição intraespecífica, reduzindo o crescimento radial médio de parte dos</w:t>
      </w:r>
      <w:r w:rsidR="00607CD2" w:rsidRPr="00CB5FB8">
        <w:rPr>
          <w:sz w:val="24"/>
          <w:szCs w:val="24"/>
        </w:rPr>
        <w:t xml:space="preserve"> indivíduos</w:t>
      </w:r>
      <w:r w:rsidRPr="00CB5FB8">
        <w:rPr>
          <w:sz w:val="24"/>
          <w:szCs w:val="24"/>
        </w:rPr>
        <w:t>.</w:t>
      </w:r>
      <w:r w:rsidR="00845575" w:rsidRPr="00CB5FB8">
        <w:rPr>
          <w:sz w:val="24"/>
          <w:szCs w:val="24"/>
        </w:rPr>
        <w:t xml:space="preserve"> </w:t>
      </w:r>
      <w:r w:rsidR="00C12C9F" w:rsidRPr="00CB5FB8">
        <w:rPr>
          <w:sz w:val="24"/>
          <w:szCs w:val="24"/>
        </w:rPr>
        <w:t>De forma semelhante, Alves (2024) observou que parcelas manejadas e sob sistemas agroflorestais apresentaram maior área basal e recrutamento que áreas controle, destacando a importância das intervenções silviculturais na condução da sucessão secundária.</w:t>
      </w:r>
    </w:p>
    <w:p w14:paraId="309B5BE1" w14:textId="77777777" w:rsidR="00C12C9F" w:rsidRPr="00CB5FB8" w:rsidRDefault="00C12C9F" w:rsidP="00C8063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</w:p>
    <w:p w14:paraId="3FA1654D" w14:textId="12E5B840" w:rsidR="00E6395A" w:rsidRPr="00CB5FB8" w:rsidRDefault="003A1173" w:rsidP="007E5C4E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center"/>
      </w:pPr>
      <w:r w:rsidRPr="00CB5FB8">
        <w:t xml:space="preserve">Figura </w:t>
      </w:r>
      <w:r w:rsidR="00845575" w:rsidRPr="00CB5FB8">
        <w:t>3</w:t>
      </w:r>
      <w:r w:rsidRPr="00CB5FB8">
        <w:t xml:space="preserve"> – </w:t>
      </w:r>
      <w:r w:rsidR="006C287F" w:rsidRPr="00CB5FB8">
        <w:t xml:space="preserve">Distribuição espacial dos indivíduos de </w:t>
      </w:r>
      <w:proofErr w:type="spellStart"/>
      <w:r w:rsidR="006C287F" w:rsidRPr="00CB5FB8">
        <w:rPr>
          <w:i/>
          <w:iCs/>
        </w:rPr>
        <w:t>Eschweilera</w:t>
      </w:r>
      <w:proofErr w:type="spellEnd"/>
      <w:r w:rsidR="006C287F" w:rsidRPr="00CB5FB8">
        <w:rPr>
          <w:i/>
          <w:iCs/>
        </w:rPr>
        <w:t xml:space="preserve"> </w:t>
      </w:r>
      <w:proofErr w:type="spellStart"/>
      <w:r w:rsidR="006C287F" w:rsidRPr="00CB5FB8">
        <w:rPr>
          <w:i/>
          <w:iCs/>
        </w:rPr>
        <w:t>ovata</w:t>
      </w:r>
      <w:proofErr w:type="spellEnd"/>
      <w:r w:rsidR="006C287F" w:rsidRPr="00CB5FB8">
        <w:t xml:space="preserve"> na área experimental da Fazenda Fattoria </w:t>
      </w:r>
      <w:proofErr w:type="spellStart"/>
      <w:r w:rsidR="006C287F" w:rsidRPr="00CB5FB8">
        <w:t>Piave</w:t>
      </w:r>
      <w:proofErr w:type="spellEnd"/>
      <w:r w:rsidR="006C287F" w:rsidRPr="00CB5FB8">
        <w:t>, Igarapé-Açu, PA. (a) Indivíduos registrados na primeira medição (2018), representando a população estabelecida antes da aplicação dos tratamentos silviculturais. (b) Indivíduos presentes na segunda medição (2024), após os tratamentos, com destaque para os pontos vermelhos, que indicam os indivíduos ingressos durante o período de monitoramento.</w:t>
      </w:r>
    </w:p>
    <w:p w14:paraId="3D21BC99" w14:textId="133FB10D" w:rsidR="00C6659A" w:rsidRPr="00CB5FB8" w:rsidRDefault="00731ADF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  <w:r w:rsidRPr="00CB5FB8">
        <w:rPr>
          <w:noProof/>
        </w:rPr>
        <w:drawing>
          <wp:anchor distT="0" distB="0" distL="114300" distR="114300" simplePos="0" relativeHeight="251658240" behindDoc="0" locked="0" layoutInCell="1" hidden="0" allowOverlap="1" wp14:anchorId="4565B07D" wp14:editId="239140E9">
            <wp:simplePos x="0" y="0"/>
            <wp:positionH relativeFrom="column">
              <wp:posOffset>685165</wp:posOffset>
            </wp:positionH>
            <wp:positionV relativeFrom="paragraph">
              <wp:posOffset>99060</wp:posOffset>
            </wp:positionV>
            <wp:extent cx="4381500" cy="2194560"/>
            <wp:effectExtent l="0" t="0" r="0" b="0"/>
            <wp:wrapSquare wrapText="bothSides" distT="0" distB="0" distL="114300" distR="114300"/>
            <wp:docPr id="20236913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91319" name="image8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AC8CF" w14:textId="77777777" w:rsidR="00C6659A" w:rsidRPr="00CB5FB8" w:rsidRDefault="00C6659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23C8CB71" w14:textId="77777777" w:rsidR="00C6659A" w:rsidRPr="00CB5FB8" w:rsidRDefault="00C6659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2A261F4C" w14:textId="77777777" w:rsidR="00C6659A" w:rsidRPr="00CB5FB8" w:rsidRDefault="00C6659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68615DBE" w14:textId="77777777" w:rsidR="00C6659A" w:rsidRPr="00CB5FB8" w:rsidRDefault="00C6659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577A1C4C" w14:textId="77777777" w:rsidR="00C6659A" w:rsidRPr="00CB5FB8" w:rsidRDefault="00C6659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46B12500" w14:textId="77777777" w:rsidR="00C6659A" w:rsidRPr="00CB5FB8" w:rsidRDefault="00C6659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3A66CEF0" w14:textId="77777777" w:rsidR="00C6659A" w:rsidRPr="00CB5FB8" w:rsidRDefault="00C6659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2CC0332D" w14:textId="77777777" w:rsidR="00C6659A" w:rsidRPr="00CB5FB8" w:rsidRDefault="00C6659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6B0FD71F" w14:textId="77777777" w:rsidR="00C6659A" w:rsidRPr="00CB5FB8" w:rsidRDefault="00C6659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2DB7FEB6" w14:textId="647802C9" w:rsidR="00E6395A" w:rsidRPr="00CB5FB8" w:rsidRDefault="003A1173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  <w:r w:rsidRPr="00CB5FB8">
        <w:t xml:space="preserve">Fonte: </w:t>
      </w:r>
      <w:r w:rsidR="00C80639" w:rsidRPr="00CB5FB8">
        <w:t>Autor, 2025</w:t>
      </w:r>
      <w:r w:rsidRPr="00CB5FB8">
        <w:t xml:space="preserve">. </w:t>
      </w:r>
    </w:p>
    <w:p w14:paraId="7FCCABAC" w14:textId="2975DF5C" w:rsidR="007E5C4E" w:rsidRPr="00CB5FB8" w:rsidRDefault="00845575" w:rsidP="00CB1303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>Para a área basal foi observado aumento</w:t>
      </w:r>
      <w:r w:rsidR="00597575" w:rsidRPr="00CB5FB8">
        <w:rPr>
          <w:sz w:val="24"/>
          <w:szCs w:val="24"/>
        </w:rPr>
        <w:t xml:space="preserve"> significativo </w:t>
      </w:r>
      <w:r w:rsidRPr="00CB5FB8">
        <w:rPr>
          <w:sz w:val="24"/>
          <w:szCs w:val="24"/>
        </w:rPr>
        <w:t>de 2018 para 2024</w:t>
      </w:r>
      <w:r w:rsidR="00597575" w:rsidRPr="00CB5FB8">
        <w:rPr>
          <w:sz w:val="24"/>
          <w:szCs w:val="24"/>
        </w:rPr>
        <w:t xml:space="preserve"> (F = 68,38; p &lt; 0,001), com aumento de 0,0033 ± 0,0030 m² </w:t>
      </w:r>
      <w:proofErr w:type="gramStart"/>
      <w:r w:rsidR="00597575" w:rsidRPr="00CB5FB8">
        <w:rPr>
          <w:sz w:val="24"/>
          <w:szCs w:val="24"/>
        </w:rPr>
        <w:t>ha</w:t>
      </w:r>
      <w:proofErr w:type="gramEnd"/>
      <w:r w:rsidR="00597575" w:rsidRPr="00CB5FB8">
        <w:rPr>
          <w:sz w:val="24"/>
          <w:szCs w:val="24"/>
        </w:rPr>
        <w:t xml:space="preserve">⁻¹ em 2018 para 0,0059 ± 0,0037 m² </w:t>
      </w:r>
      <w:proofErr w:type="gramStart"/>
      <w:r w:rsidR="00597575" w:rsidRPr="00CB5FB8">
        <w:rPr>
          <w:sz w:val="24"/>
          <w:szCs w:val="24"/>
        </w:rPr>
        <w:t>ha</w:t>
      </w:r>
      <w:proofErr w:type="gramEnd"/>
      <w:r w:rsidR="00597575" w:rsidRPr="00CB5FB8">
        <w:rPr>
          <w:sz w:val="24"/>
          <w:szCs w:val="24"/>
        </w:rPr>
        <w:t xml:space="preserve">⁻¹ em </w:t>
      </w:r>
      <w:r w:rsidR="00597575" w:rsidRPr="00CB5FB8">
        <w:rPr>
          <w:sz w:val="24"/>
          <w:szCs w:val="24"/>
        </w:rPr>
        <w:lastRenderedPageBreak/>
        <w:t xml:space="preserve">2024 (Figura 4). Esse incremento estrutural evidencia que, além do recrutamento, o crescimento diamétrico dos indivíduos estabelecidos foi determinante para o ganho de área basal. A presença contínua de </w:t>
      </w:r>
      <w:r w:rsidR="00597575" w:rsidRPr="00CB5FB8">
        <w:rPr>
          <w:i/>
          <w:iCs/>
          <w:sz w:val="24"/>
          <w:szCs w:val="24"/>
        </w:rPr>
        <w:t xml:space="preserve">E. </w:t>
      </w:r>
      <w:proofErr w:type="spellStart"/>
      <w:r w:rsidR="00597575" w:rsidRPr="00CB5FB8">
        <w:rPr>
          <w:i/>
          <w:iCs/>
          <w:sz w:val="24"/>
          <w:szCs w:val="24"/>
        </w:rPr>
        <w:t>ovata</w:t>
      </w:r>
      <w:proofErr w:type="spellEnd"/>
      <w:r w:rsidR="00597575" w:rsidRPr="00CB5FB8">
        <w:rPr>
          <w:sz w:val="24"/>
          <w:szCs w:val="24"/>
        </w:rPr>
        <w:t xml:space="preserve"> como espécie dominante sugere resiliência e capacidade de sustentação do processo sucessional, mesmo em ambientes anteriormente degradados por uso agropecuário.</w:t>
      </w:r>
      <w:r w:rsidR="00141532" w:rsidRPr="00CB5FB8">
        <w:rPr>
          <w:sz w:val="24"/>
          <w:szCs w:val="24"/>
        </w:rPr>
        <w:t xml:space="preserve"> </w:t>
      </w:r>
    </w:p>
    <w:p w14:paraId="26C66E71" w14:textId="318DD74C" w:rsidR="005E3C5E" w:rsidRPr="00CB5FB8" w:rsidRDefault="005E3C5E" w:rsidP="005E3C5E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FF0000"/>
        </w:rPr>
      </w:pPr>
      <w:r w:rsidRPr="00CB5FB8">
        <w:t xml:space="preserve">Figura </w:t>
      </w:r>
      <w:r w:rsidR="00D50759" w:rsidRPr="00CB5FB8">
        <w:t>4</w:t>
      </w:r>
      <w:r w:rsidRPr="00CB5FB8">
        <w:t xml:space="preserve"> –</w:t>
      </w:r>
      <w:r w:rsidR="00F37BEB" w:rsidRPr="00CB5FB8">
        <w:rPr>
          <w:color w:val="000000"/>
        </w:rPr>
        <w:t xml:space="preserve"> A</w:t>
      </w:r>
      <w:r w:rsidRPr="00CB5FB8">
        <w:rPr>
          <w:color w:val="000000"/>
        </w:rPr>
        <w:t xml:space="preserve">rea basal média (m² </w:t>
      </w:r>
      <w:proofErr w:type="spellStart"/>
      <w:r w:rsidRPr="00CB5FB8">
        <w:rPr>
          <w:color w:val="000000"/>
        </w:rPr>
        <w:t>ha</w:t>
      </w:r>
      <w:proofErr w:type="spellEnd"/>
      <w:r w:rsidR="00F37BEB" w:rsidRPr="00CB5FB8">
        <w:rPr>
          <w:color w:val="000000"/>
          <w:sz w:val="24"/>
          <w:szCs w:val="24"/>
          <w:vertAlign w:val="superscript"/>
        </w:rPr>
        <w:t>-1</w:t>
      </w:r>
      <w:r w:rsidRPr="00CB5FB8">
        <w:rPr>
          <w:color w:val="000000"/>
        </w:rPr>
        <w:t xml:space="preserve">) </w:t>
      </w:r>
      <w:r w:rsidR="00F37BEB" w:rsidRPr="00CB5FB8">
        <w:t xml:space="preserve">de </w:t>
      </w:r>
      <w:proofErr w:type="spellStart"/>
      <w:r w:rsidR="00F37BEB" w:rsidRPr="00CB5FB8">
        <w:rPr>
          <w:i/>
        </w:rPr>
        <w:t>Eschweilera</w:t>
      </w:r>
      <w:proofErr w:type="spellEnd"/>
      <w:r w:rsidR="00F37BEB" w:rsidRPr="00CB5FB8">
        <w:rPr>
          <w:i/>
        </w:rPr>
        <w:t xml:space="preserve"> </w:t>
      </w:r>
      <w:proofErr w:type="spellStart"/>
      <w:r w:rsidR="00F37BEB" w:rsidRPr="00CB5FB8">
        <w:rPr>
          <w:i/>
        </w:rPr>
        <w:t>ovata</w:t>
      </w:r>
      <w:proofErr w:type="spellEnd"/>
      <w:r w:rsidR="00F37BEB" w:rsidRPr="00CB5FB8">
        <w:t xml:space="preserve"> em 1 ha de floresta secundária com 25 anos de sucessão natural entre 2018 e 2024 no município de Igarapé-Açu, </w:t>
      </w:r>
      <w:proofErr w:type="gramStart"/>
      <w:r w:rsidR="00F37BEB" w:rsidRPr="00CB5FB8">
        <w:t>Pará</w:t>
      </w:r>
      <w:r w:rsidR="00F37BEB" w:rsidRPr="00CB5FB8" w:rsidDel="00F37BEB">
        <w:rPr>
          <w:color w:val="000000"/>
        </w:rPr>
        <w:t xml:space="preserve"> </w:t>
      </w:r>
      <w:r w:rsidRPr="00CB5FB8">
        <w:rPr>
          <w:color w:val="000000"/>
        </w:rPr>
        <w:t>.</w:t>
      </w:r>
      <w:proofErr w:type="gramEnd"/>
      <w:r w:rsidRPr="00CB5FB8">
        <w:rPr>
          <w:color w:val="000000"/>
        </w:rPr>
        <w:t xml:space="preserve"> Letras diferentes sobre as barras indicam diferença estatística significativa entre os anos (p &lt; 0,05).</w:t>
      </w:r>
    </w:p>
    <w:p w14:paraId="2587B7D9" w14:textId="03371D42" w:rsidR="005E3C5E" w:rsidRPr="00CB5FB8" w:rsidRDefault="007E5C4E" w:rsidP="00FF54CC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  <w:r w:rsidRPr="00CB5FB8">
        <w:rPr>
          <w:noProof/>
        </w:rPr>
        <w:drawing>
          <wp:inline distT="0" distB="0" distL="0" distR="0" wp14:anchorId="746A2086" wp14:editId="2010120D">
            <wp:extent cx="3303472" cy="2361983"/>
            <wp:effectExtent l="0" t="0" r="0" b="635"/>
            <wp:docPr id="9853567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5671" name="Imagem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72" cy="236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110BB" w14:textId="58FBF989" w:rsidR="00597575" w:rsidRPr="00CB5FB8" w:rsidRDefault="005E3C5E" w:rsidP="00C80639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</w:pPr>
      <w:r w:rsidRPr="00CB5FB8">
        <w:t xml:space="preserve">Fonte: Autor, </w:t>
      </w:r>
      <w:r w:rsidR="00F37BEB" w:rsidRPr="00CB5FB8">
        <w:t>2025</w:t>
      </w:r>
      <w:r w:rsidRPr="00CB5FB8">
        <w:t xml:space="preserve">. </w:t>
      </w:r>
    </w:p>
    <w:p w14:paraId="111C4A87" w14:textId="77777777" w:rsidR="00C80639" w:rsidRPr="00CB5FB8" w:rsidRDefault="00C80639" w:rsidP="00607CD2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FF0000"/>
        </w:rPr>
      </w:pPr>
    </w:p>
    <w:p w14:paraId="03D25BC8" w14:textId="639F12DB" w:rsidR="00C12C9F" w:rsidRPr="00CB5FB8" w:rsidRDefault="00C12C9F" w:rsidP="00C12C9F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>Outro fator relevante refere-se à influência das lianas. Estudos recentes apontam que o aumento da sua prevalência após o corte seletivo pode retardar a regeneração das espécies arbóreas e comprometer o estoque de carbono (</w:t>
      </w:r>
      <w:proofErr w:type="spellStart"/>
      <w:r w:rsidRPr="00CB5FB8">
        <w:rPr>
          <w:sz w:val="24"/>
          <w:szCs w:val="24"/>
        </w:rPr>
        <w:t>Slätis</w:t>
      </w:r>
      <w:proofErr w:type="spellEnd"/>
      <w:r w:rsidRPr="00CB5FB8">
        <w:rPr>
          <w:sz w:val="24"/>
          <w:szCs w:val="24"/>
        </w:rPr>
        <w:t xml:space="preserve"> et al., 2025). </w:t>
      </w:r>
    </w:p>
    <w:p w14:paraId="60D05529" w14:textId="7157B787" w:rsidR="00C80639" w:rsidRPr="00CB5FB8" w:rsidRDefault="003A1173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  <w:r w:rsidRPr="00CB5FB8">
        <w:rPr>
          <w:b/>
          <w:sz w:val="24"/>
          <w:szCs w:val="24"/>
        </w:rPr>
        <w:t xml:space="preserve">4. </w:t>
      </w:r>
      <w:r w:rsidR="00C80639" w:rsidRPr="00CB5FB8">
        <w:rPr>
          <w:b/>
          <w:sz w:val="24"/>
          <w:szCs w:val="24"/>
        </w:rPr>
        <w:t>CONSIDERAÇÕES FINAIS</w:t>
      </w:r>
    </w:p>
    <w:p w14:paraId="7C0C685D" w14:textId="23D90B23" w:rsidR="00B22F62" w:rsidRPr="00CB5FB8" w:rsidRDefault="00B22F62" w:rsidP="001374B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t>A área estudada apresenta trajetória positiva de restauração estrutural e funcional, evidenciada pelo aumento da área basal e pelo ingresso populacional sob um padrão espacial estável. Essa evolução reforça o papel das espécies secundárias tardias na recomposição de estoques de biomassa e na estabilização da estrutura horizontal da floresta</w:t>
      </w:r>
      <w:r w:rsidRPr="00CB5FB8">
        <w:rPr>
          <w:i/>
          <w:iCs/>
          <w:sz w:val="24"/>
          <w:szCs w:val="24"/>
        </w:rPr>
        <w:t>.</w:t>
      </w:r>
      <w:r w:rsidR="002D26ED" w:rsidRPr="00CB5FB8">
        <w:rPr>
          <w:i/>
          <w:iCs/>
          <w:sz w:val="24"/>
          <w:szCs w:val="24"/>
        </w:rPr>
        <w:t xml:space="preserve"> </w:t>
      </w:r>
      <w:proofErr w:type="spellStart"/>
      <w:r w:rsidRPr="00CB5FB8">
        <w:rPr>
          <w:i/>
          <w:iCs/>
          <w:sz w:val="24"/>
          <w:szCs w:val="24"/>
        </w:rPr>
        <w:t>Eschweilera</w:t>
      </w:r>
      <w:proofErr w:type="spellEnd"/>
      <w:r w:rsidRPr="00CB5FB8">
        <w:rPr>
          <w:i/>
          <w:iCs/>
          <w:sz w:val="24"/>
          <w:szCs w:val="24"/>
        </w:rPr>
        <w:t xml:space="preserve"> </w:t>
      </w:r>
      <w:proofErr w:type="spellStart"/>
      <w:r w:rsidRPr="00CB5FB8">
        <w:rPr>
          <w:i/>
          <w:iCs/>
          <w:sz w:val="24"/>
          <w:szCs w:val="24"/>
        </w:rPr>
        <w:t>ovata</w:t>
      </w:r>
      <w:proofErr w:type="spellEnd"/>
      <w:r w:rsidRPr="00CB5FB8">
        <w:rPr>
          <w:sz w:val="24"/>
          <w:szCs w:val="24"/>
        </w:rPr>
        <w:t xml:space="preserve"> demonstrou padrão agregado em curtas distâncias e aleatoriedade em maiores escalas nos dois períodos avaliados, o que reflete a influência combinada da limitação de dispersão, da tolerância à sombra e das intervenções silviculturais aplicadas. O aumento no número de indivíduos e na área basal indica bom desempenho regenerativo e potencial de consolidação da espécie como componente dominante em florestas secundárias do Nordeste Paraense.</w:t>
      </w:r>
    </w:p>
    <w:p w14:paraId="1A4BB30A" w14:textId="77777777" w:rsidR="00B22F62" w:rsidRPr="00CB5FB8" w:rsidRDefault="00B22F62" w:rsidP="001374B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CB5FB8">
        <w:rPr>
          <w:sz w:val="24"/>
          <w:szCs w:val="24"/>
        </w:rPr>
        <w:lastRenderedPageBreak/>
        <w:t xml:space="preserve">Assim, a manutenção do monitoramento em parcelas permanentes é fundamental para avaliar os efeitos de diferentes intensidades e combinações de manejo sobre o comportamento populacional de espécies-chave como </w:t>
      </w:r>
      <w:r w:rsidRPr="00CB5FB8">
        <w:rPr>
          <w:i/>
          <w:iCs/>
          <w:sz w:val="24"/>
          <w:szCs w:val="24"/>
        </w:rPr>
        <w:t xml:space="preserve">E. </w:t>
      </w:r>
      <w:proofErr w:type="spellStart"/>
      <w:r w:rsidRPr="00CB5FB8">
        <w:rPr>
          <w:i/>
          <w:iCs/>
          <w:sz w:val="24"/>
          <w:szCs w:val="24"/>
        </w:rPr>
        <w:t>ovata</w:t>
      </w:r>
      <w:proofErr w:type="spellEnd"/>
      <w:r w:rsidRPr="00CB5FB8">
        <w:rPr>
          <w:sz w:val="24"/>
          <w:szCs w:val="24"/>
        </w:rPr>
        <w:t>, contribuindo para o aprimoramento de estratégias de restauração e manejo adaptativo em florestas secundárias amazônicas.</w:t>
      </w:r>
    </w:p>
    <w:p w14:paraId="389C6AE0" w14:textId="77777777" w:rsidR="00C80639" w:rsidRPr="00CB5FB8" w:rsidRDefault="00C80639" w:rsidP="00C8063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</w:p>
    <w:p w14:paraId="79453DBB" w14:textId="2BECA636" w:rsidR="00B22F62" w:rsidRPr="00CB5FB8" w:rsidRDefault="003A1173" w:rsidP="00B50DED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b/>
          <w:bCs/>
          <w:sz w:val="24"/>
          <w:szCs w:val="24"/>
        </w:rPr>
      </w:pPr>
      <w:r w:rsidRPr="00CB5FB8">
        <w:rPr>
          <w:b/>
          <w:bCs/>
          <w:sz w:val="24"/>
          <w:szCs w:val="24"/>
        </w:rPr>
        <w:t xml:space="preserve">REFERÊNCIAS </w:t>
      </w:r>
    </w:p>
    <w:p w14:paraId="6A5E4175" w14:textId="77777777" w:rsidR="00B12CF5" w:rsidRDefault="00B12CF5" w:rsidP="00B12CF5">
      <w:pPr>
        <w:pStyle w:val="NormalWeb"/>
      </w:pPr>
      <w:r>
        <w:t xml:space="preserve">ALVES, N. S. </w:t>
      </w:r>
      <w:r>
        <w:rPr>
          <w:rStyle w:val="nfase"/>
        </w:rPr>
        <w:t>Manejo em áreas de florestas secundárias com diferentes métodos de restauração no município de Igarapé-Açu – PA.</w:t>
      </w:r>
      <w:r>
        <w:t xml:space="preserve"> 2024. Trabalho de Conclusão de Curso (Engenharia Florestal) – Universidade Estadual da Região </w:t>
      </w:r>
      <w:proofErr w:type="spellStart"/>
      <w:r>
        <w:t>Tocantina</w:t>
      </w:r>
      <w:proofErr w:type="spellEnd"/>
      <w:r>
        <w:t xml:space="preserve"> do Maranhão, Imperatriz, 2024.</w:t>
      </w:r>
    </w:p>
    <w:p w14:paraId="3D02082F" w14:textId="77777777" w:rsidR="00B12CF5" w:rsidRDefault="00B12CF5" w:rsidP="00B12CF5">
      <w:pPr>
        <w:pStyle w:val="NormalWeb"/>
      </w:pPr>
      <w:r>
        <w:t xml:space="preserve">BEDRIJ, L.; et al.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heterogeneity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tree</w:t>
      </w:r>
      <w:proofErr w:type="spellEnd"/>
      <w:r>
        <w:t xml:space="preserve"> </w:t>
      </w:r>
      <w:proofErr w:type="spellStart"/>
      <w:r>
        <w:t>mortality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post-</w:t>
      </w:r>
      <w:proofErr w:type="spellStart"/>
      <w:r>
        <w:t>disturbance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in </w:t>
      </w:r>
      <w:proofErr w:type="spellStart"/>
      <w:r>
        <w:t>managed</w:t>
      </w:r>
      <w:proofErr w:type="spellEnd"/>
      <w:r>
        <w:t xml:space="preserve"> tropical </w:t>
      </w:r>
      <w:proofErr w:type="spellStart"/>
      <w:r>
        <w:t>forests</w:t>
      </w:r>
      <w:proofErr w:type="spellEnd"/>
      <w:r>
        <w:t xml:space="preserve">. </w:t>
      </w:r>
      <w:r>
        <w:rPr>
          <w:rStyle w:val="nfase"/>
        </w:rPr>
        <w:t xml:space="preserve">Forest </w:t>
      </w:r>
      <w:proofErr w:type="spellStart"/>
      <w:r>
        <w:rPr>
          <w:rStyle w:val="nfase"/>
        </w:rPr>
        <w:t>Ecology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and</w:t>
      </w:r>
      <w:proofErr w:type="spellEnd"/>
      <w:r>
        <w:rPr>
          <w:rStyle w:val="nfase"/>
        </w:rPr>
        <w:t xml:space="preserve"> Management</w:t>
      </w:r>
      <w:r>
        <w:t>, v. 567, p. 122066, 2024.</w:t>
      </w:r>
    </w:p>
    <w:p w14:paraId="1200D562" w14:textId="77777777" w:rsidR="00B12CF5" w:rsidRDefault="00B12CF5" w:rsidP="00B12CF5">
      <w:pPr>
        <w:pStyle w:val="NormalWeb"/>
      </w:pPr>
      <w:r>
        <w:t xml:space="preserve">MENEZES, I. S.; et al. Uso alternativo do solo como forma de recuperação de área degradada. </w:t>
      </w:r>
      <w:proofErr w:type="spellStart"/>
      <w:r>
        <w:rPr>
          <w:rStyle w:val="nfase"/>
        </w:rPr>
        <w:t>Research</w:t>
      </w:r>
      <w:proofErr w:type="spellEnd"/>
      <w:r>
        <w:rPr>
          <w:rStyle w:val="nfase"/>
        </w:rPr>
        <w:t xml:space="preserve">, Society </w:t>
      </w:r>
      <w:proofErr w:type="spellStart"/>
      <w:r>
        <w:rPr>
          <w:rStyle w:val="nfase"/>
        </w:rPr>
        <w:t>and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Development</w:t>
      </w:r>
      <w:proofErr w:type="spellEnd"/>
      <w:r>
        <w:t>, v. 11, n. 8, p. e41511828207, 2022.</w:t>
      </w:r>
    </w:p>
    <w:p w14:paraId="4506D011" w14:textId="77777777" w:rsidR="00B12CF5" w:rsidRDefault="00B12CF5" w:rsidP="00B12CF5">
      <w:pPr>
        <w:pStyle w:val="NormalWeb"/>
      </w:pPr>
      <w:r>
        <w:t xml:space="preserve">MIRON, A. C.; et al.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temporal </w:t>
      </w:r>
      <w:proofErr w:type="spellStart"/>
      <w:r>
        <w:t>patterns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Ripley’s</w:t>
      </w:r>
      <w:proofErr w:type="spellEnd"/>
      <w:r>
        <w:t xml:space="preserve"> K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kernel </w:t>
      </w:r>
      <w:proofErr w:type="spellStart"/>
      <w:r>
        <w:t>density</w:t>
      </w:r>
      <w:proofErr w:type="spellEnd"/>
      <w:r>
        <w:t xml:space="preserve"> </w:t>
      </w:r>
      <w:proofErr w:type="spellStart"/>
      <w:r>
        <w:t>estimation</w:t>
      </w:r>
      <w:proofErr w:type="spellEnd"/>
      <w:r>
        <w:t xml:space="preserve">. </w:t>
      </w:r>
      <w:proofErr w:type="spellStart"/>
      <w:r>
        <w:rPr>
          <w:rStyle w:val="nfase"/>
        </w:rPr>
        <w:t>Journal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of</w:t>
      </w:r>
      <w:proofErr w:type="spellEnd"/>
      <w:r>
        <w:rPr>
          <w:rStyle w:val="nfase"/>
        </w:rPr>
        <w:t xml:space="preserve"> Environmental Management</w:t>
      </w:r>
      <w:r>
        <w:t>, v. 287, p. 112389, 2021.</w:t>
      </w:r>
    </w:p>
    <w:p w14:paraId="3168F03F" w14:textId="77777777" w:rsidR="00B12CF5" w:rsidRDefault="00B12CF5" w:rsidP="00B12CF5">
      <w:pPr>
        <w:pStyle w:val="NormalWeb"/>
      </w:pPr>
      <w:r>
        <w:t xml:space="preserve">R CORE TEAM. </w:t>
      </w:r>
      <w:r>
        <w:rPr>
          <w:rStyle w:val="nfase"/>
        </w:rPr>
        <w:t xml:space="preserve">R: A </w:t>
      </w:r>
      <w:proofErr w:type="spellStart"/>
      <w:r>
        <w:rPr>
          <w:rStyle w:val="nfase"/>
        </w:rPr>
        <w:t>language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and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environment</w:t>
      </w:r>
      <w:proofErr w:type="spellEnd"/>
      <w:r>
        <w:rPr>
          <w:rStyle w:val="nfase"/>
        </w:rPr>
        <w:t xml:space="preserve"> for </w:t>
      </w:r>
      <w:proofErr w:type="spellStart"/>
      <w:r>
        <w:rPr>
          <w:rStyle w:val="nfase"/>
        </w:rPr>
        <w:t>statistical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computing</w:t>
      </w:r>
      <w:proofErr w:type="spellEnd"/>
      <w:r>
        <w:rPr>
          <w:rStyle w:val="nfase"/>
        </w:rPr>
        <w:t>.</w:t>
      </w:r>
      <w:r>
        <w:t xml:space="preserve"> Vienna: R Foundation for </w:t>
      </w:r>
      <w:proofErr w:type="spellStart"/>
      <w:r>
        <w:t>Statistical</w:t>
      </w:r>
      <w:proofErr w:type="spellEnd"/>
      <w:r>
        <w:t xml:space="preserve"> </w:t>
      </w:r>
      <w:proofErr w:type="spellStart"/>
      <w:r>
        <w:t>Computing</w:t>
      </w:r>
      <w:proofErr w:type="spellEnd"/>
      <w:r>
        <w:t>, 2025.</w:t>
      </w:r>
    </w:p>
    <w:p w14:paraId="21D57316" w14:textId="77777777" w:rsidR="00B12CF5" w:rsidRDefault="00B12CF5" w:rsidP="00B12CF5">
      <w:pPr>
        <w:pStyle w:val="NormalWeb"/>
      </w:pPr>
      <w:r>
        <w:t xml:space="preserve">RIPLEY, B. D. </w:t>
      </w:r>
      <w:proofErr w:type="spellStart"/>
      <w:r>
        <w:t>Modelling</w:t>
      </w:r>
      <w:proofErr w:type="spellEnd"/>
      <w:r>
        <w:t xml:space="preserve">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. </w:t>
      </w:r>
      <w:proofErr w:type="spellStart"/>
      <w:r>
        <w:rPr>
          <w:rStyle w:val="nfase"/>
        </w:rPr>
        <w:t>Journal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of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the</w:t>
      </w:r>
      <w:proofErr w:type="spellEnd"/>
      <w:r>
        <w:rPr>
          <w:rStyle w:val="nfase"/>
        </w:rPr>
        <w:t xml:space="preserve"> Royal </w:t>
      </w:r>
      <w:proofErr w:type="spellStart"/>
      <w:r>
        <w:rPr>
          <w:rStyle w:val="nfase"/>
        </w:rPr>
        <w:t>Statistical</w:t>
      </w:r>
      <w:proofErr w:type="spellEnd"/>
      <w:r>
        <w:rPr>
          <w:rStyle w:val="nfase"/>
        </w:rPr>
        <w:t xml:space="preserve"> Society</w:t>
      </w:r>
      <w:r>
        <w:t>, v. 39, p. 172–212, 1977.</w:t>
      </w:r>
    </w:p>
    <w:p w14:paraId="14ACD070" w14:textId="77777777" w:rsidR="00B12CF5" w:rsidRDefault="00B12CF5" w:rsidP="00B12CF5">
      <w:pPr>
        <w:pStyle w:val="NormalWeb"/>
      </w:pPr>
      <w:r>
        <w:t xml:space="preserve">SCHAEFER, C. E. G. R.; et al. Ecologia e manejo da vegetação secundária amazônica. </w:t>
      </w:r>
      <w:r>
        <w:rPr>
          <w:rStyle w:val="nfase"/>
        </w:rPr>
        <w:t>Floresta e Ambiente</w:t>
      </w:r>
      <w:r>
        <w:t>, v. 29, n. 1, e20210133, 2022.</w:t>
      </w:r>
    </w:p>
    <w:p w14:paraId="44C50A11" w14:textId="77777777" w:rsidR="00B12CF5" w:rsidRDefault="00B12CF5" w:rsidP="00B12CF5">
      <w:pPr>
        <w:pStyle w:val="NormalWeb"/>
      </w:pPr>
      <w:r>
        <w:t xml:space="preserve">SILVA, A. C. </w:t>
      </w:r>
      <w:r>
        <w:rPr>
          <w:rStyle w:val="nfase"/>
        </w:rPr>
        <w:t xml:space="preserve">Dinâmica populacional de </w:t>
      </w:r>
      <w:proofErr w:type="spellStart"/>
      <w:r>
        <w:rPr>
          <w:rStyle w:val="nfase"/>
        </w:rPr>
        <w:t>Eschweilera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amazonica</w:t>
      </w:r>
      <w:proofErr w:type="spellEnd"/>
      <w:r>
        <w:rPr>
          <w:rStyle w:val="nfase"/>
        </w:rPr>
        <w:t xml:space="preserve"> (</w:t>
      </w:r>
      <w:proofErr w:type="spellStart"/>
      <w:r>
        <w:rPr>
          <w:rStyle w:val="nfase"/>
        </w:rPr>
        <w:t>Lecythidaceae</w:t>
      </w:r>
      <w:proofErr w:type="spellEnd"/>
      <w:r>
        <w:rPr>
          <w:rStyle w:val="nfase"/>
        </w:rPr>
        <w:t>) em floresta de terra firme na Amazônia Oriental.</w:t>
      </w:r>
      <w:r>
        <w:t xml:space="preserve"> 2022. Dissertação (Mestrado em Ciências Ambientais) – Universidade Federal Rural da Amazônia, Belém, 2022.</w:t>
      </w:r>
    </w:p>
    <w:p w14:paraId="561FFC8D" w14:textId="77777777" w:rsidR="00B12CF5" w:rsidRDefault="00B12CF5" w:rsidP="00B12CF5">
      <w:pPr>
        <w:pStyle w:val="NormalWeb"/>
      </w:pPr>
      <w:r>
        <w:t xml:space="preserve">SLÄTIS, J.; et al. </w:t>
      </w:r>
      <w:proofErr w:type="spellStart"/>
      <w:r>
        <w:t>Increase</w:t>
      </w:r>
      <w:proofErr w:type="spellEnd"/>
      <w:r>
        <w:t xml:space="preserve"> in liana </w:t>
      </w:r>
      <w:proofErr w:type="spellStart"/>
      <w:r>
        <w:t>prevalence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logging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thinning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Amazonian</w:t>
      </w:r>
      <w:proofErr w:type="spellEnd"/>
      <w:r>
        <w:t xml:space="preserve"> </w:t>
      </w:r>
      <w:proofErr w:type="spellStart"/>
      <w:r>
        <w:t>forest</w:t>
      </w:r>
      <w:proofErr w:type="spellEnd"/>
      <w:r>
        <w:t xml:space="preserve">. </w:t>
      </w:r>
      <w:r>
        <w:rPr>
          <w:rStyle w:val="nfase"/>
        </w:rPr>
        <w:t xml:space="preserve">Forest </w:t>
      </w:r>
      <w:proofErr w:type="spellStart"/>
      <w:r>
        <w:rPr>
          <w:rStyle w:val="nfase"/>
        </w:rPr>
        <w:t>Ecology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and</w:t>
      </w:r>
      <w:proofErr w:type="spellEnd"/>
      <w:r>
        <w:rPr>
          <w:rStyle w:val="nfase"/>
        </w:rPr>
        <w:t xml:space="preserve"> Management</w:t>
      </w:r>
      <w:r>
        <w:t>, v. 599, p. 123280, 2025.</w:t>
      </w:r>
    </w:p>
    <w:p w14:paraId="242886EA" w14:textId="77777777" w:rsidR="00B12CF5" w:rsidRDefault="00B12CF5" w:rsidP="00B12CF5">
      <w:pPr>
        <w:pStyle w:val="NormalWeb"/>
      </w:pPr>
      <w:r>
        <w:t xml:space="preserve">VILELA, F. de S. </w:t>
      </w:r>
      <w:r>
        <w:rPr>
          <w:rStyle w:val="nfase"/>
        </w:rPr>
        <w:t>Influência da predação e da dispersão de sementes sobre o recrutamento de plântulas de biriba (</w:t>
      </w:r>
      <w:proofErr w:type="spellStart"/>
      <w:r>
        <w:rPr>
          <w:rStyle w:val="nfase"/>
        </w:rPr>
        <w:t>Eschweilera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ovata</w:t>
      </w:r>
      <w:proofErr w:type="spellEnd"/>
      <w:r>
        <w:rPr>
          <w:rStyle w:val="nfase"/>
        </w:rPr>
        <w:t xml:space="preserve">, </w:t>
      </w:r>
      <w:proofErr w:type="spellStart"/>
      <w:r>
        <w:rPr>
          <w:rStyle w:val="nfase"/>
        </w:rPr>
        <w:t>Lecythidaceae</w:t>
      </w:r>
      <w:proofErr w:type="spellEnd"/>
      <w:r>
        <w:rPr>
          <w:rStyle w:val="nfase"/>
        </w:rPr>
        <w:t>), na Mata Atlântica, Reserva Ecológica da Michelin, BA.</w:t>
      </w:r>
      <w:r>
        <w:t xml:space="preserve"> 2008. 74 f. Dissertação (Mestrado em Ecologia e Biomonitoramento) – Universidade Federal da Bahia, Salvador, 2008.</w:t>
      </w:r>
    </w:p>
    <w:p w14:paraId="41CC82BE" w14:textId="77777777" w:rsidR="00B12CF5" w:rsidRDefault="00B12CF5" w:rsidP="00B12CF5">
      <w:pPr>
        <w:pStyle w:val="NormalWeb"/>
      </w:pPr>
      <w:r>
        <w:lastRenderedPageBreak/>
        <w:t xml:space="preserve">WICKHAM, H.; et al. </w:t>
      </w:r>
      <w:proofErr w:type="spellStart"/>
      <w:r>
        <w:t>Welcome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tidyverse</w:t>
      </w:r>
      <w:proofErr w:type="spellEnd"/>
      <w:r>
        <w:t xml:space="preserve">. </w:t>
      </w:r>
      <w:proofErr w:type="spellStart"/>
      <w:r>
        <w:rPr>
          <w:rStyle w:val="nfase"/>
        </w:rPr>
        <w:t>Journal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of</w:t>
      </w:r>
      <w:proofErr w:type="spellEnd"/>
      <w:r>
        <w:rPr>
          <w:rStyle w:val="nfase"/>
        </w:rPr>
        <w:t xml:space="preserve"> Open </w:t>
      </w:r>
      <w:proofErr w:type="spellStart"/>
      <w:r>
        <w:rPr>
          <w:rStyle w:val="nfase"/>
        </w:rPr>
        <w:t>Source</w:t>
      </w:r>
      <w:proofErr w:type="spellEnd"/>
      <w:r>
        <w:rPr>
          <w:rStyle w:val="nfase"/>
        </w:rPr>
        <w:t xml:space="preserve"> Software</w:t>
      </w:r>
      <w:r>
        <w:t>, v. 4, n. 43, p. 1686, 2019.</w:t>
      </w:r>
    </w:p>
    <w:p w14:paraId="070FFFFF" w14:textId="77777777" w:rsidR="00186593" w:rsidRPr="00C32B60" w:rsidRDefault="00186593" w:rsidP="00C32B60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</w:p>
    <w:p w14:paraId="6445FEA5" w14:textId="2612CC21" w:rsidR="00913BC1" w:rsidRDefault="00913BC1" w:rsidP="00C80639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bookmarkStart w:id="0" w:name="_heading=h.uk54nffy8vbr" w:colFirst="0" w:colLast="0"/>
      <w:bookmarkEnd w:id="0"/>
    </w:p>
    <w:sectPr w:rsidR="00913BC1">
      <w:headerReference w:type="default" r:id="rId14"/>
      <w:footerReference w:type="default" r:id="rId15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DAC4F" w14:textId="77777777" w:rsidR="00C2553F" w:rsidRDefault="00C2553F">
      <w:r>
        <w:separator/>
      </w:r>
    </w:p>
  </w:endnote>
  <w:endnote w:type="continuationSeparator" w:id="0">
    <w:p w14:paraId="573229D8" w14:textId="77777777" w:rsidR="00C2553F" w:rsidRDefault="00C25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D7A08" w14:textId="77777777" w:rsidR="00E6395A" w:rsidRDefault="003A11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5FA9EB7" wp14:editId="2AA7BA68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36913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FA6FF38" wp14:editId="449A0692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369132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3FAF95C" wp14:editId="2E3D34F6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369131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D25827A" wp14:editId="230B7C9B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36913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AB80A92" wp14:editId="517A48B9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36913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B44B833" wp14:editId="765B51F1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36913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6AB3F" w14:textId="77777777" w:rsidR="00C2553F" w:rsidRDefault="00C2553F">
      <w:r>
        <w:separator/>
      </w:r>
    </w:p>
  </w:footnote>
  <w:footnote w:type="continuationSeparator" w:id="0">
    <w:p w14:paraId="55561DA1" w14:textId="77777777" w:rsidR="00C2553F" w:rsidRDefault="00C25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C8BDE" w14:textId="77777777" w:rsidR="00E6395A" w:rsidRDefault="003A11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8A92C09" wp14:editId="7CCF4033">
          <wp:extent cx="3253105" cy="1057275"/>
          <wp:effectExtent l="0" t="0" r="0" b="0"/>
          <wp:docPr id="2023691320" name="image6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71186"/>
    <w:multiLevelType w:val="hybridMultilevel"/>
    <w:tmpl w:val="AD228F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164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6395A"/>
    <w:rsid w:val="00001580"/>
    <w:rsid w:val="00010CC6"/>
    <w:rsid w:val="000A2A4E"/>
    <w:rsid w:val="000C1719"/>
    <w:rsid w:val="000D460C"/>
    <w:rsid w:val="000F7209"/>
    <w:rsid w:val="0010426D"/>
    <w:rsid w:val="0012515F"/>
    <w:rsid w:val="00126DA0"/>
    <w:rsid w:val="001374BA"/>
    <w:rsid w:val="00141532"/>
    <w:rsid w:val="00146E87"/>
    <w:rsid w:val="00186593"/>
    <w:rsid w:val="001C7D1C"/>
    <w:rsid w:val="001E4D0D"/>
    <w:rsid w:val="002112D2"/>
    <w:rsid w:val="00234CCB"/>
    <w:rsid w:val="0024090D"/>
    <w:rsid w:val="00263C53"/>
    <w:rsid w:val="0028333E"/>
    <w:rsid w:val="00296E0E"/>
    <w:rsid w:val="002D26ED"/>
    <w:rsid w:val="002F4242"/>
    <w:rsid w:val="002F6393"/>
    <w:rsid w:val="002F6802"/>
    <w:rsid w:val="00332258"/>
    <w:rsid w:val="0037066C"/>
    <w:rsid w:val="003815B9"/>
    <w:rsid w:val="003A1173"/>
    <w:rsid w:val="003B484A"/>
    <w:rsid w:val="003D1205"/>
    <w:rsid w:val="003E1585"/>
    <w:rsid w:val="0041132F"/>
    <w:rsid w:val="00457196"/>
    <w:rsid w:val="004942D7"/>
    <w:rsid w:val="004B1512"/>
    <w:rsid w:val="004B6130"/>
    <w:rsid w:val="004C2CD9"/>
    <w:rsid w:val="00513225"/>
    <w:rsid w:val="00516990"/>
    <w:rsid w:val="00521A65"/>
    <w:rsid w:val="00547159"/>
    <w:rsid w:val="005823BE"/>
    <w:rsid w:val="00594BD1"/>
    <w:rsid w:val="00597575"/>
    <w:rsid w:val="005A6607"/>
    <w:rsid w:val="005B23BA"/>
    <w:rsid w:val="005B72CE"/>
    <w:rsid w:val="005E3C5E"/>
    <w:rsid w:val="005E5064"/>
    <w:rsid w:val="005E65C0"/>
    <w:rsid w:val="005F20DB"/>
    <w:rsid w:val="00607CD2"/>
    <w:rsid w:val="006834F1"/>
    <w:rsid w:val="006851A9"/>
    <w:rsid w:val="00691928"/>
    <w:rsid w:val="0069365F"/>
    <w:rsid w:val="006C287F"/>
    <w:rsid w:val="006E688D"/>
    <w:rsid w:val="006F21E5"/>
    <w:rsid w:val="00731ADF"/>
    <w:rsid w:val="007375C6"/>
    <w:rsid w:val="0075564A"/>
    <w:rsid w:val="00762BF4"/>
    <w:rsid w:val="00776833"/>
    <w:rsid w:val="00794B20"/>
    <w:rsid w:val="007A127D"/>
    <w:rsid w:val="007E14A1"/>
    <w:rsid w:val="007E2806"/>
    <w:rsid w:val="007E5C4E"/>
    <w:rsid w:val="00824D3B"/>
    <w:rsid w:val="00845575"/>
    <w:rsid w:val="0084681D"/>
    <w:rsid w:val="0087289F"/>
    <w:rsid w:val="008A1C38"/>
    <w:rsid w:val="008F7FF1"/>
    <w:rsid w:val="0091199B"/>
    <w:rsid w:val="00913BC1"/>
    <w:rsid w:val="00917397"/>
    <w:rsid w:val="00924593"/>
    <w:rsid w:val="00933686"/>
    <w:rsid w:val="00967D37"/>
    <w:rsid w:val="00994373"/>
    <w:rsid w:val="009B6D55"/>
    <w:rsid w:val="009D1C9D"/>
    <w:rsid w:val="009D3D78"/>
    <w:rsid w:val="009F0951"/>
    <w:rsid w:val="009F5708"/>
    <w:rsid w:val="00A97BD0"/>
    <w:rsid w:val="00AA0494"/>
    <w:rsid w:val="00AB2297"/>
    <w:rsid w:val="00AB5B7F"/>
    <w:rsid w:val="00AF3A36"/>
    <w:rsid w:val="00B12CF5"/>
    <w:rsid w:val="00B22F62"/>
    <w:rsid w:val="00B50120"/>
    <w:rsid w:val="00B50D5F"/>
    <w:rsid w:val="00B50DED"/>
    <w:rsid w:val="00B862B7"/>
    <w:rsid w:val="00BB2501"/>
    <w:rsid w:val="00BC4D0C"/>
    <w:rsid w:val="00BE6960"/>
    <w:rsid w:val="00C02BB8"/>
    <w:rsid w:val="00C12C9F"/>
    <w:rsid w:val="00C16201"/>
    <w:rsid w:val="00C2553F"/>
    <w:rsid w:val="00C26D1D"/>
    <w:rsid w:val="00C32B60"/>
    <w:rsid w:val="00C6659A"/>
    <w:rsid w:val="00C80639"/>
    <w:rsid w:val="00CA1309"/>
    <w:rsid w:val="00CB1303"/>
    <w:rsid w:val="00CB5FB8"/>
    <w:rsid w:val="00CB6F43"/>
    <w:rsid w:val="00CD6629"/>
    <w:rsid w:val="00D033F6"/>
    <w:rsid w:val="00D132A9"/>
    <w:rsid w:val="00D16B45"/>
    <w:rsid w:val="00D50759"/>
    <w:rsid w:val="00DA24B0"/>
    <w:rsid w:val="00DB719F"/>
    <w:rsid w:val="00DD3063"/>
    <w:rsid w:val="00DD3E9E"/>
    <w:rsid w:val="00DD54FF"/>
    <w:rsid w:val="00DF0A96"/>
    <w:rsid w:val="00E01EEC"/>
    <w:rsid w:val="00E05538"/>
    <w:rsid w:val="00E22486"/>
    <w:rsid w:val="00E42C77"/>
    <w:rsid w:val="00E50328"/>
    <w:rsid w:val="00E6395A"/>
    <w:rsid w:val="00E74BD4"/>
    <w:rsid w:val="00E85974"/>
    <w:rsid w:val="00E95B9E"/>
    <w:rsid w:val="00EB7E56"/>
    <w:rsid w:val="00ED792E"/>
    <w:rsid w:val="00EF42E0"/>
    <w:rsid w:val="00EF759F"/>
    <w:rsid w:val="00F137DB"/>
    <w:rsid w:val="00F166E4"/>
    <w:rsid w:val="00F3774D"/>
    <w:rsid w:val="00F37BEB"/>
    <w:rsid w:val="00F75983"/>
    <w:rsid w:val="00FB41E6"/>
    <w:rsid w:val="00FF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F0DD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E3C5E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21A6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1A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1532"/>
    <w:pPr>
      <w:widowControl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ED792E"/>
    <w:rPr>
      <w:i/>
      <w:iCs/>
    </w:rPr>
  </w:style>
  <w:style w:type="character" w:styleId="Hyperlink">
    <w:name w:val="Hyperlink"/>
    <w:basedOn w:val="Fontepargpadro"/>
    <w:uiPriority w:val="99"/>
    <w:unhideWhenUsed/>
    <w:rsid w:val="0041132F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1132F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C32B60"/>
    <w:rPr>
      <w:b/>
      <w:bCs/>
    </w:rPr>
  </w:style>
  <w:style w:type="paragraph" w:styleId="Reviso">
    <w:name w:val="Revision"/>
    <w:hidden/>
    <w:uiPriority w:val="99"/>
    <w:semiHidden/>
    <w:rsid w:val="00001580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00158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0158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0158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158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15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7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leilson.silva@aluno.uepa.b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lYjYqvHIpv8R1/L5SdX4MGEyA==">CgMxLjAyDmgudWs1NG5mZnk4dmJyOAByITFza3VYdFE5UzlBSnY4T3BTS1dxN1BoSXJFRE9naE1pTw==</go:docsCustomData>
</go:gDocsCustomXmlDataStorage>
</file>

<file path=customXml/itemProps1.xml><?xml version="1.0" encoding="utf-8"?>
<ds:datastoreItem xmlns:ds="http://schemas.openxmlformats.org/officeDocument/2006/customXml" ds:itemID="{679E6976-1296-4582-A830-72B4424766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2800</Words>
  <Characters>15125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2025-11-21T14:11:00Z</dcterms:created>
  <dcterms:modified xsi:type="dcterms:W3CDTF">2025-11-28T19:21:00Z</dcterms:modified>
</cp:coreProperties>
</file>