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A702D" w14:textId="77777777" w:rsidR="002C2E65" w:rsidRDefault="00000000">
      <w:pPr>
        <w:jc w:val="center"/>
        <w:rPr>
          <w:b/>
          <w:bCs/>
          <w:sz w:val="24"/>
          <w:szCs w:val="24"/>
        </w:rPr>
      </w:pPr>
      <w:r>
        <w:rPr>
          <w:b/>
          <w:bCs/>
          <w:sz w:val="24"/>
          <w:szCs w:val="24"/>
        </w:rPr>
        <w:t>DESEMPENHO DE LIBERAÇÃO DE NUTRIENTES POR ADUBOS ORGÂNICOS NO SOLO DE ÁREA DE CONSÓRCIO</w:t>
      </w:r>
    </w:p>
    <w:p w14:paraId="01CE44F8" w14:textId="77777777" w:rsidR="002C2E65" w:rsidRDefault="002C2E65">
      <w:pPr>
        <w:pBdr>
          <w:bottom w:val="none" w:sz="0" w:space="8" w:color="000000"/>
        </w:pBdr>
        <w:shd w:val="clear" w:color="auto" w:fill="FFFFFF"/>
        <w:tabs>
          <w:tab w:val="left" w:pos="2500"/>
        </w:tabs>
        <w:jc w:val="center"/>
        <w:rPr>
          <w:b/>
          <w:bCs/>
          <w:sz w:val="24"/>
          <w:szCs w:val="24"/>
        </w:rPr>
      </w:pPr>
    </w:p>
    <w:p w14:paraId="613890AB" w14:textId="77777777" w:rsidR="002C2E65" w:rsidRDefault="00000000">
      <w:pPr>
        <w:shd w:val="clear" w:color="auto" w:fill="FFFFFF"/>
        <w:tabs>
          <w:tab w:val="left" w:pos="2500"/>
        </w:tabs>
        <w:jc w:val="center"/>
        <w:rPr>
          <w:sz w:val="24"/>
          <w:szCs w:val="24"/>
        </w:rPr>
      </w:pPr>
      <w:r>
        <w:rPr>
          <w:sz w:val="24"/>
          <w:szCs w:val="24"/>
        </w:rPr>
        <w:t>Hernan Carlos Barral de Carvalho</w:t>
      </w:r>
      <w:r>
        <w:rPr>
          <w:sz w:val="24"/>
          <w:szCs w:val="24"/>
          <w:vertAlign w:val="superscript"/>
        </w:rPr>
        <w:t>1</w:t>
      </w:r>
      <w:r>
        <w:rPr>
          <w:sz w:val="24"/>
          <w:szCs w:val="24"/>
        </w:rPr>
        <w:t>; Adriano Miranda Brasil</w:t>
      </w:r>
      <w:r>
        <w:rPr>
          <w:sz w:val="24"/>
          <w:szCs w:val="24"/>
          <w:vertAlign w:val="superscript"/>
        </w:rPr>
        <w:t>2</w:t>
      </w:r>
      <w:r>
        <w:rPr>
          <w:sz w:val="24"/>
          <w:szCs w:val="24"/>
        </w:rPr>
        <w:t>; Diogo Acácio Batista</w:t>
      </w:r>
      <w:r>
        <w:rPr>
          <w:sz w:val="24"/>
          <w:szCs w:val="24"/>
          <w:vertAlign w:val="superscript"/>
        </w:rPr>
        <w:t>3</w:t>
      </w:r>
      <w:r>
        <w:rPr>
          <w:sz w:val="24"/>
          <w:szCs w:val="24"/>
        </w:rPr>
        <w:t>; Lucas Gil do Nascimento</w:t>
      </w:r>
      <w:r>
        <w:rPr>
          <w:sz w:val="24"/>
          <w:szCs w:val="24"/>
          <w:vertAlign w:val="superscript"/>
        </w:rPr>
        <w:t>4</w:t>
      </w:r>
      <w:r>
        <w:rPr>
          <w:sz w:val="24"/>
          <w:szCs w:val="24"/>
        </w:rPr>
        <w:t>; Marlison da Conceição Ferreira</w:t>
      </w:r>
      <w:r>
        <w:rPr>
          <w:sz w:val="24"/>
          <w:szCs w:val="24"/>
          <w:vertAlign w:val="superscript"/>
        </w:rPr>
        <w:t>5</w:t>
      </w:r>
      <w:r>
        <w:rPr>
          <w:sz w:val="24"/>
          <w:szCs w:val="24"/>
        </w:rPr>
        <w:t xml:space="preserve">; Celso da Silva Oliveira </w:t>
      </w:r>
      <w:r>
        <w:rPr>
          <w:sz w:val="24"/>
          <w:szCs w:val="24"/>
          <w:vertAlign w:val="superscript"/>
        </w:rPr>
        <w:t>6</w:t>
      </w:r>
      <w:r>
        <w:rPr>
          <w:sz w:val="24"/>
          <w:szCs w:val="24"/>
        </w:rPr>
        <w:t xml:space="preserve">; </w:t>
      </w:r>
      <w:r>
        <w:rPr>
          <w:sz w:val="24"/>
          <w:szCs w:val="24"/>
          <w:u w:val="single"/>
        </w:rPr>
        <w:t>Marcela Cristiane Ferreira Rêgo</w:t>
      </w:r>
      <w:r>
        <w:rPr>
          <w:sz w:val="24"/>
          <w:szCs w:val="24"/>
          <w:vertAlign w:val="superscript"/>
        </w:rPr>
        <w:t>7</w:t>
      </w:r>
      <w:r>
        <w:rPr>
          <w:sz w:val="24"/>
          <w:szCs w:val="24"/>
        </w:rPr>
        <w:t>.</w:t>
      </w:r>
    </w:p>
    <w:p w14:paraId="5212E144" w14:textId="77777777" w:rsidR="002C2E65" w:rsidRDefault="002C2E65">
      <w:pPr>
        <w:shd w:val="clear" w:color="auto" w:fill="FFFFFF"/>
        <w:tabs>
          <w:tab w:val="left" w:pos="2500"/>
        </w:tabs>
        <w:jc w:val="center"/>
        <w:rPr>
          <w:b/>
          <w:bCs/>
          <w:sz w:val="24"/>
          <w:szCs w:val="24"/>
        </w:rPr>
      </w:pPr>
    </w:p>
    <w:p w14:paraId="3958C2D3" w14:textId="77777777" w:rsidR="002C2E65" w:rsidRDefault="00000000">
      <w:pPr>
        <w:keepLines/>
        <w:shd w:val="clear" w:color="auto" w:fill="FFFFFF"/>
        <w:tabs>
          <w:tab w:val="left" w:pos="2500"/>
        </w:tabs>
        <w:jc w:val="center"/>
        <w:rPr>
          <w:sz w:val="24"/>
          <w:szCs w:val="24"/>
        </w:rPr>
      </w:pPr>
      <w:r>
        <w:rPr>
          <w:sz w:val="24"/>
          <w:szCs w:val="24"/>
          <w:vertAlign w:val="superscript"/>
        </w:rPr>
        <w:t xml:space="preserve">1 </w:t>
      </w:r>
      <w:r>
        <w:rPr>
          <w:sz w:val="24"/>
          <w:szCs w:val="24"/>
        </w:rPr>
        <w:t>Graduando em Engenharia Florestal. Universidade do Estado do Pará. E-mail: carvalhohernan54@gmail.com</w:t>
      </w:r>
    </w:p>
    <w:p w14:paraId="41664D95" w14:textId="77438D32" w:rsidR="002C2E65" w:rsidRDefault="00000000">
      <w:pPr>
        <w:keepLines/>
        <w:shd w:val="clear" w:color="auto" w:fill="FFFFFF"/>
        <w:tabs>
          <w:tab w:val="left" w:pos="2500"/>
        </w:tabs>
        <w:jc w:val="center"/>
        <w:rPr>
          <w:sz w:val="24"/>
          <w:szCs w:val="24"/>
        </w:rPr>
      </w:pPr>
      <w:r>
        <w:rPr>
          <w:sz w:val="24"/>
          <w:szCs w:val="24"/>
          <w:vertAlign w:val="superscript"/>
        </w:rPr>
        <w:t>2</w:t>
      </w:r>
      <w:r w:rsidR="000C43D6">
        <w:rPr>
          <w:sz w:val="24"/>
          <w:szCs w:val="24"/>
          <w:vertAlign w:val="superscript"/>
        </w:rPr>
        <w:t xml:space="preserve">, </w:t>
      </w:r>
      <w:r>
        <w:rPr>
          <w:sz w:val="24"/>
          <w:szCs w:val="24"/>
          <w:vertAlign w:val="superscript"/>
        </w:rPr>
        <w:t>3</w:t>
      </w:r>
      <w:r w:rsidR="000C43D6">
        <w:rPr>
          <w:sz w:val="24"/>
          <w:szCs w:val="24"/>
          <w:vertAlign w:val="superscript"/>
        </w:rPr>
        <w:t xml:space="preserve">, </w:t>
      </w:r>
      <w:r>
        <w:rPr>
          <w:sz w:val="24"/>
          <w:szCs w:val="24"/>
          <w:vertAlign w:val="superscript"/>
        </w:rPr>
        <w:t>4</w:t>
      </w:r>
      <w:r w:rsidR="000C43D6">
        <w:rPr>
          <w:sz w:val="24"/>
          <w:szCs w:val="24"/>
          <w:vertAlign w:val="superscript"/>
        </w:rPr>
        <w:t xml:space="preserve">, </w:t>
      </w:r>
      <w:r>
        <w:rPr>
          <w:sz w:val="24"/>
          <w:szCs w:val="24"/>
          <w:vertAlign w:val="superscript"/>
        </w:rPr>
        <w:t>5</w:t>
      </w:r>
      <w:r w:rsidR="000C43D6">
        <w:rPr>
          <w:sz w:val="24"/>
          <w:szCs w:val="24"/>
          <w:vertAlign w:val="superscript"/>
        </w:rPr>
        <w:t xml:space="preserve">, </w:t>
      </w:r>
      <w:r>
        <w:rPr>
          <w:sz w:val="24"/>
          <w:szCs w:val="24"/>
          <w:vertAlign w:val="superscript"/>
        </w:rPr>
        <w:t xml:space="preserve">6 </w:t>
      </w:r>
      <w:r w:rsidR="000C43D6">
        <w:rPr>
          <w:sz w:val="24"/>
          <w:szCs w:val="24"/>
        </w:rPr>
        <w:t>Graduando em Engenharia Florestal. Universidade do Estado do Pará</w:t>
      </w:r>
      <w:r w:rsidR="000C43D6">
        <w:rPr>
          <w:sz w:val="24"/>
          <w:szCs w:val="24"/>
        </w:rPr>
        <w:t>.</w:t>
      </w:r>
    </w:p>
    <w:p w14:paraId="0CBB2B18" w14:textId="77777777" w:rsidR="002C2E65" w:rsidRDefault="00000000">
      <w:pPr>
        <w:keepLines/>
        <w:shd w:val="clear" w:color="auto" w:fill="FFFFFF"/>
        <w:tabs>
          <w:tab w:val="left" w:pos="2500"/>
        </w:tabs>
        <w:jc w:val="center"/>
        <w:rPr>
          <w:sz w:val="24"/>
          <w:szCs w:val="24"/>
        </w:rPr>
      </w:pPr>
      <w:r>
        <w:rPr>
          <w:sz w:val="24"/>
          <w:szCs w:val="24"/>
          <w:vertAlign w:val="superscript"/>
        </w:rPr>
        <w:t xml:space="preserve">7 </w:t>
      </w:r>
      <w:r>
        <w:rPr>
          <w:sz w:val="24"/>
          <w:szCs w:val="24"/>
        </w:rPr>
        <w:t>Doutora em Agronomia. Universidade do Estado do Pará</w:t>
      </w:r>
    </w:p>
    <w:p w14:paraId="0370E2A8" w14:textId="77777777" w:rsidR="002C2E65" w:rsidRDefault="002C2E65">
      <w:pPr>
        <w:keepLines/>
        <w:shd w:val="clear" w:color="auto" w:fill="FFFFFF"/>
        <w:tabs>
          <w:tab w:val="left" w:pos="2500"/>
        </w:tabs>
        <w:jc w:val="center"/>
        <w:rPr>
          <w:sz w:val="24"/>
          <w:szCs w:val="24"/>
        </w:rPr>
      </w:pPr>
    </w:p>
    <w:p w14:paraId="1CB3FD95" w14:textId="77777777" w:rsidR="002C2E65" w:rsidRDefault="002C2E65">
      <w:pPr>
        <w:keepLines/>
        <w:pBdr>
          <w:bottom w:val="none" w:sz="0" w:space="8" w:color="000000"/>
        </w:pBdr>
        <w:shd w:val="clear" w:color="auto" w:fill="FFFFFF"/>
        <w:tabs>
          <w:tab w:val="left" w:pos="2500"/>
        </w:tabs>
        <w:spacing w:line="310" w:lineRule="auto"/>
        <w:jc w:val="center"/>
        <w:rPr>
          <w:sz w:val="24"/>
          <w:szCs w:val="24"/>
        </w:rPr>
      </w:pPr>
    </w:p>
    <w:p w14:paraId="4013F999" w14:textId="77777777" w:rsidR="002C2E65" w:rsidRDefault="00000000">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595B2C76" w14:textId="77777777" w:rsidR="002C2E65" w:rsidRDefault="00000000">
      <w:pPr>
        <w:jc w:val="both"/>
        <w:rPr>
          <w:sz w:val="24"/>
          <w:szCs w:val="24"/>
        </w:rPr>
      </w:pPr>
      <w:r>
        <w:rPr>
          <w:sz w:val="24"/>
          <w:szCs w:val="24"/>
        </w:rPr>
        <w:t>O objetivo do estudo é aferir a disponibilização, manutenção de NPK e correção de pH em solo de consorcio de frutíferas com uso de adubos orgânicos, tendo em vista que os solos da região de estudo são naturalmente ácidos e pobres nutricionalmente. E os insumos testados como adubos são rejeitos do setor produtivo da região de fácil aquisição resultando em um destino alternativo para os residuos e uma fonte de nutrientes para o solo que pode reduzir os custos com abudações na região. Foram utilizados como adubos farinha de osso, esterco bovino e cama de aviário em quatro parcelas e duas adubações em áres de 20 x 20 m, contendo cada uma 20 muricizeiros e 20 açaizeiros, com os adubos combinados com farinha de osso e cama de aviário, farinha de osso e esterco bovino e cama de aviário. A combinação com maior aporte de NPK no solo e pH adequado a manutenção das culturas foi a combinação de esterco bovino e farinha de osso. Conclui-se que individual mesnte os o maior incremento nutricional foi em cama de aviário e a farinha de osso individualmente, no entanto a combinação com maior aporte no solo nutriciona no solo foi com a mistura de esterco bovino e farinha de osso, na Parcela 2, com o aporte crescente observado após segunda adubação.</w:t>
      </w:r>
    </w:p>
    <w:p w14:paraId="19C58875" w14:textId="77777777" w:rsidR="002C2E65" w:rsidRDefault="002C2E65">
      <w:pPr>
        <w:pBdr>
          <w:bottom w:val="none" w:sz="0" w:space="8" w:color="000000"/>
        </w:pBdr>
        <w:shd w:val="clear" w:color="auto" w:fill="FFFFFF"/>
        <w:tabs>
          <w:tab w:val="left" w:pos="2500"/>
        </w:tabs>
        <w:rPr>
          <w:sz w:val="24"/>
          <w:szCs w:val="24"/>
        </w:rPr>
      </w:pPr>
    </w:p>
    <w:p w14:paraId="4A109EF6" w14:textId="6506C046" w:rsidR="002C2E65" w:rsidRPr="000C43D6" w:rsidRDefault="00000000">
      <w:pPr>
        <w:shd w:val="clear" w:color="auto" w:fill="FFFFFF"/>
        <w:tabs>
          <w:tab w:val="left" w:pos="2500"/>
        </w:tabs>
        <w:rPr>
          <w:sz w:val="24"/>
          <w:szCs w:val="24"/>
        </w:rPr>
      </w:pPr>
      <w:r>
        <w:rPr>
          <w:b/>
          <w:bCs/>
          <w:sz w:val="24"/>
          <w:szCs w:val="24"/>
        </w:rPr>
        <w:t xml:space="preserve">Palavras-chave: </w:t>
      </w:r>
      <w:r w:rsidR="000C43D6">
        <w:rPr>
          <w:sz w:val="24"/>
          <w:szCs w:val="24"/>
        </w:rPr>
        <w:t>o</w:t>
      </w:r>
      <w:commentRangeStart w:id="0"/>
      <w:r>
        <w:rPr>
          <w:sz w:val="24"/>
          <w:szCs w:val="24"/>
        </w:rPr>
        <w:t>sso</w:t>
      </w:r>
      <w:r w:rsidR="000C43D6">
        <w:rPr>
          <w:sz w:val="24"/>
          <w:szCs w:val="24"/>
        </w:rPr>
        <w:t>,</w:t>
      </w:r>
      <w:r>
        <w:rPr>
          <w:sz w:val="24"/>
          <w:szCs w:val="24"/>
        </w:rPr>
        <w:t xml:space="preserve"> esterco</w:t>
      </w:r>
      <w:r w:rsidR="000C43D6">
        <w:rPr>
          <w:sz w:val="24"/>
          <w:szCs w:val="24"/>
        </w:rPr>
        <w:t xml:space="preserve">, </w:t>
      </w:r>
      <w:r>
        <w:rPr>
          <w:sz w:val="24"/>
          <w:szCs w:val="24"/>
        </w:rPr>
        <w:t>aviário.</w:t>
      </w:r>
      <w:commentRangeEnd w:id="0"/>
      <w:r>
        <w:commentReference w:id="0"/>
      </w:r>
    </w:p>
    <w:p w14:paraId="7AAF0E84" w14:textId="77777777" w:rsidR="002C2E65" w:rsidRDefault="002C2E65">
      <w:pPr>
        <w:shd w:val="clear" w:color="auto" w:fill="FFFFFF"/>
        <w:tabs>
          <w:tab w:val="left" w:pos="2500"/>
        </w:tabs>
        <w:jc w:val="center"/>
        <w:rPr>
          <w:sz w:val="24"/>
          <w:szCs w:val="24"/>
        </w:rPr>
      </w:pPr>
    </w:p>
    <w:p w14:paraId="28CCE546" w14:textId="77777777" w:rsidR="002C2E65" w:rsidRDefault="00000000">
      <w:pPr>
        <w:shd w:val="clear" w:color="auto" w:fill="FFFFFF"/>
        <w:tabs>
          <w:tab w:val="left" w:pos="2500"/>
        </w:tabs>
        <w:rPr>
          <w:b/>
          <w:bCs/>
          <w:color w:val="0000FF"/>
          <w:sz w:val="24"/>
          <w:szCs w:val="24"/>
          <w:u w:val="single"/>
        </w:rPr>
      </w:pPr>
      <w:r>
        <w:rPr>
          <w:b/>
          <w:bCs/>
          <w:sz w:val="24"/>
          <w:szCs w:val="24"/>
        </w:rPr>
        <w:t>Área de Interesse do Simpósio</w:t>
      </w:r>
      <w:r>
        <w:rPr>
          <w:sz w:val="24"/>
          <w:szCs w:val="24"/>
        </w:rPr>
        <w:t>: Ciências Agrárias</w:t>
      </w:r>
    </w:p>
    <w:p w14:paraId="57848A11" w14:textId="77777777" w:rsidR="002C2E65" w:rsidRDefault="002C2E65">
      <w:pPr>
        <w:pBdr>
          <w:bottom w:val="none" w:sz="0" w:space="8" w:color="000000"/>
        </w:pBdr>
        <w:shd w:val="clear" w:color="auto" w:fill="FFFFFF"/>
        <w:tabs>
          <w:tab w:val="left" w:pos="2500"/>
        </w:tabs>
        <w:rPr>
          <w:b/>
          <w:bCs/>
          <w:sz w:val="24"/>
          <w:szCs w:val="24"/>
        </w:rPr>
      </w:pPr>
    </w:p>
    <w:p w14:paraId="12B18DA3" w14:textId="77777777" w:rsidR="002C2E65" w:rsidRDefault="00000000">
      <w:pPr>
        <w:pBdr>
          <w:bottom w:val="none" w:sz="0" w:space="8" w:color="000000"/>
        </w:pBdr>
        <w:shd w:val="clear" w:color="auto" w:fill="FFFFFF"/>
        <w:tabs>
          <w:tab w:val="left" w:pos="2500"/>
        </w:tabs>
        <w:rPr>
          <w:sz w:val="24"/>
          <w:szCs w:val="24"/>
        </w:rPr>
      </w:pPr>
      <w:r>
        <w:br w:type="page"/>
      </w:r>
    </w:p>
    <w:p w14:paraId="4093696D" w14:textId="77777777" w:rsidR="002C2E65" w:rsidRDefault="00000000">
      <w:pPr>
        <w:pBdr>
          <w:bottom w:val="none" w:sz="0" w:space="18" w:color="000000"/>
        </w:pBdr>
        <w:shd w:val="clear" w:color="auto" w:fill="FFFFFF"/>
        <w:tabs>
          <w:tab w:val="left" w:pos="2500"/>
        </w:tabs>
        <w:spacing w:line="360" w:lineRule="auto"/>
        <w:jc w:val="both"/>
        <w:rPr>
          <w:color w:val="FF0000"/>
          <w:sz w:val="24"/>
          <w:szCs w:val="24"/>
        </w:rPr>
      </w:pPr>
      <w:r>
        <w:rPr>
          <w:b/>
          <w:bCs/>
          <w:sz w:val="24"/>
          <w:szCs w:val="24"/>
        </w:rPr>
        <w:lastRenderedPageBreak/>
        <w:t>1. INTRODUÇÃO</w:t>
      </w:r>
    </w:p>
    <w:p w14:paraId="724051D0" w14:textId="539B98AE" w:rsidR="002C2E65" w:rsidRDefault="00000000">
      <w:pPr>
        <w:spacing w:line="360" w:lineRule="auto"/>
        <w:ind w:firstLine="708"/>
        <w:jc w:val="both"/>
        <w:rPr>
          <w:sz w:val="24"/>
          <w:szCs w:val="24"/>
        </w:rPr>
      </w:pPr>
      <w:r>
        <w:rPr>
          <w:sz w:val="24"/>
          <w:szCs w:val="24"/>
        </w:rPr>
        <w:t xml:space="preserve">Alterações no uso do solo, como desmatamento ou renovação de pastagens para executar cultivos agrícolas, torna o solo mais susceptível à erosão com aumento nas perdas do carbono orgânico do solo devido à maior mineralização e ao arraste do material por lixiviação, fazendo com que as perdas do carbono cheguem de 30% a 40% em relação ao solo sob floresta </w:t>
      </w:r>
      <w:commentRangeStart w:id="1"/>
      <w:r>
        <w:rPr>
          <w:sz w:val="24"/>
          <w:szCs w:val="24"/>
        </w:rPr>
        <w:t>(S</w:t>
      </w:r>
      <w:r w:rsidR="000C43D6">
        <w:rPr>
          <w:sz w:val="24"/>
          <w:szCs w:val="24"/>
        </w:rPr>
        <w:t>ouza</w:t>
      </w:r>
      <w:r>
        <w:rPr>
          <w:sz w:val="24"/>
          <w:szCs w:val="24"/>
        </w:rPr>
        <w:t xml:space="preserve"> et al., 2021). </w:t>
      </w:r>
      <w:commentRangeEnd w:id="1"/>
      <w:r>
        <w:commentReference w:id="1"/>
      </w:r>
      <w:r>
        <w:rPr>
          <w:sz w:val="24"/>
          <w:szCs w:val="24"/>
        </w:rPr>
        <w:t xml:space="preserve">Deste modo, sistemas de plantios como agroflorestais são modelos de cultivos que auxiliam na qualidade física, química e da microbiota do solo, e na capacidade para atingir o potencial genético de crescimento e produtividade das espécies vegetais. </w:t>
      </w:r>
    </w:p>
    <w:p w14:paraId="288F82E3" w14:textId="2C060814" w:rsidR="002C2E65" w:rsidRDefault="00000000">
      <w:pPr>
        <w:spacing w:line="360" w:lineRule="auto"/>
        <w:ind w:firstLine="708"/>
        <w:jc w:val="both"/>
        <w:rPr>
          <w:sz w:val="24"/>
          <w:szCs w:val="24"/>
        </w:rPr>
      </w:pPr>
      <w:r>
        <w:rPr>
          <w:sz w:val="24"/>
          <w:szCs w:val="24"/>
        </w:rPr>
        <w:t>Os sistemas agroflorestais (SAF) são compostos por combinações de sistemas produtivos e práticas de produção agrícola que contribuem para a estabilidade dos serviços ecossistêmicos auxiliando na regulação hídrica e a disponibilidade de água no solo, auxiliado pelo incremento de carbono orgânico total (COT) do solo, e o dossel das plantas amortece os efeitos danosos dos ventos, precipitações de água e radiação solar direta no solo (R</w:t>
      </w:r>
      <w:r w:rsidR="000C43D6">
        <w:rPr>
          <w:sz w:val="24"/>
          <w:szCs w:val="24"/>
        </w:rPr>
        <w:t>ibeiro</w:t>
      </w:r>
      <w:r>
        <w:rPr>
          <w:sz w:val="24"/>
          <w:szCs w:val="24"/>
        </w:rPr>
        <w:t xml:space="preserve"> et al., 2017), ao mesmo tempo, o manejo da poda do sistema floresta favorece o aumento da serrapilheira e estimular a presença da microfauna e macrofauna.</w:t>
      </w:r>
    </w:p>
    <w:p w14:paraId="249D0EB7" w14:textId="114AD675" w:rsidR="002C2E65" w:rsidRDefault="00000000">
      <w:pPr>
        <w:spacing w:line="360" w:lineRule="auto"/>
        <w:ind w:firstLine="708"/>
        <w:jc w:val="both"/>
        <w:rPr>
          <w:sz w:val="24"/>
          <w:szCs w:val="24"/>
        </w:rPr>
      </w:pPr>
      <w:r>
        <w:rPr>
          <w:sz w:val="24"/>
          <w:szCs w:val="24"/>
        </w:rPr>
        <w:t>A matéria orgânica ao passa por processo de compostagem definida pela Norma ABNT NBR 13591/1996 no qual o material é submetido ao processo de decomposição biológica dos resíduos orgânicos em condições aeróbias (ABNT, 1996). Originando um composto com elevadas concentrações de nitrogênio, fósforo e potássio, e micronutrientes (</w:t>
      </w:r>
      <w:commentRangeStart w:id="2"/>
      <w:r>
        <w:rPr>
          <w:sz w:val="24"/>
          <w:szCs w:val="24"/>
        </w:rPr>
        <w:t>R</w:t>
      </w:r>
      <w:r w:rsidR="000C43D6">
        <w:rPr>
          <w:sz w:val="24"/>
          <w:szCs w:val="24"/>
        </w:rPr>
        <w:t>upani</w:t>
      </w:r>
      <w:r>
        <w:rPr>
          <w:sz w:val="24"/>
          <w:szCs w:val="24"/>
        </w:rPr>
        <w:t xml:space="preserve"> et al., 2018). </w:t>
      </w:r>
      <w:commentRangeEnd w:id="2"/>
      <w:r>
        <w:commentReference w:id="2"/>
      </w:r>
      <w:r>
        <w:rPr>
          <w:sz w:val="24"/>
          <w:szCs w:val="24"/>
        </w:rPr>
        <w:t>Se torna potencial adubo orgânico pela sua riqueza de nutrientes. No entanto, em alguns casos estes nutrientes não ficam disponível no solo por longo período, se fazendo necessário a pesquisa para confirmação de manutenção da fertilidade do solo ao longo dos meses após adubação com diferentes fertilizantes orgânicos.</w:t>
      </w:r>
    </w:p>
    <w:p w14:paraId="384A4A90" w14:textId="77777777" w:rsidR="002C2E65" w:rsidRDefault="00000000">
      <w:pPr>
        <w:spacing w:line="360" w:lineRule="auto"/>
        <w:ind w:firstLine="708"/>
        <w:jc w:val="both"/>
        <w:rPr>
          <w:sz w:val="24"/>
          <w:szCs w:val="24"/>
        </w:rPr>
      </w:pPr>
      <w:r>
        <w:rPr>
          <w:sz w:val="24"/>
          <w:szCs w:val="24"/>
        </w:rPr>
        <w:t xml:space="preserve">Os ganhos no sistema produtivo são evidenciados por práticas de manejo que auxiliam no aumento da fertilidade do solo, por incremento de materia organica incorporada que podem influenciar nas suas características físicas e biológicas, assim como manejos das culturas em consorciação. O objetivo desse estudo é aferir a manutenção da disponibilização de NPK e correção de pH em área de consorcio de frutíferas. </w:t>
      </w:r>
    </w:p>
    <w:p w14:paraId="151B461D" w14:textId="77777777" w:rsidR="002C2E65" w:rsidRDefault="00000000">
      <w:pPr>
        <w:pBdr>
          <w:bottom w:val="none" w:sz="0" w:space="18" w:color="000000"/>
        </w:pBdr>
        <w:shd w:val="clear" w:color="auto" w:fill="FFFFFF"/>
        <w:tabs>
          <w:tab w:val="left" w:pos="2500"/>
        </w:tabs>
        <w:spacing w:line="310" w:lineRule="auto"/>
        <w:jc w:val="both"/>
        <w:rPr>
          <w:b/>
          <w:bCs/>
          <w:sz w:val="24"/>
          <w:szCs w:val="24"/>
        </w:rPr>
      </w:pPr>
      <w:r>
        <w:rPr>
          <w:b/>
          <w:bCs/>
          <w:sz w:val="24"/>
          <w:szCs w:val="24"/>
        </w:rPr>
        <w:t>2. MATERIAL E MÉTODOS</w:t>
      </w:r>
    </w:p>
    <w:p w14:paraId="525D8B2B" w14:textId="77777777" w:rsidR="002C2E65" w:rsidRDefault="00000000">
      <w:pPr>
        <w:pBdr>
          <w:bottom w:val="none" w:sz="0" w:space="18" w:color="000000"/>
        </w:pBdr>
        <w:shd w:val="clear" w:color="auto" w:fill="FFFFFF"/>
        <w:tabs>
          <w:tab w:val="left" w:pos="2500"/>
        </w:tabs>
        <w:spacing w:line="310" w:lineRule="auto"/>
        <w:jc w:val="both"/>
        <w:rPr>
          <w:sz w:val="24"/>
          <w:szCs w:val="24"/>
        </w:rPr>
      </w:pPr>
      <w:r>
        <w:rPr>
          <w:sz w:val="24"/>
          <w:szCs w:val="24"/>
        </w:rPr>
        <w:lastRenderedPageBreak/>
        <w:t>2.1 LOCALIZAÇÃO DA ÁREA EXPERIMENTAL</w:t>
      </w:r>
    </w:p>
    <w:p w14:paraId="69B0D925"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O município de Senador José Porfírio, localizado no estado do Pará, pertencente à mesorregião do Sudeste Paraense e microrregião de Altamira. localizada as margens do rio Xingu é uma cidade que possui exclave municipal, com terras descontinuas perfazendo dois territórios. Polo I (Souzel) e polo II. A área escolhida para implantação do Projeto está localizada no Polo I, na chácara Presente de Mãe, localizada as margens do Rio Croatá, sendo esse um afluente do rio Xingu. O local de estudo está a cinco quilometro da cidade, com as seguintes coordenadas 2°37'48.76"S e 51°56'12.45"O e altitude de 7 m ao nível do mar.</w:t>
      </w:r>
    </w:p>
    <w:p w14:paraId="40874931"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O clima da região é característico por ser equatorial, quente e úmido com temperaturas que podem variar de mínima de 24ºC e máxima de 37ºC, tendo um período se estação seca, com poucas chuvas e temperaturas elevados entre os meses de junho a novembro e entre os meses de dezembro a maio o período ocorrem chuvas intensas.</w:t>
      </w:r>
    </w:p>
    <w:p w14:paraId="210FB418"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A área do plantio onde se desenvolveu o estudo quantitativo de NPK e pH do solo, contém um consorcio de frutíferas com a combinação de açaizeiro (</w:t>
      </w:r>
      <w:r>
        <w:rPr>
          <w:i/>
          <w:iCs/>
          <w:sz w:val="24"/>
          <w:szCs w:val="24"/>
        </w:rPr>
        <w:t>Euterpe oleracea</w:t>
      </w:r>
      <w:r>
        <w:rPr>
          <w:sz w:val="24"/>
          <w:szCs w:val="24"/>
        </w:rPr>
        <w:t xml:space="preserve"> Mart. L) e muricizeiro [</w:t>
      </w:r>
      <w:r>
        <w:rPr>
          <w:i/>
          <w:iCs/>
          <w:sz w:val="24"/>
          <w:szCs w:val="24"/>
        </w:rPr>
        <w:t>Byrsonima crassifolia</w:t>
      </w:r>
      <w:r>
        <w:rPr>
          <w:sz w:val="24"/>
          <w:szCs w:val="24"/>
        </w:rPr>
        <w:t xml:space="preserve"> (L.) Rich.], onde foram divididos em quatro parcelas de 20 x 20 m. Cada parcela recebeu adição de matéria orgânica previamente preparada com finalidade de incrementar a nutrição mineral do solo e equilibrar o potencial hidrogeniônico (pH).</w:t>
      </w:r>
    </w:p>
    <w:p w14:paraId="727CC7A5"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O solo foi previamente analizado pelo método da EMBRAPA (2011), no laboratório Solo-Plantas em Paragominas, Pará. O solo foi coletado na área adjacente com 50 m do consorcio onde não houve preparo do solo ou adubação, a vegetação é do tipo gramíneas com plantas em ocorrência bem adensadas e foi caracterizdo na profundidade de 0 -20 cm, como um Argissolo, com argila do tipo 1:1, com pH (H</w:t>
      </w:r>
      <w:r>
        <w:rPr>
          <w:sz w:val="24"/>
          <w:szCs w:val="24"/>
          <w:vertAlign w:val="subscript"/>
        </w:rPr>
        <w:t>2</w:t>
      </w:r>
      <w:r>
        <w:rPr>
          <w:sz w:val="24"/>
          <w:szCs w:val="24"/>
        </w:rPr>
        <w:t>O) 4,5; P 2.7 e K 25.3 kg/ mg de solo.</w:t>
      </w:r>
    </w:p>
    <w:p w14:paraId="3803F75C" w14:textId="77777777" w:rsidR="002C2E65" w:rsidRDefault="00000000">
      <w:pPr>
        <w:pBdr>
          <w:bottom w:val="none" w:sz="0" w:space="18" w:color="000000"/>
        </w:pBdr>
        <w:shd w:val="clear" w:color="auto" w:fill="FFFFFF"/>
        <w:tabs>
          <w:tab w:val="left" w:pos="2500"/>
        </w:tabs>
        <w:spacing w:line="360" w:lineRule="auto"/>
        <w:jc w:val="both"/>
        <w:rPr>
          <w:sz w:val="24"/>
          <w:szCs w:val="24"/>
        </w:rPr>
      </w:pPr>
      <w:r>
        <w:rPr>
          <w:sz w:val="24"/>
          <w:szCs w:val="24"/>
        </w:rPr>
        <w:t>2.2 SUBSTRATOS UTILIZADOS</w:t>
      </w:r>
    </w:p>
    <w:p w14:paraId="0B3545FD"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Foi utilizado matéria orgânica de propriedades locais do Polo I, o osso bovino carbonizado oriundo de abatedouros e carbonizado no próprio abatedouro que foi peneirado antes do uso, esterco bovino e cama de aviário das propriedades próximas da área experimental ambos curtidos segundo a ABNT NBR 13591/1996.</w:t>
      </w:r>
    </w:p>
    <w:p w14:paraId="15CAABEB" w14:textId="77777777" w:rsidR="002C2E65" w:rsidRDefault="00000000">
      <w:pPr>
        <w:pBdr>
          <w:bottom w:val="none" w:sz="0" w:space="18" w:color="000000"/>
        </w:pBdr>
        <w:shd w:val="clear" w:color="auto" w:fill="FFFFFF"/>
        <w:tabs>
          <w:tab w:val="left" w:pos="2500"/>
        </w:tabs>
        <w:spacing w:line="360" w:lineRule="auto"/>
        <w:jc w:val="both"/>
        <w:rPr>
          <w:sz w:val="24"/>
          <w:szCs w:val="24"/>
        </w:rPr>
      </w:pPr>
      <w:r>
        <w:rPr>
          <w:sz w:val="24"/>
          <w:szCs w:val="24"/>
        </w:rPr>
        <w:t>2.3 A ADUBAÇÃO DAS PARCELAS</w:t>
      </w:r>
    </w:p>
    <w:p w14:paraId="1B3201E8"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 xml:space="preserve">A adubação foi realizada em outubro de 2024 e junho de 2025, com a primeira avaliação </w:t>
      </w:r>
      <w:r>
        <w:rPr>
          <w:sz w:val="24"/>
          <w:szCs w:val="24"/>
        </w:rPr>
        <w:lastRenderedPageBreak/>
        <w:t>do solo realizado em Janeiro 2025 e a segunda avaliação em Julho de 2025. As aplicações foram de duas formas em cava  no entorno das plantas com até 15 cm de profundidade e na projeção da copa das plantas e a lanço feito manualmente sobre o solo.</w:t>
      </w:r>
    </w:p>
    <w:p w14:paraId="687FE936" w14:textId="77777777" w:rsidR="002C2E65" w:rsidRDefault="00000000">
      <w:pPr>
        <w:pBdr>
          <w:top w:val="nil"/>
          <w:left w:val="nil"/>
          <w:bottom w:val="nil"/>
          <w:right w:val="nil"/>
          <w:between w:val="nil"/>
        </w:pBdr>
        <w:spacing w:after="200"/>
        <w:jc w:val="both"/>
        <w:rPr>
          <w:color w:val="1F497D"/>
          <w:sz w:val="24"/>
          <w:szCs w:val="24"/>
        </w:rPr>
      </w:pPr>
      <w:r>
        <w:rPr>
          <w:color w:val="000000"/>
          <w:sz w:val="24"/>
          <w:szCs w:val="24"/>
        </w:rPr>
        <w:t>Quadro .1.-. Componentes dos adubos orgânicos utilizados nas quatro parcelas em duas adubações, com seus respectivos.</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
        <w:gridCol w:w="897"/>
        <w:gridCol w:w="3402"/>
        <w:gridCol w:w="1134"/>
        <w:gridCol w:w="1134"/>
        <w:gridCol w:w="1417"/>
      </w:tblGrid>
      <w:tr w:rsidR="002C2E65" w14:paraId="5DCBE753" w14:textId="77777777">
        <w:tc>
          <w:tcPr>
            <w:tcW w:w="1088" w:type="dxa"/>
          </w:tcPr>
          <w:p w14:paraId="0E22A4D9" w14:textId="77777777" w:rsidR="002C2E65" w:rsidRDefault="00000000">
            <w:pPr>
              <w:jc w:val="both"/>
              <w:rPr>
                <w:b/>
                <w:bCs/>
                <w:sz w:val="20"/>
                <w:szCs w:val="20"/>
              </w:rPr>
            </w:pPr>
            <w:r>
              <w:rPr>
                <w:b/>
                <w:bCs/>
                <w:sz w:val="20"/>
                <w:szCs w:val="20"/>
              </w:rPr>
              <w:t>Adubação</w:t>
            </w:r>
          </w:p>
        </w:tc>
        <w:tc>
          <w:tcPr>
            <w:tcW w:w="897" w:type="dxa"/>
          </w:tcPr>
          <w:p w14:paraId="621ABF58" w14:textId="77777777" w:rsidR="002C2E65" w:rsidRDefault="00000000">
            <w:pPr>
              <w:jc w:val="both"/>
              <w:rPr>
                <w:b/>
                <w:bCs/>
                <w:sz w:val="20"/>
                <w:szCs w:val="20"/>
              </w:rPr>
            </w:pPr>
            <w:r>
              <w:rPr>
                <w:b/>
                <w:bCs/>
                <w:sz w:val="20"/>
                <w:szCs w:val="20"/>
              </w:rPr>
              <w:t>Parcela</w:t>
            </w:r>
          </w:p>
        </w:tc>
        <w:tc>
          <w:tcPr>
            <w:tcW w:w="3402" w:type="dxa"/>
          </w:tcPr>
          <w:p w14:paraId="372B7ABF" w14:textId="77777777" w:rsidR="002C2E65" w:rsidRDefault="00000000">
            <w:pPr>
              <w:jc w:val="both"/>
              <w:rPr>
                <w:b/>
                <w:bCs/>
                <w:sz w:val="20"/>
                <w:szCs w:val="20"/>
              </w:rPr>
            </w:pPr>
            <w:r>
              <w:rPr>
                <w:b/>
                <w:bCs/>
                <w:sz w:val="20"/>
                <w:szCs w:val="20"/>
              </w:rPr>
              <w:t>Mistura</w:t>
            </w:r>
          </w:p>
        </w:tc>
        <w:tc>
          <w:tcPr>
            <w:tcW w:w="1134" w:type="dxa"/>
          </w:tcPr>
          <w:p w14:paraId="1A10BAD2" w14:textId="77777777" w:rsidR="002C2E65" w:rsidRDefault="00000000">
            <w:pPr>
              <w:jc w:val="both"/>
              <w:rPr>
                <w:b/>
                <w:bCs/>
                <w:sz w:val="20"/>
                <w:szCs w:val="20"/>
              </w:rPr>
            </w:pPr>
            <w:r>
              <w:rPr>
                <w:b/>
                <w:bCs/>
                <w:sz w:val="20"/>
                <w:szCs w:val="20"/>
              </w:rPr>
              <w:t>Proporção</w:t>
            </w:r>
          </w:p>
        </w:tc>
        <w:tc>
          <w:tcPr>
            <w:tcW w:w="1134" w:type="dxa"/>
          </w:tcPr>
          <w:p w14:paraId="0EDBBE11" w14:textId="77777777" w:rsidR="002C2E65" w:rsidRDefault="00000000">
            <w:pPr>
              <w:jc w:val="both"/>
              <w:rPr>
                <w:b/>
                <w:bCs/>
                <w:sz w:val="20"/>
                <w:szCs w:val="20"/>
              </w:rPr>
            </w:pPr>
            <w:r>
              <w:rPr>
                <w:b/>
                <w:bCs/>
                <w:sz w:val="20"/>
                <w:szCs w:val="20"/>
              </w:rPr>
              <w:t>Volume</w:t>
            </w:r>
          </w:p>
        </w:tc>
        <w:tc>
          <w:tcPr>
            <w:tcW w:w="1417" w:type="dxa"/>
          </w:tcPr>
          <w:p w14:paraId="1F17595C" w14:textId="77777777" w:rsidR="002C2E65" w:rsidRDefault="00000000">
            <w:pPr>
              <w:jc w:val="both"/>
              <w:rPr>
                <w:b/>
                <w:bCs/>
                <w:sz w:val="20"/>
                <w:szCs w:val="20"/>
              </w:rPr>
            </w:pPr>
            <w:r>
              <w:rPr>
                <w:b/>
                <w:bCs/>
                <w:sz w:val="20"/>
                <w:szCs w:val="20"/>
              </w:rPr>
              <w:t>Método de aplicação</w:t>
            </w:r>
          </w:p>
        </w:tc>
      </w:tr>
      <w:tr w:rsidR="002C2E65" w14:paraId="1C9266A7" w14:textId="77777777">
        <w:tc>
          <w:tcPr>
            <w:tcW w:w="1088" w:type="dxa"/>
          </w:tcPr>
          <w:p w14:paraId="7276513D" w14:textId="77777777" w:rsidR="002C2E65" w:rsidRDefault="00000000">
            <w:pPr>
              <w:jc w:val="center"/>
              <w:rPr>
                <w:sz w:val="20"/>
                <w:szCs w:val="20"/>
              </w:rPr>
            </w:pPr>
            <w:r>
              <w:rPr>
                <w:sz w:val="20"/>
                <w:szCs w:val="20"/>
              </w:rPr>
              <w:t>1ª</w:t>
            </w:r>
          </w:p>
        </w:tc>
        <w:tc>
          <w:tcPr>
            <w:tcW w:w="897" w:type="dxa"/>
          </w:tcPr>
          <w:p w14:paraId="40177531" w14:textId="77777777" w:rsidR="002C2E65" w:rsidRDefault="00000000">
            <w:pPr>
              <w:jc w:val="center"/>
              <w:rPr>
                <w:sz w:val="20"/>
                <w:szCs w:val="20"/>
              </w:rPr>
            </w:pPr>
            <w:r>
              <w:rPr>
                <w:sz w:val="20"/>
                <w:szCs w:val="20"/>
              </w:rPr>
              <w:t>01</w:t>
            </w:r>
          </w:p>
        </w:tc>
        <w:tc>
          <w:tcPr>
            <w:tcW w:w="3402" w:type="dxa"/>
          </w:tcPr>
          <w:p w14:paraId="5EF79F28" w14:textId="77777777" w:rsidR="002C2E65" w:rsidRDefault="00000000">
            <w:pPr>
              <w:jc w:val="both"/>
              <w:rPr>
                <w:b/>
                <w:bCs/>
                <w:sz w:val="20"/>
                <w:szCs w:val="20"/>
              </w:rPr>
            </w:pPr>
            <w:r>
              <w:rPr>
                <w:sz w:val="20"/>
                <w:szCs w:val="20"/>
              </w:rPr>
              <w:t>Esterco bovino e farinha de osso</w:t>
            </w:r>
          </w:p>
        </w:tc>
        <w:tc>
          <w:tcPr>
            <w:tcW w:w="1134" w:type="dxa"/>
          </w:tcPr>
          <w:p w14:paraId="5CA1B0E0" w14:textId="77777777" w:rsidR="002C2E65" w:rsidRDefault="00000000">
            <w:pPr>
              <w:jc w:val="center"/>
              <w:rPr>
                <w:sz w:val="20"/>
                <w:szCs w:val="20"/>
              </w:rPr>
            </w:pPr>
            <w:r>
              <w:rPr>
                <w:sz w:val="20"/>
                <w:szCs w:val="20"/>
              </w:rPr>
              <w:t>1:2</w:t>
            </w:r>
          </w:p>
        </w:tc>
        <w:tc>
          <w:tcPr>
            <w:tcW w:w="1134" w:type="dxa"/>
          </w:tcPr>
          <w:p w14:paraId="420B5811" w14:textId="77777777" w:rsidR="002C2E65" w:rsidRDefault="00000000">
            <w:pPr>
              <w:jc w:val="both"/>
              <w:rPr>
                <w:b/>
                <w:bCs/>
                <w:sz w:val="20"/>
                <w:szCs w:val="20"/>
              </w:rPr>
            </w:pPr>
            <w:r>
              <w:rPr>
                <w:sz w:val="20"/>
                <w:szCs w:val="20"/>
              </w:rPr>
              <w:t>300 kg</w:t>
            </w:r>
          </w:p>
        </w:tc>
        <w:tc>
          <w:tcPr>
            <w:tcW w:w="1417" w:type="dxa"/>
          </w:tcPr>
          <w:p w14:paraId="483E6415" w14:textId="77777777" w:rsidR="002C2E65" w:rsidRDefault="00000000">
            <w:pPr>
              <w:jc w:val="center"/>
              <w:rPr>
                <w:sz w:val="20"/>
                <w:szCs w:val="20"/>
              </w:rPr>
            </w:pPr>
            <w:r>
              <w:rPr>
                <w:sz w:val="20"/>
                <w:szCs w:val="20"/>
              </w:rPr>
              <w:t>Em cova</w:t>
            </w:r>
          </w:p>
        </w:tc>
      </w:tr>
      <w:tr w:rsidR="002C2E65" w14:paraId="4BA66474" w14:textId="77777777">
        <w:tc>
          <w:tcPr>
            <w:tcW w:w="1088" w:type="dxa"/>
          </w:tcPr>
          <w:p w14:paraId="3778D329" w14:textId="77777777" w:rsidR="002C2E65" w:rsidRDefault="00000000">
            <w:pPr>
              <w:jc w:val="center"/>
              <w:rPr>
                <w:sz w:val="20"/>
                <w:szCs w:val="20"/>
              </w:rPr>
            </w:pPr>
            <w:r>
              <w:rPr>
                <w:sz w:val="20"/>
                <w:szCs w:val="20"/>
              </w:rPr>
              <w:t>1ª</w:t>
            </w:r>
          </w:p>
        </w:tc>
        <w:tc>
          <w:tcPr>
            <w:tcW w:w="897" w:type="dxa"/>
          </w:tcPr>
          <w:p w14:paraId="3149921B" w14:textId="77777777" w:rsidR="002C2E65" w:rsidRDefault="00000000">
            <w:pPr>
              <w:jc w:val="center"/>
              <w:rPr>
                <w:sz w:val="20"/>
                <w:szCs w:val="20"/>
              </w:rPr>
            </w:pPr>
            <w:r>
              <w:rPr>
                <w:sz w:val="20"/>
                <w:szCs w:val="20"/>
              </w:rPr>
              <w:t>02</w:t>
            </w:r>
          </w:p>
        </w:tc>
        <w:tc>
          <w:tcPr>
            <w:tcW w:w="3402" w:type="dxa"/>
          </w:tcPr>
          <w:p w14:paraId="6E76D0D9" w14:textId="77777777" w:rsidR="002C2E65" w:rsidRDefault="00000000">
            <w:pPr>
              <w:jc w:val="both"/>
              <w:rPr>
                <w:b/>
                <w:bCs/>
                <w:sz w:val="20"/>
                <w:szCs w:val="20"/>
              </w:rPr>
            </w:pPr>
            <w:r>
              <w:rPr>
                <w:sz w:val="20"/>
                <w:szCs w:val="20"/>
              </w:rPr>
              <w:t>Esterco bovino e farinha de osso</w:t>
            </w:r>
          </w:p>
        </w:tc>
        <w:tc>
          <w:tcPr>
            <w:tcW w:w="1134" w:type="dxa"/>
          </w:tcPr>
          <w:p w14:paraId="5F371A21" w14:textId="77777777" w:rsidR="002C2E65" w:rsidRDefault="00000000">
            <w:pPr>
              <w:jc w:val="center"/>
              <w:rPr>
                <w:sz w:val="20"/>
                <w:szCs w:val="20"/>
              </w:rPr>
            </w:pPr>
            <w:r>
              <w:rPr>
                <w:sz w:val="20"/>
                <w:szCs w:val="20"/>
              </w:rPr>
              <w:t>1:2</w:t>
            </w:r>
          </w:p>
        </w:tc>
        <w:tc>
          <w:tcPr>
            <w:tcW w:w="1134" w:type="dxa"/>
          </w:tcPr>
          <w:p w14:paraId="5FF24338" w14:textId="77777777" w:rsidR="002C2E65" w:rsidRDefault="00000000">
            <w:pPr>
              <w:jc w:val="both"/>
              <w:rPr>
                <w:b/>
                <w:bCs/>
                <w:sz w:val="20"/>
                <w:szCs w:val="20"/>
              </w:rPr>
            </w:pPr>
            <w:r>
              <w:rPr>
                <w:sz w:val="20"/>
                <w:szCs w:val="20"/>
              </w:rPr>
              <w:t>300 kg</w:t>
            </w:r>
          </w:p>
        </w:tc>
        <w:tc>
          <w:tcPr>
            <w:tcW w:w="1417" w:type="dxa"/>
          </w:tcPr>
          <w:p w14:paraId="6C09B660" w14:textId="77777777" w:rsidR="002C2E65" w:rsidRDefault="00000000">
            <w:pPr>
              <w:jc w:val="center"/>
              <w:rPr>
                <w:sz w:val="20"/>
                <w:szCs w:val="20"/>
              </w:rPr>
            </w:pPr>
            <w:r>
              <w:rPr>
                <w:sz w:val="20"/>
                <w:szCs w:val="20"/>
              </w:rPr>
              <w:t>A lanço</w:t>
            </w:r>
          </w:p>
        </w:tc>
      </w:tr>
      <w:tr w:rsidR="002C2E65" w14:paraId="281EA794" w14:textId="77777777">
        <w:tc>
          <w:tcPr>
            <w:tcW w:w="1088" w:type="dxa"/>
          </w:tcPr>
          <w:p w14:paraId="49689F6A" w14:textId="77777777" w:rsidR="002C2E65" w:rsidRDefault="00000000">
            <w:pPr>
              <w:jc w:val="center"/>
              <w:rPr>
                <w:sz w:val="20"/>
                <w:szCs w:val="20"/>
              </w:rPr>
            </w:pPr>
            <w:r>
              <w:rPr>
                <w:sz w:val="20"/>
                <w:szCs w:val="20"/>
              </w:rPr>
              <w:t>1ª</w:t>
            </w:r>
          </w:p>
        </w:tc>
        <w:tc>
          <w:tcPr>
            <w:tcW w:w="897" w:type="dxa"/>
          </w:tcPr>
          <w:p w14:paraId="4DB88737" w14:textId="77777777" w:rsidR="002C2E65" w:rsidRDefault="00000000">
            <w:pPr>
              <w:jc w:val="center"/>
              <w:rPr>
                <w:sz w:val="20"/>
                <w:szCs w:val="20"/>
              </w:rPr>
            </w:pPr>
            <w:r>
              <w:rPr>
                <w:sz w:val="20"/>
                <w:szCs w:val="20"/>
              </w:rPr>
              <w:t>03</w:t>
            </w:r>
          </w:p>
        </w:tc>
        <w:tc>
          <w:tcPr>
            <w:tcW w:w="3402" w:type="dxa"/>
          </w:tcPr>
          <w:p w14:paraId="3B281D6D" w14:textId="77777777" w:rsidR="002C2E65" w:rsidRDefault="00000000">
            <w:pPr>
              <w:jc w:val="both"/>
              <w:rPr>
                <w:b/>
                <w:bCs/>
                <w:sz w:val="20"/>
                <w:szCs w:val="20"/>
              </w:rPr>
            </w:pPr>
            <w:r>
              <w:rPr>
                <w:sz w:val="20"/>
                <w:szCs w:val="20"/>
              </w:rPr>
              <w:t>Sem adubação</w:t>
            </w:r>
          </w:p>
        </w:tc>
        <w:tc>
          <w:tcPr>
            <w:tcW w:w="1134" w:type="dxa"/>
          </w:tcPr>
          <w:p w14:paraId="0CFDAD47" w14:textId="77777777" w:rsidR="002C2E65" w:rsidRDefault="00000000">
            <w:pPr>
              <w:jc w:val="center"/>
              <w:rPr>
                <w:b/>
                <w:bCs/>
                <w:sz w:val="20"/>
                <w:szCs w:val="20"/>
              </w:rPr>
            </w:pPr>
            <w:r>
              <w:rPr>
                <w:b/>
                <w:bCs/>
                <w:sz w:val="20"/>
                <w:szCs w:val="20"/>
              </w:rPr>
              <w:t>-</w:t>
            </w:r>
          </w:p>
        </w:tc>
        <w:tc>
          <w:tcPr>
            <w:tcW w:w="1134" w:type="dxa"/>
          </w:tcPr>
          <w:p w14:paraId="7AED25A0" w14:textId="77777777" w:rsidR="002C2E65" w:rsidRDefault="00000000">
            <w:pPr>
              <w:jc w:val="both"/>
              <w:rPr>
                <w:b/>
                <w:bCs/>
                <w:sz w:val="20"/>
                <w:szCs w:val="20"/>
              </w:rPr>
            </w:pPr>
            <w:r>
              <w:rPr>
                <w:sz w:val="20"/>
                <w:szCs w:val="20"/>
              </w:rPr>
              <w:t>-</w:t>
            </w:r>
          </w:p>
        </w:tc>
        <w:tc>
          <w:tcPr>
            <w:tcW w:w="1417" w:type="dxa"/>
          </w:tcPr>
          <w:p w14:paraId="76C96B19" w14:textId="77777777" w:rsidR="002C2E65" w:rsidRDefault="00000000">
            <w:pPr>
              <w:jc w:val="center"/>
              <w:rPr>
                <w:sz w:val="20"/>
                <w:szCs w:val="20"/>
              </w:rPr>
            </w:pPr>
            <w:r>
              <w:rPr>
                <w:sz w:val="20"/>
                <w:szCs w:val="20"/>
              </w:rPr>
              <w:t>-</w:t>
            </w:r>
          </w:p>
        </w:tc>
      </w:tr>
      <w:tr w:rsidR="002C2E65" w14:paraId="43783303" w14:textId="77777777">
        <w:tc>
          <w:tcPr>
            <w:tcW w:w="1088" w:type="dxa"/>
          </w:tcPr>
          <w:p w14:paraId="3B0F983B" w14:textId="77777777" w:rsidR="002C2E65" w:rsidRDefault="00000000">
            <w:pPr>
              <w:jc w:val="center"/>
              <w:rPr>
                <w:sz w:val="20"/>
                <w:szCs w:val="20"/>
              </w:rPr>
            </w:pPr>
            <w:r>
              <w:rPr>
                <w:sz w:val="20"/>
                <w:szCs w:val="20"/>
              </w:rPr>
              <w:t>1ª</w:t>
            </w:r>
          </w:p>
        </w:tc>
        <w:tc>
          <w:tcPr>
            <w:tcW w:w="897" w:type="dxa"/>
          </w:tcPr>
          <w:p w14:paraId="604FE380" w14:textId="77777777" w:rsidR="002C2E65" w:rsidRDefault="00000000">
            <w:pPr>
              <w:jc w:val="center"/>
              <w:rPr>
                <w:sz w:val="20"/>
                <w:szCs w:val="20"/>
              </w:rPr>
            </w:pPr>
            <w:r>
              <w:rPr>
                <w:sz w:val="20"/>
                <w:szCs w:val="20"/>
              </w:rPr>
              <w:t>04</w:t>
            </w:r>
          </w:p>
        </w:tc>
        <w:tc>
          <w:tcPr>
            <w:tcW w:w="3402" w:type="dxa"/>
          </w:tcPr>
          <w:p w14:paraId="73D79E0F" w14:textId="77777777" w:rsidR="002C2E65" w:rsidRDefault="00000000">
            <w:pPr>
              <w:jc w:val="both"/>
              <w:rPr>
                <w:b/>
                <w:bCs/>
                <w:sz w:val="20"/>
                <w:szCs w:val="20"/>
              </w:rPr>
            </w:pPr>
            <w:r>
              <w:rPr>
                <w:sz w:val="20"/>
                <w:szCs w:val="20"/>
              </w:rPr>
              <w:t>Cama de aviário e farinha de osso</w:t>
            </w:r>
          </w:p>
        </w:tc>
        <w:tc>
          <w:tcPr>
            <w:tcW w:w="1134" w:type="dxa"/>
          </w:tcPr>
          <w:p w14:paraId="31D78941" w14:textId="77777777" w:rsidR="002C2E65" w:rsidRDefault="00000000">
            <w:pPr>
              <w:jc w:val="center"/>
              <w:rPr>
                <w:sz w:val="20"/>
                <w:szCs w:val="20"/>
              </w:rPr>
            </w:pPr>
            <w:r>
              <w:rPr>
                <w:sz w:val="20"/>
                <w:szCs w:val="20"/>
              </w:rPr>
              <w:t>1:2</w:t>
            </w:r>
          </w:p>
        </w:tc>
        <w:tc>
          <w:tcPr>
            <w:tcW w:w="1134" w:type="dxa"/>
          </w:tcPr>
          <w:p w14:paraId="34B95A5B" w14:textId="77777777" w:rsidR="002C2E65" w:rsidRDefault="00000000">
            <w:pPr>
              <w:jc w:val="both"/>
              <w:rPr>
                <w:b/>
                <w:bCs/>
                <w:sz w:val="20"/>
                <w:szCs w:val="20"/>
              </w:rPr>
            </w:pPr>
            <w:r>
              <w:rPr>
                <w:sz w:val="20"/>
                <w:szCs w:val="20"/>
              </w:rPr>
              <w:t>100 kg</w:t>
            </w:r>
          </w:p>
        </w:tc>
        <w:tc>
          <w:tcPr>
            <w:tcW w:w="1417" w:type="dxa"/>
          </w:tcPr>
          <w:p w14:paraId="45CC236F" w14:textId="77777777" w:rsidR="002C2E65" w:rsidRDefault="00000000">
            <w:pPr>
              <w:jc w:val="center"/>
              <w:rPr>
                <w:sz w:val="20"/>
                <w:szCs w:val="20"/>
              </w:rPr>
            </w:pPr>
            <w:r>
              <w:rPr>
                <w:sz w:val="20"/>
                <w:szCs w:val="20"/>
              </w:rPr>
              <w:t>A lanço</w:t>
            </w:r>
          </w:p>
        </w:tc>
      </w:tr>
      <w:tr w:rsidR="002C2E65" w14:paraId="3A1AB33F" w14:textId="77777777">
        <w:tc>
          <w:tcPr>
            <w:tcW w:w="1088" w:type="dxa"/>
          </w:tcPr>
          <w:p w14:paraId="7549E42F" w14:textId="77777777" w:rsidR="002C2E65" w:rsidRDefault="00000000">
            <w:pPr>
              <w:jc w:val="center"/>
              <w:rPr>
                <w:sz w:val="20"/>
                <w:szCs w:val="20"/>
              </w:rPr>
            </w:pPr>
            <w:r>
              <w:rPr>
                <w:sz w:val="20"/>
                <w:szCs w:val="20"/>
              </w:rPr>
              <w:t>2ª</w:t>
            </w:r>
          </w:p>
        </w:tc>
        <w:tc>
          <w:tcPr>
            <w:tcW w:w="897" w:type="dxa"/>
          </w:tcPr>
          <w:p w14:paraId="2EC3E712" w14:textId="77777777" w:rsidR="002C2E65" w:rsidRDefault="00000000">
            <w:pPr>
              <w:jc w:val="center"/>
              <w:rPr>
                <w:sz w:val="20"/>
                <w:szCs w:val="20"/>
              </w:rPr>
            </w:pPr>
            <w:r>
              <w:rPr>
                <w:sz w:val="20"/>
                <w:szCs w:val="20"/>
              </w:rPr>
              <w:t>01</w:t>
            </w:r>
          </w:p>
        </w:tc>
        <w:tc>
          <w:tcPr>
            <w:tcW w:w="3402" w:type="dxa"/>
          </w:tcPr>
          <w:p w14:paraId="2C846B17" w14:textId="77777777" w:rsidR="002C2E65" w:rsidRDefault="00000000">
            <w:pPr>
              <w:jc w:val="both"/>
              <w:rPr>
                <w:sz w:val="20"/>
                <w:szCs w:val="20"/>
              </w:rPr>
            </w:pPr>
            <w:r>
              <w:rPr>
                <w:sz w:val="20"/>
                <w:szCs w:val="20"/>
              </w:rPr>
              <w:t>Esterco bovino e farinha de osso</w:t>
            </w:r>
          </w:p>
        </w:tc>
        <w:tc>
          <w:tcPr>
            <w:tcW w:w="1134" w:type="dxa"/>
          </w:tcPr>
          <w:p w14:paraId="6F0D2B1E" w14:textId="77777777" w:rsidR="002C2E65" w:rsidRDefault="00000000">
            <w:pPr>
              <w:jc w:val="center"/>
              <w:rPr>
                <w:sz w:val="20"/>
                <w:szCs w:val="20"/>
              </w:rPr>
            </w:pPr>
            <w:r>
              <w:rPr>
                <w:sz w:val="20"/>
                <w:szCs w:val="20"/>
              </w:rPr>
              <w:t>1:2</w:t>
            </w:r>
          </w:p>
        </w:tc>
        <w:tc>
          <w:tcPr>
            <w:tcW w:w="1134" w:type="dxa"/>
          </w:tcPr>
          <w:p w14:paraId="673C0EF7" w14:textId="77777777" w:rsidR="002C2E65" w:rsidRDefault="00000000">
            <w:pPr>
              <w:jc w:val="both"/>
              <w:rPr>
                <w:b/>
                <w:bCs/>
                <w:sz w:val="20"/>
                <w:szCs w:val="20"/>
              </w:rPr>
            </w:pPr>
            <w:r>
              <w:rPr>
                <w:sz w:val="20"/>
                <w:szCs w:val="20"/>
              </w:rPr>
              <w:t>100 kg</w:t>
            </w:r>
          </w:p>
        </w:tc>
        <w:tc>
          <w:tcPr>
            <w:tcW w:w="1417" w:type="dxa"/>
          </w:tcPr>
          <w:p w14:paraId="0616F752" w14:textId="77777777" w:rsidR="002C2E65" w:rsidRDefault="00000000">
            <w:pPr>
              <w:jc w:val="center"/>
              <w:rPr>
                <w:sz w:val="20"/>
                <w:szCs w:val="20"/>
              </w:rPr>
            </w:pPr>
            <w:r>
              <w:rPr>
                <w:sz w:val="20"/>
                <w:szCs w:val="20"/>
              </w:rPr>
              <w:t>A lanço</w:t>
            </w:r>
          </w:p>
        </w:tc>
      </w:tr>
      <w:tr w:rsidR="002C2E65" w14:paraId="3DE40523" w14:textId="77777777">
        <w:tc>
          <w:tcPr>
            <w:tcW w:w="1088" w:type="dxa"/>
          </w:tcPr>
          <w:p w14:paraId="2D5B430B" w14:textId="77777777" w:rsidR="002C2E65" w:rsidRDefault="00000000">
            <w:pPr>
              <w:jc w:val="center"/>
              <w:rPr>
                <w:sz w:val="20"/>
                <w:szCs w:val="20"/>
              </w:rPr>
            </w:pPr>
            <w:r>
              <w:rPr>
                <w:sz w:val="20"/>
                <w:szCs w:val="20"/>
              </w:rPr>
              <w:t>2ª</w:t>
            </w:r>
          </w:p>
        </w:tc>
        <w:tc>
          <w:tcPr>
            <w:tcW w:w="897" w:type="dxa"/>
          </w:tcPr>
          <w:p w14:paraId="2127B798" w14:textId="77777777" w:rsidR="002C2E65" w:rsidRDefault="00000000">
            <w:pPr>
              <w:jc w:val="center"/>
              <w:rPr>
                <w:sz w:val="20"/>
                <w:szCs w:val="20"/>
              </w:rPr>
            </w:pPr>
            <w:r>
              <w:rPr>
                <w:sz w:val="20"/>
                <w:szCs w:val="20"/>
              </w:rPr>
              <w:t>02</w:t>
            </w:r>
          </w:p>
        </w:tc>
        <w:tc>
          <w:tcPr>
            <w:tcW w:w="3402" w:type="dxa"/>
          </w:tcPr>
          <w:p w14:paraId="0BBAF759" w14:textId="77777777" w:rsidR="002C2E65" w:rsidRDefault="00000000">
            <w:pPr>
              <w:jc w:val="both"/>
              <w:rPr>
                <w:sz w:val="20"/>
                <w:szCs w:val="20"/>
              </w:rPr>
            </w:pPr>
            <w:r>
              <w:rPr>
                <w:sz w:val="20"/>
                <w:szCs w:val="20"/>
              </w:rPr>
              <w:t xml:space="preserve">Esterco de bovino e farinha de osso </w:t>
            </w:r>
          </w:p>
        </w:tc>
        <w:tc>
          <w:tcPr>
            <w:tcW w:w="1134" w:type="dxa"/>
          </w:tcPr>
          <w:p w14:paraId="1EAFBC7E" w14:textId="77777777" w:rsidR="002C2E65" w:rsidRDefault="00000000">
            <w:pPr>
              <w:jc w:val="center"/>
              <w:rPr>
                <w:sz w:val="20"/>
                <w:szCs w:val="20"/>
              </w:rPr>
            </w:pPr>
            <w:r>
              <w:rPr>
                <w:sz w:val="20"/>
                <w:szCs w:val="20"/>
              </w:rPr>
              <w:t>1:2</w:t>
            </w:r>
          </w:p>
        </w:tc>
        <w:tc>
          <w:tcPr>
            <w:tcW w:w="1134" w:type="dxa"/>
          </w:tcPr>
          <w:p w14:paraId="56DEF93A" w14:textId="77777777" w:rsidR="002C2E65" w:rsidRDefault="00000000">
            <w:pPr>
              <w:jc w:val="both"/>
              <w:rPr>
                <w:b/>
                <w:bCs/>
                <w:sz w:val="20"/>
                <w:szCs w:val="20"/>
              </w:rPr>
            </w:pPr>
            <w:r>
              <w:rPr>
                <w:sz w:val="20"/>
                <w:szCs w:val="20"/>
              </w:rPr>
              <w:t>100 kg</w:t>
            </w:r>
          </w:p>
        </w:tc>
        <w:tc>
          <w:tcPr>
            <w:tcW w:w="1417" w:type="dxa"/>
          </w:tcPr>
          <w:p w14:paraId="430BFC8A" w14:textId="77777777" w:rsidR="002C2E65" w:rsidRDefault="00000000">
            <w:pPr>
              <w:jc w:val="center"/>
              <w:rPr>
                <w:sz w:val="20"/>
                <w:szCs w:val="20"/>
              </w:rPr>
            </w:pPr>
            <w:r>
              <w:rPr>
                <w:sz w:val="20"/>
                <w:szCs w:val="20"/>
              </w:rPr>
              <w:t>Em covas</w:t>
            </w:r>
          </w:p>
        </w:tc>
      </w:tr>
      <w:tr w:rsidR="002C2E65" w14:paraId="25D0C06E" w14:textId="77777777">
        <w:tc>
          <w:tcPr>
            <w:tcW w:w="1088" w:type="dxa"/>
          </w:tcPr>
          <w:p w14:paraId="6FA5E2BC" w14:textId="77777777" w:rsidR="002C2E65" w:rsidRDefault="00000000">
            <w:pPr>
              <w:jc w:val="center"/>
              <w:rPr>
                <w:sz w:val="20"/>
                <w:szCs w:val="20"/>
              </w:rPr>
            </w:pPr>
            <w:r>
              <w:rPr>
                <w:sz w:val="20"/>
                <w:szCs w:val="20"/>
              </w:rPr>
              <w:t>2ª</w:t>
            </w:r>
          </w:p>
        </w:tc>
        <w:tc>
          <w:tcPr>
            <w:tcW w:w="897" w:type="dxa"/>
          </w:tcPr>
          <w:p w14:paraId="49F82A07" w14:textId="77777777" w:rsidR="002C2E65" w:rsidRDefault="00000000">
            <w:pPr>
              <w:jc w:val="center"/>
              <w:rPr>
                <w:sz w:val="20"/>
                <w:szCs w:val="20"/>
              </w:rPr>
            </w:pPr>
            <w:r>
              <w:rPr>
                <w:sz w:val="20"/>
                <w:szCs w:val="20"/>
              </w:rPr>
              <w:t>03</w:t>
            </w:r>
          </w:p>
        </w:tc>
        <w:tc>
          <w:tcPr>
            <w:tcW w:w="3402" w:type="dxa"/>
          </w:tcPr>
          <w:p w14:paraId="50711F64" w14:textId="77777777" w:rsidR="002C2E65" w:rsidRDefault="00000000">
            <w:pPr>
              <w:jc w:val="both"/>
              <w:rPr>
                <w:sz w:val="20"/>
                <w:szCs w:val="20"/>
              </w:rPr>
            </w:pPr>
            <w:r>
              <w:rPr>
                <w:sz w:val="20"/>
                <w:szCs w:val="20"/>
              </w:rPr>
              <w:t>Cama de aviário</w:t>
            </w:r>
          </w:p>
        </w:tc>
        <w:tc>
          <w:tcPr>
            <w:tcW w:w="1134" w:type="dxa"/>
          </w:tcPr>
          <w:p w14:paraId="1ECE18CB" w14:textId="77777777" w:rsidR="002C2E65" w:rsidRDefault="00000000">
            <w:pPr>
              <w:jc w:val="center"/>
              <w:rPr>
                <w:sz w:val="20"/>
                <w:szCs w:val="20"/>
              </w:rPr>
            </w:pPr>
            <w:r>
              <w:rPr>
                <w:sz w:val="20"/>
                <w:szCs w:val="20"/>
              </w:rPr>
              <w:t>1</w:t>
            </w:r>
          </w:p>
        </w:tc>
        <w:tc>
          <w:tcPr>
            <w:tcW w:w="1134" w:type="dxa"/>
          </w:tcPr>
          <w:p w14:paraId="6399F8F0" w14:textId="77777777" w:rsidR="002C2E65" w:rsidRDefault="00000000">
            <w:pPr>
              <w:jc w:val="both"/>
              <w:rPr>
                <w:b/>
                <w:bCs/>
                <w:sz w:val="20"/>
                <w:szCs w:val="20"/>
              </w:rPr>
            </w:pPr>
            <w:r>
              <w:rPr>
                <w:sz w:val="20"/>
                <w:szCs w:val="20"/>
              </w:rPr>
              <w:t>100 kg</w:t>
            </w:r>
          </w:p>
        </w:tc>
        <w:tc>
          <w:tcPr>
            <w:tcW w:w="1417" w:type="dxa"/>
          </w:tcPr>
          <w:p w14:paraId="24EFFD2F" w14:textId="77777777" w:rsidR="002C2E65" w:rsidRDefault="00000000">
            <w:pPr>
              <w:jc w:val="center"/>
              <w:rPr>
                <w:sz w:val="20"/>
                <w:szCs w:val="20"/>
              </w:rPr>
            </w:pPr>
            <w:r>
              <w:rPr>
                <w:sz w:val="20"/>
                <w:szCs w:val="20"/>
              </w:rPr>
              <w:t>Em cova</w:t>
            </w:r>
          </w:p>
        </w:tc>
      </w:tr>
      <w:tr w:rsidR="002C2E65" w14:paraId="0B9C7130" w14:textId="77777777">
        <w:tc>
          <w:tcPr>
            <w:tcW w:w="1088" w:type="dxa"/>
          </w:tcPr>
          <w:p w14:paraId="5472F2F5" w14:textId="77777777" w:rsidR="002C2E65" w:rsidRDefault="00000000">
            <w:pPr>
              <w:jc w:val="center"/>
              <w:rPr>
                <w:sz w:val="20"/>
                <w:szCs w:val="20"/>
              </w:rPr>
            </w:pPr>
            <w:r>
              <w:rPr>
                <w:sz w:val="20"/>
                <w:szCs w:val="20"/>
              </w:rPr>
              <w:t>2ª</w:t>
            </w:r>
          </w:p>
        </w:tc>
        <w:tc>
          <w:tcPr>
            <w:tcW w:w="897" w:type="dxa"/>
          </w:tcPr>
          <w:p w14:paraId="58DF8748" w14:textId="77777777" w:rsidR="002C2E65" w:rsidRDefault="00000000">
            <w:pPr>
              <w:jc w:val="center"/>
              <w:rPr>
                <w:sz w:val="20"/>
                <w:szCs w:val="20"/>
              </w:rPr>
            </w:pPr>
            <w:r>
              <w:rPr>
                <w:sz w:val="20"/>
                <w:szCs w:val="20"/>
              </w:rPr>
              <w:t>04</w:t>
            </w:r>
          </w:p>
        </w:tc>
        <w:tc>
          <w:tcPr>
            <w:tcW w:w="3402" w:type="dxa"/>
          </w:tcPr>
          <w:p w14:paraId="1255ACAD" w14:textId="77777777" w:rsidR="002C2E65" w:rsidRDefault="00000000">
            <w:pPr>
              <w:jc w:val="both"/>
              <w:rPr>
                <w:sz w:val="20"/>
                <w:szCs w:val="20"/>
              </w:rPr>
            </w:pPr>
            <w:r>
              <w:rPr>
                <w:sz w:val="20"/>
                <w:szCs w:val="20"/>
              </w:rPr>
              <w:t>Sem adubação</w:t>
            </w:r>
          </w:p>
        </w:tc>
        <w:tc>
          <w:tcPr>
            <w:tcW w:w="1134" w:type="dxa"/>
          </w:tcPr>
          <w:p w14:paraId="7BCE2250" w14:textId="77777777" w:rsidR="002C2E65" w:rsidRDefault="00000000">
            <w:pPr>
              <w:jc w:val="center"/>
              <w:rPr>
                <w:b/>
                <w:bCs/>
                <w:sz w:val="20"/>
                <w:szCs w:val="20"/>
              </w:rPr>
            </w:pPr>
            <w:r>
              <w:rPr>
                <w:b/>
                <w:bCs/>
                <w:sz w:val="20"/>
                <w:szCs w:val="20"/>
              </w:rPr>
              <w:t>-</w:t>
            </w:r>
          </w:p>
        </w:tc>
        <w:tc>
          <w:tcPr>
            <w:tcW w:w="1134" w:type="dxa"/>
          </w:tcPr>
          <w:p w14:paraId="2E07637B" w14:textId="77777777" w:rsidR="002C2E65" w:rsidRDefault="00000000">
            <w:pPr>
              <w:jc w:val="both"/>
              <w:rPr>
                <w:b/>
                <w:bCs/>
                <w:sz w:val="20"/>
                <w:szCs w:val="20"/>
              </w:rPr>
            </w:pPr>
            <w:r>
              <w:rPr>
                <w:b/>
                <w:bCs/>
                <w:sz w:val="20"/>
                <w:szCs w:val="20"/>
              </w:rPr>
              <w:t>-</w:t>
            </w:r>
          </w:p>
        </w:tc>
        <w:tc>
          <w:tcPr>
            <w:tcW w:w="1417" w:type="dxa"/>
          </w:tcPr>
          <w:p w14:paraId="6C802871" w14:textId="77777777" w:rsidR="002C2E65" w:rsidRDefault="00000000">
            <w:pPr>
              <w:jc w:val="center"/>
              <w:rPr>
                <w:b/>
                <w:bCs/>
                <w:sz w:val="20"/>
                <w:szCs w:val="20"/>
              </w:rPr>
            </w:pPr>
            <w:r>
              <w:rPr>
                <w:b/>
                <w:bCs/>
                <w:sz w:val="20"/>
                <w:szCs w:val="20"/>
              </w:rPr>
              <w:t>-</w:t>
            </w:r>
          </w:p>
        </w:tc>
      </w:tr>
    </w:tbl>
    <w:p w14:paraId="0BAEF4EA" w14:textId="77777777" w:rsidR="002C2E65" w:rsidRDefault="00000000">
      <w:r>
        <w:t>Fonte: Autores, 2025.</w:t>
      </w:r>
    </w:p>
    <w:p w14:paraId="51F66A81" w14:textId="77777777" w:rsidR="002C2E65" w:rsidRDefault="002C2E65">
      <w:pPr>
        <w:pBdr>
          <w:bottom w:val="none" w:sz="0" w:space="18" w:color="000000"/>
        </w:pBdr>
        <w:shd w:val="clear" w:color="auto" w:fill="FFFFFF"/>
        <w:tabs>
          <w:tab w:val="left" w:pos="2500"/>
        </w:tabs>
        <w:jc w:val="both"/>
        <w:rPr>
          <w:sz w:val="24"/>
          <w:szCs w:val="24"/>
        </w:rPr>
      </w:pPr>
    </w:p>
    <w:p w14:paraId="7560CB39" w14:textId="77777777" w:rsidR="002C2E65" w:rsidRDefault="00000000">
      <w:pPr>
        <w:pBdr>
          <w:bottom w:val="none" w:sz="0" w:space="18" w:color="000000"/>
        </w:pBdr>
        <w:shd w:val="clear" w:color="auto" w:fill="FFFFFF"/>
        <w:tabs>
          <w:tab w:val="left" w:pos="2500"/>
        </w:tabs>
        <w:spacing w:line="360" w:lineRule="auto"/>
        <w:jc w:val="both"/>
        <w:rPr>
          <w:sz w:val="24"/>
          <w:szCs w:val="24"/>
        </w:rPr>
      </w:pPr>
      <w:r>
        <w:rPr>
          <w:sz w:val="24"/>
          <w:szCs w:val="24"/>
        </w:rPr>
        <w:t>2. 4 AVALIAÇÃO DO SOLO</w:t>
      </w:r>
    </w:p>
    <w:p w14:paraId="1D614D49"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t>A avaliação foi feita no solo na projeção da copas em 10 pontos em cada parcela, para quantificar nitrogênio, fósforo e potassio e aferir o pH do solo. A adubação foi feita em outubro (antes do período chuvoso) e a avaliação em janeiro (período chuvoso).</w:t>
      </w:r>
    </w:p>
    <w:p w14:paraId="38DE9B7F" w14:textId="77777777" w:rsidR="002C2E65" w:rsidRDefault="00000000">
      <w:pPr>
        <w:pBdr>
          <w:bottom w:val="none" w:sz="0" w:space="18" w:color="000000"/>
        </w:pBdr>
        <w:shd w:val="clear" w:color="auto" w:fill="FFFFFF"/>
        <w:tabs>
          <w:tab w:val="left" w:pos="2500"/>
        </w:tabs>
        <w:spacing w:line="360" w:lineRule="auto"/>
        <w:jc w:val="both"/>
        <w:rPr>
          <w:b/>
          <w:bCs/>
          <w:sz w:val="24"/>
          <w:szCs w:val="24"/>
        </w:rPr>
      </w:pPr>
      <w:r>
        <w:rPr>
          <w:b/>
          <w:bCs/>
          <w:sz w:val="24"/>
          <w:szCs w:val="24"/>
        </w:rPr>
        <w:t>2.4.1</w:t>
      </w:r>
      <w:r>
        <w:rPr>
          <w:sz w:val="24"/>
          <w:szCs w:val="24"/>
        </w:rPr>
        <w:t xml:space="preserve"> </w:t>
      </w:r>
      <w:r>
        <w:rPr>
          <w:b/>
          <w:bCs/>
          <w:sz w:val="24"/>
          <w:szCs w:val="24"/>
        </w:rPr>
        <w:t>Potencial hidrogeniônico (pH) do solo</w:t>
      </w:r>
    </w:p>
    <w:p w14:paraId="4F0036E5" w14:textId="77777777" w:rsidR="002C2E65" w:rsidRDefault="00000000">
      <w:pPr>
        <w:pBdr>
          <w:bottom w:val="none" w:sz="0" w:space="18" w:color="000000"/>
        </w:pBdr>
        <w:shd w:val="clear" w:color="auto" w:fill="FFFFFF"/>
        <w:tabs>
          <w:tab w:val="left" w:pos="2500"/>
        </w:tabs>
        <w:spacing w:line="360" w:lineRule="auto"/>
        <w:ind w:firstLine="709"/>
        <w:jc w:val="both"/>
        <w:rPr>
          <w:b/>
          <w:bCs/>
          <w:sz w:val="24"/>
          <w:szCs w:val="24"/>
        </w:rPr>
      </w:pPr>
      <w:r>
        <w:rPr>
          <w:sz w:val="24"/>
          <w:szCs w:val="24"/>
        </w:rPr>
        <w:t>Foi utilizado um medidor digital de potencial hidrogeniônico (pH) da marca Express1. Para obtenção dos dados o sensor foi inserido inclinado a 45° e se aguardou estabilização por 30 segundos e realizada leitura direta no LCD Digital. A uma profundidade de 0 – 10 cm em solo umido.</w:t>
      </w:r>
    </w:p>
    <w:p w14:paraId="5646CE46" w14:textId="77777777" w:rsidR="002C2E65" w:rsidRDefault="00000000">
      <w:pPr>
        <w:pBdr>
          <w:bottom w:val="none" w:sz="0" w:space="18" w:color="000000"/>
        </w:pBdr>
        <w:shd w:val="clear" w:color="auto" w:fill="FFFFFF"/>
        <w:tabs>
          <w:tab w:val="left" w:pos="2500"/>
        </w:tabs>
        <w:spacing w:line="360" w:lineRule="auto"/>
        <w:jc w:val="both"/>
        <w:rPr>
          <w:b/>
          <w:bCs/>
          <w:sz w:val="24"/>
          <w:szCs w:val="24"/>
        </w:rPr>
      </w:pPr>
      <w:r>
        <w:rPr>
          <w:b/>
          <w:bCs/>
          <w:sz w:val="24"/>
          <w:szCs w:val="24"/>
        </w:rPr>
        <w:t>2.4.2 Conteúdo de nitrogênio (N), fosforo (P), potássio (K) do solo</w:t>
      </w:r>
    </w:p>
    <w:p w14:paraId="75644086" w14:textId="77777777" w:rsidR="002C2E65" w:rsidRDefault="00000000">
      <w:pPr>
        <w:pBdr>
          <w:bottom w:val="none" w:sz="0" w:space="18" w:color="000000"/>
        </w:pBdr>
        <w:shd w:val="clear" w:color="auto" w:fill="FFFFFF"/>
        <w:tabs>
          <w:tab w:val="left" w:pos="2500"/>
        </w:tabs>
        <w:spacing w:line="360" w:lineRule="auto"/>
        <w:ind w:firstLine="709"/>
        <w:jc w:val="both"/>
        <w:rPr>
          <w:b/>
          <w:bCs/>
          <w:sz w:val="24"/>
          <w:szCs w:val="24"/>
        </w:rPr>
      </w:pPr>
      <w:r>
        <w:rPr>
          <w:sz w:val="24"/>
          <w:szCs w:val="24"/>
        </w:rPr>
        <w:t>A avaliação do solo foi realizada por um testador do solo para quantificação de NPK, marca Yieryi e modelo YG-09, com sensor de 170mm e medidor na faixa de 0 - 1999 mg/kg, com agulha dupla, para detecção de fertilidade do solo dentro do intervalo de nitrogênio (60 - 100 mg/Kg) fósforo (100 - 150 mg/Kg), e potássio (100 - 150 mg/Kg). Para obtenção dos dados o sensor foi inserido inclinado a 45° e se aguardou estabilização por 30 segundos e realizada leitura direta no Dual-Pin LCD Digital. A uma profundidade de 0 – 10 cm em solo umido.</w:t>
      </w:r>
    </w:p>
    <w:p w14:paraId="220C4081" w14:textId="77777777" w:rsidR="002C2E65" w:rsidRDefault="00000000">
      <w:pPr>
        <w:pBdr>
          <w:bottom w:val="none" w:sz="0" w:space="18" w:color="000000"/>
        </w:pBdr>
        <w:shd w:val="clear" w:color="auto" w:fill="FFFFFF"/>
        <w:tabs>
          <w:tab w:val="left" w:pos="2500"/>
        </w:tabs>
        <w:spacing w:line="360" w:lineRule="auto"/>
        <w:jc w:val="both"/>
        <w:rPr>
          <w:b/>
          <w:bCs/>
          <w:sz w:val="24"/>
          <w:szCs w:val="24"/>
        </w:rPr>
      </w:pPr>
      <w:r>
        <w:rPr>
          <w:b/>
          <w:bCs/>
          <w:sz w:val="24"/>
          <w:szCs w:val="24"/>
        </w:rPr>
        <w:t xml:space="preserve">2.4.3 Análise dos dados </w:t>
      </w:r>
    </w:p>
    <w:p w14:paraId="4B135706" w14:textId="77777777" w:rsidR="002C2E65" w:rsidRDefault="00000000">
      <w:pPr>
        <w:pBdr>
          <w:bottom w:val="none" w:sz="0" w:space="18" w:color="000000"/>
        </w:pBdr>
        <w:shd w:val="clear" w:color="auto" w:fill="FFFFFF"/>
        <w:tabs>
          <w:tab w:val="left" w:pos="2500"/>
        </w:tabs>
        <w:spacing w:line="360" w:lineRule="auto"/>
        <w:ind w:firstLine="709"/>
        <w:jc w:val="both"/>
        <w:rPr>
          <w:sz w:val="24"/>
          <w:szCs w:val="24"/>
        </w:rPr>
      </w:pPr>
      <w:r>
        <w:rPr>
          <w:sz w:val="24"/>
          <w:szCs w:val="24"/>
        </w:rPr>
        <w:lastRenderedPageBreak/>
        <w:t>As comparações entre os métodos serão realizadas por análise de variância (ANOVA) e testes post hoc e variância (</w:t>
      </w:r>
      <w:r>
        <w:rPr>
          <w:i/>
          <w:iCs/>
          <w:sz w:val="24"/>
          <w:szCs w:val="24"/>
        </w:rPr>
        <w:t>p ≤ 0,05</w:t>
      </w:r>
      <w:r>
        <w:rPr>
          <w:sz w:val="24"/>
          <w:szCs w:val="24"/>
        </w:rPr>
        <w:t>) e erro padrão (</w:t>
      </w:r>
      <w:r>
        <w:rPr>
          <w:i/>
          <w:iCs/>
          <w:sz w:val="24"/>
          <w:szCs w:val="24"/>
        </w:rPr>
        <w:t>p ≤ 0,05</w:t>
      </w:r>
      <w:r>
        <w:rPr>
          <w:sz w:val="24"/>
          <w:szCs w:val="24"/>
        </w:rPr>
        <w:t>).</w:t>
      </w:r>
    </w:p>
    <w:p w14:paraId="3FFE69EE" w14:textId="77777777" w:rsidR="002C2E65" w:rsidRDefault="00000000">
      <w:pPr>
        <w:pBdr>
          <w:bottom w:val="none" w:sz="0" w:space="8" w:color="000000"/>
        </w:pBdr>
        <w:shd w:val="clear" w:color="auto" w:fill="FFFFFF"/>
        <w:tabs>
          <w:tab w:val="left" w:pos="2500"/>
        </w:tabs>
        <w:spacing w:line="360" w:lineRule="auto"/>
        <w:jc w:val="both"/>
        <w:rPr>
          <w:b/>
          <w:bCs/>
          <w:sz w:val="24"/>
          <w:szCs w:val="24"/>
        </w:rPr>
      </w:pPr>
      <w:r>
        <w:rPr>
          <w:b/>
          <w:bCs/>
          <w:sz w:val="24"/>
          <w:szCs w:val="24"/>
        </w:rPr>
        <w:t xml:space="preserve">3. RESULTADOS E DISCUSSÃO </w:t>
      </w:r>
    </w:p>
    <w:p w14:paraId="1E32A6C1" w14:textId="77777777" w:rsidR="002C2E65" w:rsidRDefault="00000000">
      <w:pPr>
        <w:pBdr>
          <w:bottom w:val="none" w:sz="0" w:space="8" w:color="000000"/>
        </w:pBdr>
        <w:shd w:val="clear" w:color="auto" w:fill="FFFFFF"/>
        <w:tabs>
          <w:tab w:val="left" w:pos="2500"/>
        </w:tabs>
        <w:spacing w:line="360" w:lineRule="auto"/>
        <w:ind w:firstLine="709"/>
        <w:jc w:val="both"/>
        <w:rPr>
          <w:sz w:val="24"/>
          <w:szCs w:val="24"/>
        </w:rPr>
      </w:pPr>
      <w:r>
        <w:rPr>
          <w:sz w:val="24"/>
          <w:szCs w:val="24"/>
        </w:rPr>
        <w:t>Nos substratos utilizados como adubos as maiores concentrações de NPK ocoreram na farinha de osso no entanto o pH neste substrato variou de 5.9 a 5.3 estes valores estão fora da faixa considerada adequada ao cultivo agrícola, pois os valores mais baixos podem ser muito ácido para algumas culturas. No entanto, a cama de aviário com o segundo maior acumulo de NPK quando comparado aos demais tratamentos e com o pH obtido foi neutro, com valor 7 sem variância entre as amostras, podendo ser usado como possivel fertilizante sem efeitos acidificante no solo.  No esterco bovino os teores de NPK foram inferiores aos demais tratamentos, no entanto o pH está na faixa adequado para o uso da agricultura Tabela 1. Considerando as difentes composições de NPK e pH dos três substratos, pode se considerar que algumas misturas e proporções destes possa funcionar como adubo eficiente em consosrcio de frutíferas como de açaizeiro e muricizeiro.</w:t>
      </w:r>
    </w:p>
    <w:p w14:paraId="1834050B"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O uso de esterco bovino como fertilizante de plantas é amplamente difundido em pequenas propriedades rurais, contribuindo para a matéria orgânica do solo e aumentando nas propriedades físicas, químicas e biológicas do solo e fornecimento de macronutrientes e micronutrientes (MELO et al., 2023). </w:t>
      </w:r>
    </w:p>
    <w:p w14:paraId="1EB2430D"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A farinha de ossos bovido possue minerais em sua composição (P, K e Ca) que são solubilizados gradualmente, podendo aumentar seu efeito residual no solo ao longo de meses ou anos (JATANA et al. 2020). Este fertilizante pode apresentar desempenho superior ao superfosfato simples na fertilidade de plantas devido a sua lenta liberação de nutrientes no solo, se forem associados a agente inertes como hidrogeis sua ação como fertilizante pode ser mais duradoura (SILVA et al. 2018) o que poderia reduzir a perda de nutrientes por lixiviação (Farrell et al. 2013). </w:t>
      </w:r>
    </w:p>
    <w:p w14:paraId="37C30B36"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Enquanto em fertilizantes oriundos de cama de aviário curtido se tem uma elevada disponibilidade e liberação de N, com até 50% de sua matéria orgânica de compostos </w:t>
      </w:r>
      <w:r>
        <w:rPr>
          <w:sz w:val="24"/>
          <w:szCs w:val="24"/>
        </w:rPr>
        <w:lastRenderedPageBreak/>
        <w:t>mineralizáveis, devido sua composição (proteínas, celulose e hemicelulose microrganismos agirem na ciclagem dos nutrientes). E o pH apresenta valores básico (7.8 e 9.1) de acordo com a instrução normativa N 25/2009 do MAPA onde para fertilizantes orgânicos classe A se deva ter o pH de no mínimo de 6.0 (CHEFETZ et al;1998; MOURA, 2018).</w:t>
      </w:r>
    </w:p>
    <w:p w14:paraId="5091E704" w14:textId="77777777" w:rsidR="002C2E65" w:rsidRDefault="002C2E65">
      <w:pPr>
        <w:pBdr>
          <w:bottom w:val="none" w:sz="0" w:space="8" w:color="000000"/>
        </w:pBdr>
        <w:shd w:val="clear" w:color="auto" w:fill="FFFFFF"/>
        <w:tabs>
          <w:tab w:val="left" w:pos="2500"/>
        </w:tabs>
        <w:spacing w:line="432" w:lineRule="auto"/>
        <w:ind w:firstLine="709"/>
        <w:jc w:val="both"/>
      </w:pPr>
    </w:p>
    <w:p w14:paraId="08585A79" w14:textId="77777777" w:rsidR="002C2E65" w:rsidRDefault="00000000">
      <w:pPr>
        <w:pBdr>
          <w:top w:val="nil"/>
          <w:left w:val="nil"/>
          <w:bottom w:val="nil"/>
          <w:right w:val="nil"/>
          <w:between w:val="nil"/>
        </w:pBdr>
        <w:spacing w:after="200"/>
        <w:jc w:val="both"/>
        <w:rPr>
          <w:color w:val="000000"/>
          <w:sz w:val="24"/>
          <w:szCs w:val="24"/>
        </w:rPr>
      </w:pPr>
      <w:r>
        <w:rPr>
          <w:color w:val="000000"/>
          <w:sz w:val="24"/>
          <w:szCs w:val="24"/>
        </w:rPr>
        <w:t>Tabela .1.-.</w:t>
      </w:r>
      <w:r>
        <w:rPr>
          <w:b/>
          <w:bCs/>
          <w:color w:val="000000"/>
          <w:sz w:val="24"/>
          <w:szCs w:val="24"/>
        </w:rPr>
        <w:t xml:space="preserve"> </w:t>
      </w:r>
      <w:r>
        <w:rPr>
          <w:color w:val="000000"/>
          <w:sz w:val="24"/>
          <w:szCs w:val="24"/>
        </w:rPr>
        <w:t xml:space="preserve">Macronutrientes do solo N, P e K (mg/kg de solo) e pH dos substratos utilizados na combinação dos adubos orgânicos no consorcio de frutíferas. </w:t>
      </w:r>
    </w:p>
    <w:tbl>
      <w:tblPr>
        <w:tblStyle w:val="a0"/>
        <w:tblW w:w="7928" w:type="dxa"/>
        <w:jc w:val="center"/>
        <w:tblInd w:w="0" w:type="dxa"/>
        <w:tblLayout w:type="fixed"/>
        <w:tblLook w:val="0600" w:firstRow="0" w:lastRow="0" w:firstColumn="0" w:lastColumn="0" w:noHBand="1" w:noVBand="1"/>
      </w:tblPr>
      <w:tblGrid>
        <w:gridCol w:w="1691"/>
        <w:gridCol w:w="1560"/>
        <w:gridCol w:w="1559"/>
        <w:gridCol w:w="1843"/>
        <w:gridCol w:w="1275"/>
      </w:tblGrid>
      <w:tr w:rsidR="002C2E65" w14:paraId="732C4F95" w14:textId="77777777">
        <w:trPr>
          <w:trHeight w:val="288"/>
          <w:jc w:val="center"/>
        </w:trPr>
        <w:tc>
          <w:tcPr>
            <w:tcW w:w="1691" w:type="dxa"/>
            <w:vMerge w:val="restart"/>
            <w:tcBorders>
              <w:top w:val="single" w:sz="4" w:space="0" w:color="000000"/>
              <w:left w:val="single" w:sz="4" w:space="0" w:color="000000"/>
              <w:bottom w:val="single" w:sz="8" w:space="0" w:color="000000"/>
              <w:right w:val="single" w:sz="4" w:space="0" w:color="000000"/>
            </w:tcBorders>
            <w:shd w:val="clear" w:color="auto" w:fill="D9D9D9"/>
          </w:tcPr>
          <w:p w14:paraId="40939B84" w14:textId="77777777" w:rsidR="002C2E65" w:rsidRDefault="00000000">
            <w:pPr>
              <w:widowControl/>
              <w:rPr>
                <w:b/>
                <w:bCs/>
              </w:rPr>
            </w:pPr>
            <w:r>
              <w:rPr>
                <w:b/>
                <w:bCs/>
              </w:rPr>
              <w:t>Substrato</w:t>
            </w:r>
          </w:p>
        </w:tc>
        <w:tc>
          <w:tcPr>
            <w:tcW w:w="1560" w:type="dxa"/>
            <w:tcBorders>
              <w:top w:val="single" w:sz="4" w:space="0" w:color="000000"/>
              <w:left w:val="single" w:sz="4" w:space="0" w:color="000000"/>
              <w:bottom w:val="single" w:sz="4" w:space="0" w:color="000000"/>
              <w:right w:val="nil"/>
            </w:tcBorders>
            <w:shd w:val="clear" w:color="auto" w:fill="D9D9D9"/>
            <w:vAlign w:val="bottom"/>
          </w:tcPr>
          <w:p w14:paraId="79C1DC55" w14:textId="77777777" w:rsidR="002C2E65" w:rsidRDefault="00000000">
            <w:pPr>
              <w:widowControl/>
              <w:jc w:val="center"/>
              <w:rPr>
                <w:b/>
                <w:bCs/>
              </w:rPr>
            </w:pPr>
            <w:r>
              <w:rPr>
                <w:b/>
                <w:bCs/>
              </w:rPr>
              <w:t>N</w:t>
            </w:r>
          </w:p>
        </w:tc>
        <w:tc>
          <w:tcPr>
            <w:tcW w:w="1559" w:type="dxa"/>
            <w:tcBorders>
              <w:top w:val="single" w:sz="4" w:space="0" w:color="000000"/>
              <w:left w:val="nil"/>
              <w:bottom w:val="single" w:sz="4" w:space="0" w:color="000000"/>
              <w:right w:val="nil"/>
            </w:tcBorders>
            <w:shd w:val="clear" w:color="auto" w:fill="D9D9D9"/>
            <w:vAlign w:val="bottom"/>
          </w:tcPr>
          <w:p w14:paraId="1D2EB0BA" w14:textId="77777777" w:rsidR="002C2E65" w:rsidRDefault="00000000">
            <w:pPr>
              <w:widowControl/>
              <w:jc w:val="center"/>
              <w:rPr>
                <w:b/>
                <w:bCs/>
              </w:rPr>
            </w:pPr>
            <w:r>
              <w:rPr>
                <w:b/>
                <w:bCs/>
              </w:rPr>
              <w:t>P</w:t>
            </w:r>
          </w:p>
        </w:tc>
        <w:tc>
          <w:tcPr>
            <w:tcW w:w="1843" w:type="dxa"/>
            <w:tcBorders>
              <w:top w:val="single" w:sz="4" w:space="0" w:color="000000"/>
              <w:left w:val="nil"/>
              <w:bottom w:val="single" w:sz="4" w:space="0" w:color="000000"/>
              <w:right w:val="nil"/>
            </w:tcBorders>
            <w:shd w:val="clear" w:color="auto" w:fill="D9D9D9"/>
            <w:vAlign w:val="bottom"/>
          </w:tcPr>
          <w:p w14:paraId="233E8F30" w14:textId="77777777" w:rsidR="002C2E65" w:rsidRDefault="00000000">
            <w:pPr>
              <w:widowControl/>
              <w:jc w:val="center"/>
              <w:rPr>
                <w:b/>
                <w:bCs/>
              </w:rPr>
            </w:pPr>
            <w:r>
              <w:rPr>
                <w:b/>
                <w:bCs/>
              </w:rPr>
              <w:t>K</w:t>
            </w:r>
          </w:p>
        </w:tc>
        <w:tc>
          <w:tcPr>
            <w:tcW w:w="1275" w:type="dxa"/>
            <w:tcBorders>
              <w:top w:val="single" w:sz="4" w:space="0" w:color="000000"/>
              <w:left w:val="nil"/>
              <w:right w:val="single" w:sz="4" w:space="0" w:color="000000"/>
            </w:tcBorders>
            <w:shd w:val="clear" w:color="auto" w:fill="D9D9D9"/>
          </w:tcPr>
          <w:p w14:paraId="3207E015" w14:textId="77777777" w:rsidR="002C2E65" w:rsidRDefault="00000000">
            <w:pPr>
              <w:widowControl/>
              <w:jc w:val="center"/>
              <w:rPr>
                <w:b/>
                <w:bCs/>
              </w:rPr>
            </w:pPr>
            <w:r>
              <w:rPr>
                <w:b/>
                <w:bCs/>
              </w:rPr>
              <w:t>pH</w:t>
            </w:r>
          </w:p>
        </w:tc>
      </w:tr>
      <w:tr w:rsidR="002C2E65" w14:paraId="4C520138" w14:textId="77777777">
        <w:trPr>
          <w:trHeight w:val="300"/>
          <w:jc w:val="center"/>
        </w:trPr>
        <w:tc>
          <w:tcPr>
            <w:tcW w:w="1691" w:type="dxa"/>
            <w:vMerge/>
            <w:tcBorders>
              <w:top w:val="single" w:sz="4" w:space="0" w:color="000000"/>
              <w:left w:val="single" w:sz="4" w:space="0" w:color="000000"/>
              <w:bottom w:val="single" w:sz="8" w:space="0" w:color="000000"/>
              <w:right w:val="single" w:sz="4" w:space="0" w:color="000000"/>
            </w:tcBorders>
            <w:shd w:val="clear" w:color="auto" w:fill="D9D9D9"/>
          </w:tcPr>
          <w:p w14:paraId="05F5EBB0" w14:textId="77777777" w:rsidR="002C2E65" w:rsidRDefault="002C2E65">
            <w:pPr>
              <w:pBdr>
                <w:top w:val="nil"/>
                <w:left w:val="nil"/>
                <w:bottom w:val="nil"/>
                <w:right w:val="nil"/>
                <w:between w:val="nil"/>
              </w:pBdr>
              <w:spacing w:line="276" w:lineRule="auto"/>
              <w:rPr>
                <w:b/>
                <w:bCs/>
              </w:rPr>
            </w:pPr>
          </w:p>
        </w:tc>
        <w:tc>
          <w:tcPr>
            <w:tcW w:w="4962" w:type="dxa"/>
            <w:gridSpan w:val="3"/>
            <w:tcBorders>
              <w:top w:val="single" w:sz="4" w:space="0" w:color="000000"/>
              <w:left w:val="single" w:sz="4" w:space="0" w:color="000000"/>
              <w:bottom w:val="single" w:sz="4" w:space="0" w:color="000000"/>
              <w:right w:val="nil"/>
            </w:tcBorders>
            <w:shd w:val="clear" w:color="auto" w:fill="D9D9D9"/>
            <w:vAlign w:val="bottom"/>
          </w:tcPr>
          <w:p w14:paraId="465F696C" w14:textId="77777777" w:rsidR="002C2E65" w:rsidRDefault="00000000">
            <w:pPr>
              <w:widowControl/>
              <w:jc w:val="center"/>
            </w:pPr>
            <w:r>
              <w:t>mg/Kg de substrato</w:t>
            </w:r>
          </w:p>
        </w:tc>
        <w:tc>
          <w:tcPr>
            <w:tcW w:w="1275" w:type="dxa"/>
            <w:tcBorders>
              <w:left w:val="nil"/>
              <w:bottom w:val="single" w:sz="4" w:space="0" w:color="000000"/>
              <w:right w:val="single" w:sz="4" w:space="0" w:color="000000"/>
            </w:tcBorders>
            <w:shd w:val="clear" w:color="auto" w:fill="D9D9D9"/>
            <w:vAlign w:val="center"/>
          </w:tcPr>
          <w:p w14:paraId="555C2DB3" w14:textId="77777777" w:rsidR="002C2E65" w:rsidRDefault="002C2E65">
            <w:pPr>
              <w:widowControl/>
              <w:rPr>
                <w:b/>
                <w:bCs/>
              </w:rPr>
            </w:pPr>
          </w:p>
        </w:tc>
      </w:tr>
      <w:tr w:rsidR="002C2E65" w14:paraId="51FEBA9F" w14:textId="77777777">
        <w:trPr>
          <w:trHeight w:val="288"/>
          <w:jc w:val="center"/>
        </w:trPr>
        <w:tc>
          <w:tcPr>
            <w:tcW w:w="1691" w:type="dxa"/>
            <w:tcBorders>
              <w:top w:val="single" w:sz="4" w:space="0" w:color="000000"/>
              <w:left w:val="single" w:sz="8" w:space="0" w:color="000000"/>
              <w:bottom w:val="nil"/>
              <w:right w:val="single" w:sz="4" w:space="0" w:color="000000"/>
            </w:tcBorders>
            <w:shd w:val="clear" w:color="auto" w:fill="D9D9D9"/>
            <w:vAlign w:val="bottom"/>
          </w:tcPr>
          <w:p w14:paraId="0105AF58" w14:textId="77777777" w:rsidR="002C2E65" w:rsidRDefault="00000000">
            <w:pPr>
              <w:widowControl/>
            </w:pPr>
            <w:r>
              <w:t>Cama de aviário</w:t>
            </w:r>
          </w:p>
        </w:tc>
        <w:tc>
          <w:tcPr>
            <w:tcW w:w="1560" w:type="dxa"/>
            <w:tcBorders>
              <w:top w:val="single" w:sz="4" w:space="0" w:color="000000"/>
              <w:left w:val="single" w:sz="4" w:space="0" w:color="000000"/>
              <w:bottom w:val="nil"/>
              <w:right w:val="nil"/>
            </w:tcBorders>
            <w:vAlign w:val="bottom"/>
          </w:tcPr>
          <w:p w14:paraId="522468F5" w14:textId="77777777" w:rsidR="002C2E65" w:rsidRDefault="00000000">
            <w:pPr>
              <w:widowControl/>
              <w:jc w:val="center"/>
            </w:pPr>
            <w:r>
              <w:t>13.33 ± 1.02</w:t>
            </w:r>
          </w:p>
        </w:tc>
        <w:tc>
          <w:tcPr>
            <w:tcW w:w="1559" w:type="dxa"/>
            <w:tcBorders>
              <w:top w:val="single" w:sz="4" w:space="0" w:color="000000"/>
              <w:left w:val="nil"/>
              <w:bottom w:val="nil"/>
              <w:right w:val="nil"/>
            </w:tcBorders>
            <w:vAlign w:val="bottom"/>
          </w:tcPr>
          <w:p w14:paraId="59DB5C5D" w14:textId="77777777" w:rsidR="002C2E65" w:rsidRDefault="00000000">
            <w:pPr>
              <w:widowControl/>
              <w:jc w:val="center"/>
            </w:pPr>
            <w:r>
              <w:t>16.00 ± 1.528</w:t>
            </w:r>
          </w:p>
        </w:tc>
        <w:tc>
          <w:tcPr>
            <w:tcW w:w="1843" w:type="dxa"/>
            <w:tcBorders>
              <w:top w:val="single" w:sz="4" w:space="0" w:color="000000"/>
              <w:left w:val="nil"/>
              <w:bottom w:val="nil"/>
              <w:right w:val="nil"/>
            </w:tcBorders>
            <w:vAlign w:val="bottom"/>
          </w:tcPr>
          <w:p w14:paraId="4F734D87" w14:textId="77777777" w:rsidR="002C2E65" w:rsidRDefault="00000000">
            <w:pPr>
              <w:widowControl/>
              <w:jc w:val="center"/>
            </w:pPr>
            <w:r>
              <w:t>37.33 ± 3.712</w:t>
            </w:r>
          </w:p>
        </w:tc>
        <w:tc>
          <w:tcPr>
            <w:tcW w:w="1275" w:type="dxa"/>
            <w:tcBorders>
              <w:top w:val="single" w:sz="4" w:space="0" w:color="000000"/>
              <w:left w:val="nil"/>
              <w:bottom w:val="nil"/>
              <w:right w:val="single" w:sz="8" w:space="0" w:color="000000"/>
            </w:tcBorders>
            <w:vAlign w:val="bottom"/>
          </w:tcPr>
          <w:p w14:paraId="1572038B" w14:textId="77777777" w:rsidR="002C2E65" w:rsidRDefault="00000000">
            <w:pPr>
              <w:widowControl/>
              <w:jc w:val="center"/>
            </w:pPr>
            <w:r>
              <w:t>7 .0 ± 0.00</w:t>
            </w:r>
          </w:p>
        </w:tc>
      </w:tr>
      <w:tr w:rsidR="002C2E65" w14:paraId="7B20D78E" w14:textId="77777777">
        <w:trPr>
          <w:trHeight w:val="288"/>
          <w:jc w:val="center"/>
        </w:trPr>
        <w:tc>
          <w:tcPr>
            <w:tcW w:w="1691" w:type="dxa"/>
            <w:tcBorders>
              <w:top w:val="nil"/>
              <w:left w:val="single" w:sz="8" w:space="0" w:color="000000"/>
              <w:bottom w:val="nil"/>
              <w:right w:val="single" w:sz="4" w:space="0" w:color="000000"/>
            </w:tcBorders>
            <w:shd w:val="clear" w:color="auto" w:fill="D9D9D9"/>
            <w:vAlign w:val="bottom"/>
          </w:tcPr>
          <w:p w14:paraId="344A3869" w14:textId="77777777" w:rsidR="002C2E65" w:rsidRDefault="00000000">
            <w:pPr>
              <w:widowControl/>
            </w:pPr>
            <w:r>
              <w:t xml:space="preserve">Farinha de osso </w:t>
            </w:r>
          </w:p>
        </w:tc>
        <w:tc>
          <w:tcPr>
            <w:tcW w:w="1560" w:type="dxa"/>
            <w:tcBorders>
              <w:top w:val="nil"/>
              <w:left w:val="single" w:sz="4" w:space="0" w:color="000000"/>
              <w:bottom w:val="nil"/>
              <w:right w:val="nil"/>
            </w:tcBorders>
            <w:vAlign w:val="bottom"/>
          </w:tcPr>
          <w:p w14:paraId="1E62D509" w14:textId="77777777" w:rsidR="002C2E65" w:rsidRDefault="00000000">
            <w:pPr>
              <w:widowControl/>
              <w:jc w:val="center"/>
            </w:pPr>
            <w:r>
              <w:t>16.00 ± 2.028</w:t>
            </w:r>
          </w:p>
        </w:tc>
        <w:tc>
          <w:tcPr>
            <w:tcW w:w="1559" w:type="dxa"/>
            <w:tcBorders>
              <w:top w:val="nil"/>
              <w:left w:val="nil"/>
              <w:bottom w:val="nil"/>
              <w:right w:val="nil"/>
            </w:tcBorders>
            <w:vAlign w:val="bottom"/>
          </w:tcPr>
          <w:p w14:paraId="50937949" w14:textId="77777777" w:rsidR="002C2E65" w:rsidRDefault="00000000">
            <w:pPr>
              <w:widowControl/>
              <w:jc w:val="center"/>
            </w:pPr>
            <w:r>
              <w:t>18.67 ± 2.333</w:t>
            </w:r>
          </w:p>
        </w:tc>
        <w:tc>
          <w:tcPr>
            <w:tcW w:w="1843" w:type="dxa"/>
            <w:tcBorders>
              <w:top w:val="nil"/>
              <w:left w:val="nil"/>
              <w:bottom w:val="nil"/>
              <w:right w:val="nil"/>
            </w:tcBorders>
            <w:vAlign w:val="bottom"/>
          </w:tcPr>
          <w:p w14:paraId="44A0B624" w14:textId="77777777" w:rsidR="002C2E65" w:rsidRDefault="00000000">
            <w:pPr>
              <w:widowControl/>
              <w:jc w:val="center"/>
            </w:pPr>
            <w:r>
              <w:t>42.33 ± 5.292</w:t>
            </w:r>
          </w:p>
        </w:tc>
        <w:tc>
          <w:tcPr>
            <w:tcW w:w="1275" w:type="dxa"/>
            <w:tcBorders>
              <w:top w:val="nil"/>
              <w:left w:val="nil"/>
              <w:bottom w:val="nil"/>
              <w:right w:val="single" w:sz="8" w:space="0" w:color="000000"/>
            </w:tcBorders>
            <w:vAlign w:val="bottom"/>
          </w:tcPr>
          <w:p w14:paraId="64786E00" w14:textId="77777777" w:rsidR="002C2E65" w:rsidRDefault="00000000">
            <w:pPr>
              <w:widowControl/>
              <w:jc w:val="center"/>
            </w:pPr>
            <w:r>
              <w:t>5.6 ± 0.333</w:t>
            </w:r>
          </w:p>
        </w:tc>
      </w:tr>
      <w:tr w:rsidR="002C2E65" w14:paraId="35932B86" w14:textId="77777777">
        <w:trPr>
          <w:trHeight w:val="300"/>
          <w:jc w:val="center"/>
        </w:trPr>
        <w:tc>
          <w:tcPr>
            <w:tcW w:w="1691" w:type="dxa"/>
            <w:tcBorders>
              <w:top w:val="nil"/>
              <w:left w:val="single" w:sz="8" w:space="0" w:color="000000"/>
              <w:bottom w:val="single" w:sz="8" w:space="0" w:color="000000"/>
              <w:right w:val="single" w:sz="4" w:space="0" w:color="000000"/>
            </w:tcBorders>
            <w:shd w:val="clear" w:color="auto" w:fill="D9D9D9"/>
            <w:vAlign w:val="bottom"/>
          </w:tcPr>
          <w:p w14:paraId="35FA4F75" w14:textId="77777777" w:rsidR="002C2E65" w:rsidRDefault="00000000">
            <w:pPr>
              <w:widowControl/>
            </w:pPr>
            <w:r>
              <w:t>Esterco bovino</w:t>
            </w:r>
          </w:p>
        </w:tc>
        <w:tc>
          <w:tcPr>
            <w:tcW w:w="1560" w:type="dxa"/>
            <w:tcBorders>
              <w:top w:val="nil"/>
              <w:left w:val="single" w:sz="4" w:space="0" w:color="000000"/>
              <w:bottom w:val="single" w:sz="8" w:space="0" w:color="000000"/>
              <w:right w:val="nil"/>
            </w:tcBorders>
            <w:vAlign w:val="bottom"/>
          </w:tcPr>
          <w:p w14:paraId="5EC7127E" w14:textId="77777777" w:rsidR="002C2E65" w:rsidRDefault="00000000">
            <w:pPr>
              <w:widowControl/>
              <w:ind w:left="-358" w:firstLine="358"/>
              <w:jc w:val="center"/>
            </w:pPr>
            <w:r>
              <w:t>6.67 ± 1.202</w:t>
            </w:r>
          </w:p>
        </w:tc>
        <w:tc>
          <w:tcPr>
            <w:tcW w:w="1559" w:type="dxa"/>
            <w:tcBorders>
              <w:top w:val="nil"/>
              <w:left w:val="nil"/>
              <w:bottom w:val="single" w:sz="8" w:space="0" w:color="000000"/>
              <w:right w:val="nil"/>
            </w:tcBorders>
            <w:vAlign w:val="bottom"/>
          </w:tcPr>
          <w:p w14:paraId="161D678F" w14:textId="77777777" w:rsidR="002C2E65" w:rsidRDefault="00000000">
            <w:pPr>
              <w:widowControl/>
              <w:jc w:val="center"/>
            </w:pPr>
            <w:r>
              <w:t>7.67 ± 1.202</w:t>
            </w:r>
          </w:p>
        </w:tc>
        <w:tc>
          <w:tcPr>
            <w:tcW w:w="1843" w:type="dxa"/>
            <w:tcBorders>
              <w:top w:val="nil"/>
              <w:left w:val="nil"/>
              <w:bottom w:val="single" w:sz="8" w:space="0" w:color="000000"/>
              <w:right w:val="nil"/>
            </w:tcBorders>
            <w:vAlign w:val="bottom"/>
          </w:tcPr>
          <w:p w14:paraId="011A8F20" w14:textId="77777777" w:rsidR="002C2E65" w:rsidRDefault="00000000">
            <w:pPr>
              <w:widowControl/>
              <w:jc w:val="center"/>
            </w:pPr>
            <w:r>
              <w:t>15.33 ± 2.404</w:t>
            </w:r>
          </w:p>
        </w:tc>
        <w:tc>
          <w:tcPr>
            <w:tcW w:w="1275" w:type="dxa"/>
            <w:tcBorders>
              <w:top w:val="nil"/>
              <w:left w:val="nil"/>
              <w:bottom w:val="single" w:sz="8" w:space="0" w:color="000000"/>
              <w:right w:val="single" w:sz="8" w:space="0" w:color="000000"/>
            </w:tcBorders>
            <w:vAlign w:val="bottom"/>
          </w:tcPr>
          <w:p w14:paraId="72F17E9C" w14:textId="77777777" w:rsidR="002C2E65" w:rsidRDefault="00000000">
            <w:pPr>
              <w:widowControl/>
              <w:jc w:val="center"/>
            </w:pPr>
            <w:r>
              <w:t>6.7 ± 0.393</w:t>
            </w:r>
          </w:p>
        </w:tc>
      </w:tr>
    </w:tbl>
    <w:p w14:paraId="69F974A4" w14:textId="77777777" w:rsidR="002C2E65" w:rsidRDefault="00000000">
      <w:pPr>
        <w:pBdr>
          <w:bottom w:val="none" w:sz="0" w:space="8" w:color="000000"/>
        </w:pBdr>
        <w:shd w:val="clear" w:color="auto" w:fill="FFFFFF"/>
        <w:tabs>
          <w:tab w:val="left" w:pos="2500"/>
        </w:tabs>
        <w:spacing w:line="432" w:lineRule="auto"/>
        <w:jc w:val="both"/>
      </w:pPr>
      <w:r>
        <w:t>Médias* seguidas de erro padrão** (</w:t>
      </w:r>
      <w:r>
        <w:rPr>
          <w:i/>
          <w:iCs/>
        </w:rPr>
        <w:t>p ≤ 0,05</w:t>
      </w:r>
      <w:r>
        <w:t>) dos dados amostrados. Fonte: Autor, 2025.</w:t>
      </w:r>
    </w:p>
    <w:p w14:paraId="21FCA3ED" w14:textId="77777777" w:rsidR="002C2E65" w:rsidRDefault="00000000">
      <w:pPr>
        <w:widowControl/>
        <w:spacing w:line="360" w:lineRule="auto"/>
        <w:ind w:firstLine="709"/>
        <w:jc w:val="both"/>
        <w:rPr>
          <w:sz w:val="24"/>
          <w:szCs w:val="24"/>
        </w:rPr>
      </w:pPr>
      <w:r>
        <w:rPr>
          <w:sz w:val="24"/>
          <w:szCs w:val="24"/>
        </w:rPr>
        <w:t>Na 1ª adubação, não foi possível observar ganho no incremento de NPK incorporado no solo da maioria dos parâmetros avaliados das parcelas adubadas, em algumas parcelas como é possivel observar ocorreu até mesmo um decrescimo quando comparados a Parcela 3 (controle) que não recebeu adubação, como observado na parcela 2 e Parcela 4 em que a concentração de NPK foi inferior a parcela 3 para todos os minerais avaliados. Nos solos das parcelas avaliados na 2ª adubação, se destacou a parcela 2 tiveram com incremento em NPK quando comparadas a Parcela 3 (controle) Tabela 2.</w:t>
      </w:r>
    </w:p>
    <w:p w14:paraId="74298799" w14:textId="77777777" w:rsidR="002C2E65" w:rsidRDefault="00000000">
      <w:pPr>
        <w:spacing w:line="360" w:lineRule="auto"/>
        <w:ind w:firstLine="709"/>
        <w:jc w:val="both"/>
        <w:rPr>
          <w:sz w:val="24"/>
          <w:szCs w:val="24"/>
        </w:rPr>
      </w:pPr>
      <w:r>
        <w:rPr>
          <w:sz w:val="24"/>
          <w:szCs w:val="24"/>
        </w:rPr>
        <w:t>O tratamento com maior destaque no acumulo de NPK no solo após a segunda adubação foi a Parcela 2 com 1ª adubação com Esterco bovino e farinha de osso (1:2) a lanço e 2ª adubação com mesmo adubo e proporção aplicado em cova. Demonstrando que os efeitos dos biofertilizantes tendem a ser mais visíveis em quando as aplicações são fracionadas ao longo do tempo (LIMA et al. 2021). O aumento da concentração dos nutrientes pode serdevido a condição de lenta liberação dos mesmos, potencializada nesta composição de adubos oôrganicos, como demosntrado nos estudos de anos (JATANA et al. 2020). O maior desafio da adubação orgânica e a retenção de N mineralizado no solo impedindo sua volatilização, lixiviação ou transformação em formas não assimiláveis pelas plantas.</w:t>
      </w:r>
    </w:p>
    <w:p w14:paraId="7843E3E0" w14:textId="77777777" w:rsidR="002C2E65" w:rsidRDefault="002C2E65">
      <w:pPr>
        <w:spacing w:line="360" w:lineRule="auto"/>
        <w:jc w:val="both"/>
        <w:rPr>
          <w:sz w:val="24"/>
          <w:szCs w:val="24"/>
        </w:rPr>
      </w:pPr>
    </w:p>
    <w:p w14:paraId="5F8A0CC6" w14:textId="77777777" w:rsidR="002C2E65" w:rsidRDefault="00000000">
      <w:pPr>
        <w:pBdr>
          <w:top w:val="nil"/>
          <w:left w:val="nil"/>
          <w:bottom w:val="nil"/>
          <w:right w:val="nil"/>
          <w:between w:val="nil"/>
        </w:pBdr>
        <w:spacing w:after="200"/>
        <w:jc w:val="both"/>
        <w:rPr>
          <w:color w:val="000000"/>
          <w:sz w:val="24"/>
          <w:szCs w:val="24"/>
        </w:rPr>
      </w:pPr>
      <w:r>
        <w:rPr>
          <w:color w:val="000000"/>
          <w:sz w:val="24"/>
          <w:szCs w:val="24"/>
        </w:rPr>
        <w:lastRenderedPageBreak/>
        <w:t xml:space="preserve">Tabela .2.-.Macronutrientes do solo N, P e K (mg/kg de solo), com 1ª avaliação 60 dias após a adubação e 2ª avaliação aos 30 após nova adubação. </w:t>
      </w:r>
    </w:p>
    <w:tbl>
      <w:tblPr>
        <w:tblStyle w:val="a1"/>
        <w:tblW w:w="6228" w:type="dxa"/>
        <w:jc w:val="center"/>
        <w:tblInd w:w="0" w:type="dxa"/>
        <w:tblLayout w:type="fixed"/>
        <w:tblLook w:val="0400" w:firstRow="0" w:lastRow="0" w:firstColumn="0" w:lastColumn="0" w:noHBand="0" w:noVBand="1"/>
      </w:tblPr>
      <w:tblGrid>
        <w:gridCol w:w="1265"/>
        <w:gridCol w:w="1702"/>
        <w:gridCol w:w="1560"/>
        <w:gridCol w:w="1701"/>
      </w:tblGrid>
      <w:tr w:rsidR="002C2E65" w14:paraId="740A1026" w14:textId="77777777">
        <w:trPr>
          <w:trHeight w:val="300"/>
          <w:jc w:val="center"/>
        </w:trPr>
        <w:tc>
          <w:tcPr>
            <w:tcW w:w="1265" w:type="dxa"/>
            <w:vMerge w:val="restart"/>
            <w:tcBorders>
              <w:top w:val="single" w:sz="8" w:space="0" w:color="000000"/>
              <w:left w:val="single" w:sz="8" w:space="0" w:color="000000"/>
              <w:bottom w:val="nil"/>
              <w:right w:val="nil"/>
            </w:tcBorders>
            <w:vAlign w:val="center"/>
          </w:tcPr>
          <w:p w14:paraId="4E18E045" w14:textId="77777777" w:rsidR="002C2E65" w:rsidRDefault="00000000">
            <w:pPr>
              <w:widowControl/>
              <w:spacing w:line="360" w:lineRule="auto"/>
              <w:rPr>
                <w:b/>
                <w:bCs/>
                <w:color w:val="000000"/>
              </w:rPr>
            </w:pPr>
            <w:r>
              <w:rPr>
                <w:b/>
                <w:bCs/>
                <w:color w:val="000000"/>
              </w:rPr>
              <w:t>Tratamento</w:t>
            </w:r>
          </w:p>
        </w:tc>
        <w:tc>
          <w:tcPr>
            <w:tcW w:w="1702" w:type="dxa"/>
            <w:tcBorders>
              <w:top w:val="single" w:sz="8" w:space="0" w:color="000000"/>
              <w:left w:val="nil"/>
              <w:bottom w:val="single" w:sz="8" w:space="0" w:color="000000"/>
              <w:right w:val="nil"/>
            </w:tcBorders>
            <w:vAlign w:val="center"/>
          </w:tcPr>
          <w:p w14:paraId="2B6096D4" w14:textId="77777777" w:rsidR="002C2E65" w:rsidRDefault="00000000">
            <w:pPr>
              <w:widowControl/>
              <w:spacing w:line="360" w:lineRule="auto"/>
              <w:jc w:val="center"/>
              <w:rPr>
                <w:b/>
                <w:bCs/>
                <w:color w:val="000000"/>
              </w:rPr>
            </w:pPr>
            <w:r>
              <w:rPr>
                <w:b/>
                <w:bCs/>
                <w:color w:val="000000"/>
              </w:rPr>
              <w:t>N</w:t>
            </w:r>
          </w:p>
        </w:tc>
        <w:tc>
          <w:tcPr>
            <w:tcW w:w="1560" w:type="dxa"/>
            <w:tcBorders>
              <w:top w:val="single" w:sz="8" w:space="0" w:color="000000"/>
              <w:left w:val="nil"/>
              <w:bottom w:val="single" w:sz="8" w:space="0" w:color="000000"/>
              <w:right w:val="nil"/>
            </w:tcBorders>
            <w:vAlign w:val="center"/>
          </w:tcPr>
          <w:p w14:paraId="3386FBBD" w14:textId="77777777" w:rsidR="002C2E65" w:rsidRDefault="00000000">
            <w:pPr>
              <w:widowControl/>
              <w:spacing w:line="360" w:lineRule="auto"/>
              <w:jc w:val="center"/>
              <w:rPr>
                <w:b/>
                <w:bCs/>
                <w:color w:val="000000"/>
              </w:rPr>
            </w:pPr>
            <w:r>
              <w:rPr>
                <w:b/>
                <w:bCs/>
                <w:color w:val="000000"/>
              </w:rPr>
              <w:t>P</w:t>
            </w:r>
          </w:p>
        </w:tc>
        <w:tc>
          <w:tcPr>
            <w:tcW w:w="1701" w:type="dxa"/>
            <w:tcBorders>
              <w:top w:val="single" w:sz="8" w:space="0" w:color="000000"/>
              <w:left w:val="nil"/>
              <w:bottom w:val="single" w:sz="8" w:space="0" w:color="000000"/>
              <w:right w:val="single" w:sz="8" w:space="0" w:color="000000"/>
            </w:tcBorders>
            <w:vAlign w:val="center"/>
          </w:tcPr>
          <w:p w14:paraId="5C744864" w14:textId="77777777" w:rsidR="002C2E65" w:rsidRDefault="00000000">
            <w:pPr>
              <w:widowControl/>
              <w:spacing w:line="360" w:lineRule="auto"/>
              <w:jc w:val="center"/>
              <w:rPr>
                <w:b/>
                <w:bCs/>
                <w:color w:val="000000"/>
              </w:rPr>
            </w:pPr>
            <w:r>
              <w:rPr>
                <w:b/>
                <w:bCs/>
                <w:color w:val="000000"/>
              </w:rPr>
              <w:t>K</w:t>
            </w:r>
          </w:p>
        </w:tc>
      </w:tr>
      <w:tr w:rsidR="002C2E65" w14:paraId="01F2BAD9" w14:textId="77777777">
        <w:trPr>
          <w:trHeight w:val="300"/>
          <w:jc w:val="center"/>
        </w:trPr>
        <w:tc>
          <w:tcPr>
            <w:tcW w:w="1265" w:type="dxa"/>
            <w:vMerge/>
            <w:tcBorders>
              <w:top w:val="single" w:sz="8" w:space="0" w:color="000000"/>
              <w:left w:val="single" w:sz="8" w:space="0" w:color="000000"/>
              <w:bottom w:val="nil"/>
              <w:right w:val="nil"/>
            </w:tcBorders>
            <w:vAlign w:val="center"/>
          </w:tcPr>
          <w:p w14:paraId="411A6A41" w14:textId="77777777" w:rsidR="002C2E65" w:rsidRDefault="002C2E65">
            <w:pPr>
              <w:pBdr>
                <w:top w:val="nil"/>
                <w:left w:val="nil"/>
                <w:bottom w:val="nil"/>
                <w:right w:val="nil"/>
                <w:between w:val="nil"/>
              </w:pBdr>
              <w:spacing w:line="276" w:lineRule="auto"/>
              <w:rPr>
                <w:b/>
                <w:bCs/>
                <w:color w:val="000000"/>
              </w:rPr>
            </w:pPr>
          </w:p>
        </w:tc>
        <w:tc>
          <w:tcPr>
            <w:tcW w:w="4963" w:type="dxa"/>
            <w:gridSpan w:val="3"/>
            <w:tcBorders>
              <w:top w:val="single" w:sz="8" w:space="0" w:color="000000"/>
              <w:left w:val="nil"/>
              <w:bottom w:val="nil"/>
              <w:right w:val="single" w:sz="8" w:space="0" w:color="000000"/>
            </w:tcBorders>
            <w:vAlign w:val="center"/>
          </w:tcPr>
          <w:p w14:paraId="2D6B218C" w14:textId="77777777" w:rsidR="002C2E65" w:rsidRDefault="00000000">
            <w:pPr>
              <w:widowControl/>
              <w:spacing w:line="360" w:lineRule="auto"/>
              <w:ind w:left="-493" w:firstLine="493"/>
              <w:jc w:val="center"/>
              <w:rPr>
                <w:b/>
                <w:bCs/>
                <w:color w:val="000000"/>
              </w:rPr>
            </w:pPr>
            <w:r>
              <w:rPr>
                <w:b/>
                <w:bCs/>
                <w:color w:val="000000"/>
              </w:rPr>
              <w:t>mg/kg de solo</w:t>
            </w:r>
          </w:p>
        </w:tc>
      </w:tr>
      <w:tr w:rsidR="002C2E65" w14:paraId="33F530C5" w14:textId="77777777">
        <w:trPr>
          <w:trHeight w:val="300"/>
          <w:jc w:val="center"/>
        </w:trPr>
        <w:tc>
          <w:tcPr>
            <w:tcW w:w="622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57F6D924" w14:textId="77777777" w:rsidR="002C2E65" w:rsidRDefault="00000000">
            <w:pPr>
              <w:widowControl/>
              <w:spacing w:line="360" w:lineRule="auto"/>
              <w:jc w:val="center"/>
              <w:rPr>
                <w:b/>
                <w:bCs/>
                <w:color w:val="000000"/>
              </w:rPr>
            </w:pPr>
            <w:r>
              <w:rPr>
                <w:b/>
                <w:bCs/>
                <w:color w:val="000000"/>
              </w:rPr>
              <w:t>1ª avaliação</w:t>
            </w:r>
          </w:p>
        </w:tc>
      </w:tr>
      <w:tr w:rsidR="002C2E65" w14:paraId="7B46DEE5"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605CB541" w14:textId="77777777" w:rsidR="002C2E65" w:rsidRDefault="00000000">
            <w:pPr>
              <w:widowControl/>
              <w:spacing w:line="360" w:lineRule="auto"/>
              <w:rPr>
                <w:color w:val="000000"/>
              </w:rPr>
            </w:pPr>
            <w:r>
              <w:rPr>
                <w:color w:val="000000"/>
              </w:rPr>
              <w:t>Parcela 1</w:t>
            </w:r>
          </w:p>
        </w:tc>
        <w:tc>
          <w:tcPr>
            <w:tcW w:w="1702" w:type="dxa"/>
            <w:tcBorders>
              <w:top w:val="nil"/>
              <w:left w:val="single" w:sz="4" w:space="0" w:color="000000"/>
              <w:bottom w:val="nil"/>
              <w:right w:val="nil"/>
            </w:tcBorders>
            <w:vAlign w:val="center"/>
          </w:tcPr>
          <w:p w14:paraId="5FA26796" w14:textId="77777777" w:rsidR="002C2E65" w:rsidRDefault="00000000">
            <w:pPr>
              <w:widowControl/>
              <w:spacing w:line="360" w:lineRule="auto"/>
              <w:jc w:val="center"/>
              <w:rPr>
                <w:color w:val="000000"/>
              </w:rPr>
            </w:pPr>
            <w:r>
              <w:rPr>
                <w:color w:val="000000"/>
              </w:rPr>
              <w:t>0.92* ± 0.078**</w:t>
            </w:r>
          </w:p>
        </w:tc>
        <w:tc>
          <w:tcPr>
            <w:tcW w:w="1560" w:type="dxa"/>
            <w:tcBorders>
              <w:top w:val="nil"/>
              <w:left w:val="nil"/>
              <w:bottom w:val="nil"/>
              <w:right w:val="nil"/>
            </w:tcBorders>
            <w:vAlign w:val="center"/>
          </w:tcPr>
          <w:p w14:paraId="746CD1B0" w14:textId="77777777" w:rsidR="002C2E65" w:rsidRDefault="00000000">
            <w:pPr>
              <w:widowControl/>
              <w:spacing w:line="360" w:lineRule="auto"/>
              <w:jc w:val="center"/>
              <w:rPr>
                <w:color w:val="000000"/>
              </w:rPr>
            </w:pPr>
            <w:r>
              <w:rPr>
                <w:color w:val="000000"/>
              </w:rPr>
              <w:t>1.76 ± 0.273</w:t>
            </w:r>
          </w:p>
        </w:tc>
        <w:tc>
          <w:tcPr>
            <w:tcW w:w="1701" w:type="dxa"/>
            <w:tcBorders>
              <w:top w:val="nil"/>
              <w:left w:val="nil"/>
              <w:bottom w:val="nil"/>
              <w:right w:val="single" w:sz="8" w:space="0" w:color="000000"/>
            </w:tcBorders>
            <w:vAlign w:val="center"/>
          </w:tcPr>
          <w:p w14:paraId="0DB531DF" w14:textId="77777777" w:rsidR="002C2E65" w:rsidRDefault="00000000">
            <w:pPr>
              <w:widowControl/>
              <w:spacing w:line="360" w:lineRule="auto"/>
              <w:jc w:val="center"/>
              <w:rPr>
                <w:color w:val="000000"/>
              </w:rPr>
            </w:pPr>
            <w:r>
              <w:rPr>
                <w:color w:val="000000"/>
              </w:rPr>
              <w:t>1.56 ± 0.197</w:t>
            </w:r>
          </w:p>
        </w:tc>
      </w:tr>
      <w:tr w:rsidR="002C2E65" w14:paraId="62667BED"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68E201CE" w14:textId="77777777" w:rsidR="002C2E65" w:rsidRDefault="00000000">
            <w:pPr>
              <w:widowControl/>
              <w:spacing w:line="360" w:lineRule="auto"/>
              <w:rPr>
                <w:color w:val="000000"/>
              </w:rPr>
            </w:pPr>
            <w:r>
              <w:rPr>
                <w:color w:val="000000"/>
              </w:rPr>
              <w:t>Parcela 2</w:t>
            </w:r>
          </w:p>
        </w:tc>
        <w:tc>
          <w:tcPr>
            <w:tcW w:w="1702" w:type="dxa"/>
            <w:tcBorders>
              <w:top w:val="nil"/>
              <w:left w:val="single" w:sz="4" w:space="0" w:color="000000"/>
              <w:bottom w:val="nil"/>
              <w:right w:val="nil"/>
            </w:tcBorders>
            <w:vAlign w:val="center"/>
          </w:tcPr>
          <w:p w14:paraId="416C3D89" w14:textId="77777777" w:rsidR="002C2E65" w:rsidRDefault="00000000">
            <w:pPr>
              <w:widowControl/>
              <w:spacing w:line="360" w:lineRule="auto"/>
              <w:jc w:val="center"/>
              <w:rPr>
                <w:color w:val="000000"/>
              </w:rPr>
            </w:pPr>
            <w:r>
              <w:rPr>
                <w:color w:val="000000"/>
              </w:rPr>
              <w:t>0.92 ± 0.078</w:t>
            </w:r>
          </w:p>
        </w:tc>
        <w:tc>
          <w:tcPr>
            <w:tcW w:w="1560" w:type="dxa"/>
            <w:tcBorders>
              <w:top w:val="nil"/>
              <w:left w:val="nil"/>
              <w:bottom w:val="nil"/>
              <w:right w:val="nil"/>
            </w:tcBorders>
            <w:vAlign w:val="center"/>
          </w:tcPr>
          <w:p w14:paraId="70819AB7" w14:textId="77777777" w:rsidR="002C2E65" w:rsidRDefault="00000000">
            <w:pPr>
              <w:widowControl/>
              <w:spacing w:line="360" w:lineRule="auto"/>
              <w:jc w:val="center"/>
              <w:rPr>
                <w:color w:val="000000"/>
              </w:rPr>
            </w:pPr>
            <w:r>
              <w:rPr>
                <w:color w:val="000000"/>
              </w:rPr>
              <w:t>1 .00 ± 0.080</w:t>
            </w:r>
          </w:p>
        </w:tc>
        <w:tc>
          <w:tcPr>
            <w:tcW w:w="1701" w:type="dxa"/>
            <w:tcBorders>
              <w:top w:val="nil"/>
              <w:left w:val="nil"/>
              <w:bottom w:val="nil"/>
              <w:right w:val="single" w:sz="8" w:space="0" w:color="000000"/>
            </w:tcBorders>
            <w:vAlign w:val="center"/>
          </w:tcPr>
          <w:p w14:paraId="3719588A" w14:textId="77777777" w:rsidR="002C2E65" w:rsidRDefault="00000000">
            <w:pPr>
              <w:widowControl/>
              <w:spacing w:line="360" w:lineRule="auto"/>
              <w:jc w:val="center"/>
              <w:rPr>
                <w:color w:val="000000"/>
              </w:rPr>
            </w:pPr>
            <w:r>
              <w:rPr>
                <w:color w:val="000000"/>
              </w:rPr>
              <w:t>1.84 ± 0.157</w:t>
            </w:r>
          </w:p>
        </w:tc>
      </w:tr>
      <w:tr w:rsidR="002C2E65" w14:paraId="2AE72D94"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10AD0C1E" w14:textId="77777777" w:rsidR="002C2E65" w:rsidRDefault="00000000">
            <w:pPr>
              <w:widowControl/>
              <w:spacing w:line="360" w:lineRule="auto"/>
              <w:rPr>
                <w:color w:val="000000"/>
              </w:rPr>
            </w:pPr>
            <w:r>
              <w:rPr>
                <w:color w:val="000000"/>
              </w:rPr>
              <w:t>Parcela 3</w:t>
            </w:r>
          </w:p>
        </w:tc>
        <w:tc>
          <w:tcPr>
            <w:tcW w:w="1702" w:type="dxa"/>
            <w:tcBorders>
              <w:top w:val="nil"/>
              <w:left w:val="single" w:sz="4" w:space="0" w:color="000000"/>
              <w:bottom w:val="nil"/>
              <w:right w:val="nil"/>
            </w:tcBorders>
            <w:vAlign w:val="center"/>
          </w:tcPr>
          <w:p w14:paraId="59B68648" w14:textId="77777777" w:rsidR="002C2E65" w:rsidRDefault="00000000">
            <w:pPr>
              <w:widowControl/>
              <w:spacing w:line="360" w:lineRule="auto"/>
              <w:jc w:val="center"/>
              <w:rPr>
                <w:color w:val="000000"/>
              </w:rPr>
            </w:pPr>
            <w:r>
              <w:rPr>
                <w:color w:val="000000"/>
              </w:rPr>
              <w:t>1.20 ± 0.098</w:t>
            </w:r>
          </w:p>
        </w:tc>
        <w:tc>
          <w:tcPr>
            <w:tcW w:w="1560" w:type="dxa"/>
            <w:tcBorders>
              <w:top w:val="nil"/>
              <w:left w:val="nil"/>
              <w:bottom w:val="nil"/>
              <w:right w:val="nil"/>
            </w:tcBorders>
            <w:vAlign w:val="center"/>
          </w:tcPr>
          <w:p w14:paraId="4A4A5884" w14:textId="77777777" w:rsidR="002C2E65" w:rsidRDefault="00000000">
            <w:pPr>
              <w:widowControl/>
              <w:spacing w:line="360" w:lineRule="auto"/>
              <w:jc w:val="center"/>
              <w:rPr>
                <w:color w:val="000000"/>
              </w:rPr>
            </w:pPr>
            <w:r>
              <w:rPr>
                <w:color w:val="000000"/>
              </w:rPr>
              <w:t>1.40 ± 0.188</w:t>
            </w:r>
          </w:p>
        </w:tc>
        <w:tc>
          <w:tcPr>
            <w:tcW w:w="1701" w:type="dxa"/>
            <w:tcBorders>
              <w:top w:val="nil"/>
              <w:left w:val="nil"/>
              <w:bottom w:val="nil"/>
              <w:right w:val="single" w:sz="8" w:space="0" w:color="000000"/>
            </w:tcBorders>
            <w:vAlign w:val="center"/>
          </w:tcPr>
          <w:p w14:paraId="21328A0F" w14:textId="77777777" w:rsidR="002C2E65" w:rsidRDefault="00000000">
            <w:pPr>
              <w:widowControl/>
              <w:spacing w:line="360" w:lineRule="auto"/>
              <w:jc w:val="center"/>
              <w:rPr>
                <w:color w:val="000000"/>
              </w:rPr>
            </w:pPr>
            <w:r>
              <w:rPr>
                <w:color w:val="000000"/>
              </w:rPr>
              <w:t>2.60 ± 0.408</w:t>
            </w:r>
          </w:p>
        </w:tc>
      </w:tr>
      <w:tr w:rsidR="002C2E65" w14:paraId="3D9CD4EE" w14:textId="77777777">
        <w:trPr>
          <w:trHeight w:val="300"/>
          <w:jc w:val="center"/>
        </w:trPr>
        <w:tc>
          <w:tcPr>
            <w:tcW w:w="1265" w:type="dxa"/>
            <w:tcBorders>
              <w:top w:val="nil"/>
              <w:left w:val="single" w:sz="8" w:space="0" w:color="000000"/>
              <w:bottom w:val="single" w:sz="8" w:space="0" w:color="000000"/>
              <w:right w:val="single" w:sz="4" w:space="0" w:color="000000"/>
            </w:tcBorders>
            <w:shd w:val="clear" w:color="auto" w:fill="D9D9D9"/>
            <w:vAlign w:val="center"/>
          </w:tcPr>
          <w:p w14:paraId="01CC4F3A" w14:textId="77777777" w:rsidR="002C2E65" w:rsidRDefault="00000000">
            <w:pPr>
              <w:widowControl/>
              <w:spacing w:line="360" w:lineRule="auto"/>
              <w:rPr>
                <w:color w:val="000000"/>
              </w:rPr>
            </w:pPr>
            <w:r>
              <w:rPr>
                <w:color w:val="000000"/>
              </w:rPr>
              <w:t>Parcela 4</w:t>
            </w:r>
          </w:p>
        </w:tc>
        <w:tc>
          <w:tcPr>
            <w:tcW w:w="1702" w:type="dxa"/>
            <w:tcBorders>
              <w:top w:val="nil"/>
              <w:left w:val="single" w:sz="4" w:space="0" w:color="000000"/>
              <w:bottom w:val="single" w:sz="8" w:space="0" w:color="000000"/>
              <w:right w:val="nil"/>
            </w:tcBorders>
            <w:vAlign w:val="center"/>
          </w:tcPr>
          <w:p w14:paraId="160809FD" w14:textId="77777777" w:rsidR="002C2E65" w:rsidRDefault="00000000">
            <w:pPr>
              <w:widowControl/>
              <w:spacing w:line="360" w:lineRule="auto"/>
              <w:jc w:val="center"/>
              <w:rPr>
                <w:color w:val="000000"/>
              </w:rPr>
            </w:pPr>
            <w:r>
              <w:rPr>
                <w:color w:val="000000"/>
              </w:rPr>
              <w:t>1.14 ± 0.072</w:t>
            </w:r>
          </w:p>
        </w:tc>
        <w:tc>
          <w:tcPr>
            <w:tcW w:w="1560" w:type="dxa"/>
            <w:tcBorders>
              <w:top w:val="nil"/>
              <w:left w:val="nil"/>
              <w:bottom w:val="single" w:sz="8" w:space="0" w:color="000000"/>
              <w:right w:val="nil"/>
            </w:tcBorders>
            <w:vAlign w:val="center"/>
          </w:tcPr>
          <w:p w14:paraId="4D73DEF1" w14:textId="77777777" w:rsidR="002C2E65" w:rsidRDefault="00000000">
            <w:pPr>
              <w:widowControl/>
              <w:spacing w:line="360" w:lineRule="auto"/>
              <w:jc w:val="center"/>
              <w:rPr>
                <w:color w:val="000000"/>
              </w:rPr>
            </w:pPr>
            <w:r>
              <w:rPr>
                <w:color w:val="000000"/>
              </w:rPr>
              <w:t>1.16 ± 0.109</w:t>
            </w:r>
          </w:p>
        </w:tc>
        <w:tc>
          <w:tcPr>
            <w:tcW w:w="1701" w:type="dxa"/>
            <w:tcBorders>
              <w:top w:val="nil"/>
              <w:left w:val="nil"/>
              <w:bottom w:val="single" w:sz="8" w:space="0" w:color="000000"/>
              <w:right w:val="single" w:sz="8" w:space="0" w:color="000000"/>
            </w:tcBorders>
            <w:vAlign w:val="center"/>
          </w:tcPr>
          <w:p w14:paraId="713C9E96" w14:textId="77777777" w:rsidR="002C2E65" w:rsidRDefault="00000000">
            <w:pPr>
              <w:widowControl/>
              <w:spacing w:line="360" w:lineRule="auto"/>
              <w:jc w:val="center"/>
              <w:rPr>
                <w:color w:val="000000"/>
              </w:rPr>
            </w:pPr>
            <w:r>
              <w:rPr>
                <w:color w:val="000000"/>
              </w:rPr>
              <w:t>2.24 ± 0.261</w:t>
            </w:r>
          </w:p>
        </w:tc>
      </w:tr>
      <w:tr w:rsidR="002C2E65" w14:paraId="0589318B" w14:textId="77777777">
        <w:trPr>
          <w:trHeight w:val="300"/>
          <w:jc w:val="center"/>
        </w:trPr>
        <w:tc>
          <w:tcPr>
            <w:tcW w:w="6228" w:type="dxa"/>
            <w:gridSpan w:val="4"/>
            <w:tcBorders>
              <w:top w:val="single" w:sz="8" w:space="0" w:color="000000"/>
              <w:left w:val="single" w:sz="8" w:space="0" w:color="000000"/>
              <w:bottom w:val="single" w:sz="8" w:space="0" w:color="000000"/>
              <w:right w:val="single" w:sz="8" w:space="0" w:color="000000"/>
            </w:tcBorders>
            <w:shd w:val="clear" w:color="auto" w:fill="D9D9D9"/>
            <w:vAlign w:val="bottom"/>
          </w:tcPr>
          <w:p w14:paraId="44A192CA" w14:textId="77777777" w:rsidR="002C2E65" w:rsidRDefault="00000000">
            <w:pPr>
              <w:widowControl/>
              <w:spacing w:line="360" w:lineRule="auto"/>
              <w:jc w:val="center"/>
              <w:rPr>
                <w:rFonts w:ascii="Aptos Narrow" w:eastAsia="Aptos Narrow" w:hAnsi="Aptos Narrow" w:cs="Aptos Narrow"/>
                <w:color w:val="000000"/>
              </w:rPr>
            </w:pPr>
            <w:r>
              <w:rPr>
                <w:b/>
                <w:bCs/>
                <w:color w:val="000000"/>
              </w:rPr>
              <w:t>2ª avaliação</w:t>
            </w:r>
          </w:p>
        </w:tc>
      </w:tr>
      <w:tr w:rsidR="002C2E65" w14:paraId="19B1FD64"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7B3E5305" w14:textId="77777777" w:rsidR="002C2E65" w:rsidRDefault="00000000">
            <w:pPr>
              <w:widowControl/>
              <w:spacing w:line="360" w:lineRule="auto"/>
              <w:rPr>
                <w:color w:val="000000"/>
              </w:rPr>
            </w:pPr>
            <w:r>
              <w:rPr>
                <w:color w:val="000000"/>
              </w:rPr>
              <w:t>Parcela 1</w:t>
            </w:r>
          </w:p>
        </w:tc>
        <w:tc>
          <w:tcPr>
            <w:tcW w:w="1702" w:type="dxa"/>
            <w:tcBorders>
              <w:top w:val="nil"/>
              <w:left w:val="single" w:sz="4" w:space="0" w:color="000000"/>
              <w:bottom w:val="nil"/>
              <w:right w:val="nil"/>
            </w:tcBorders>
            <w:vAlign w:val="center"/>
          </w:tcPr>
          <w:p w14:paraId="2103E97E" w14:textId="77777777" w:rsidR="002C2E65" w:rsidRDefault="00000000">
            <w:pPr>
              <w:widowControl/>
              <w:spacing w:line="360" w:lineRule="auto"/>
              <w:jc w:val="center"/>
              <w:rPr>
                <w:color w:val="000000"/>
              </w:rPr>
            </w:pPr>
            <w:r>
              <w:rPr>
                <w:color w:val="000000"/>
              </w:rPr>
              <w:t>0.83 ± 0.061</w:t>
            </w:r>
          </w:p>
        </w:tc>
        <w:tc>
          <w:tcPr>
            <w:tcW w:w="1560" w:type="dxa"/>
            <w:tcBorders>
              <w:top w:val="nil"/>
              <w:left w:val="nil"/>
              <w:bottom w:val="nil"/>
              <w:right w:val="nil"/>
            </w:tcBorders>
            <w:vAlign w:val="center"/>
          </w:tcPr>
          <w:p w14:paraId="2E215839" w14:textId="77777777" w:rsidR="002C2E65" w:rsidRDefault="00000000">
            <w:pPr>
              <w:widowControl/>
              <w:spacing w:line="360" w:lineRule="auto"/>
              <w:jc w:val="center"/>
              <w:rPr>
                <w:color w:val="000000"/>
              </w:rPr>
            </w:pPr>
            <w:r>
              <w:rPr>
                <w:color w:val="000000"/>
              </w:rPr>
              <w:t>0.97 ± 0.032</w:t>
            </w:r>
          </w:p>
        </w:tc>
        <w:tc>
          <w:tcPr>
            <w:tcW w:w="1701" w:type="dxa"/>
            <w:tcBorders>
              <w:top w:val="nil"/>
              <w:left w:val="nil"/>
              <w:bottom w:val="nil"/>
              <w:right w:val="single" w:sz="8" w:space="0" w:color="000000"/>
            </w:tcBorders>
            <w:vAlign w:val="center"/>
          </w:tcPr>
          <w:p w14:paraId="50424731" w14:textId="77777777" w:rsidR="002C2E65" w:rsidRDefault="00000000">
            <w:pPr>
              <w:widowControl/>
              <w:spacing w:line="360" w:lineRule="auto"/>
              <w:jc w:val="center"/>
              <w:rPr>
                <w:color w:val="000000"/>
              </w:rPr>
            </w:pPr>
            <w:r>
              <w:rPr>
                <w:color w:val="000000"/>
              </w:rPr>
              <w:t>1.53 ± 0.129</w:t>
            </w:r>
          </w:p>
        </w:tc>
      </w:tr>
      <w:tr w:rsidR="002C2E65" w14:paraId="0C27A5B8"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5C52AFF5" w14:textId="77777777" w:rsidR="002C2E65" w:rsidRDefault="00000000">
            <w:pPr>
              <w:widowControl/>
              <w:spacing w:line="360" w:lineRule="auto"/>
              <w:rPr>
                <w:color w:val="000000"/>
              </w:rPr>
            </w:pPr>
            <w:r>
              <w:rPr>
                <w:color w:val="000000"/>
              </w:rPr>
              <w:t>Parcela 2</w:t>
            </w:r>
          </w:p>
        </w:tc>
        <w:tc>
          <w:tcPr>
            <w:tcW w:w="1702" w:type="dxa"/>
            <w:tcBorders>
              <w:top w:val="nil"/>
              <w:left w:val="single" w:sz="4" w:space="0" w:color="000000"/>
              <w:bottom w:val="nil"/>
              <w:right w:val="nil"/>
            </w:tcBorders>
            <w:vAlign w:val="center"/>
          </w:tcPr>
          <w:p w14:paraId="6B35208B" w14:textId="77777777" w:rsidR="002C2E65" w:rsidRDefault="00000000">
            <w:pPr>
              <w:widowControl/>
              <w:spacing w:line="360" w:lineRule="auto"/>
              <w:jc w:val="center"/>
              <w:rPr>
                <w:color w:val="000000"/>
              </w:rPr>
            </w:pPr>
            <w:r>
              <w:rPr>
                <w:color w:val="000000"/>
              </w:rPr>
              <w:t>0.97 ± 0.129</w:t>
            </w:r>
          </w:p>
        </w:tc>
        <w:tc>
          <w:tcPr>
            <w:tcW w:w="1560" w:type="dxa"/>
            <w:tcBorders>
              <w:top w:val="nil"/>
              <w:left w:val="nil"/>
              <w:bottom w:val="nil"/>
              <w:right w:val="nil"/>
            </w:tcBorders>
            <w:vAlign w:val="center"/>
          </w:tcPr>
          <w:p w14:paraId="702E6CD4" w14:textId="77777777" w:rsidR="002C2E65" w:rsidRDefault="00000000">
            <w:pPr>
              <w:widowControl/>
              <w:spacing w:line="360" w:lineRule="auto"/>
              <w:jc w:val="center"/>
              <w:rPr>
                <w:color w:val="000000"/>
              </w:rPr>
            </w:pPr>
            <w:r>
              <w:rPr>
                <w:color w:val="000000"/>
              </w:rPr>
              <w:t>1.13 ± 0.110</w:t>
            </w:r>
          </w:p>
        </w:tc>
        <w:tc>
          <w:tcPr>
            <w:tcW w:w="1701" w:type="dxa"/>
            <w:tcBorders>
              <w:top w:val="nil"/>
              <w:left w:val="nil"/>
              <w:bottom w:val="nil"/>
              <w:right w:val="single" w:sz="8" w:space="0" w:color="000000"/>
            </w:tcBorders>
            <w:vAlign w:val="center"/>
          </w:tcPr>
          <w:p w14:paraId="4011F66E" w14:textId="77777777" w:rsidR="002C2E65" w:rsidRDefault="00000000">
            <w:pPr>
              <w:widowControl/>
              <w:spacing w:line="360" w:lineRule="auto"/>
              <w:jc w:val="center"/>
              <w:rPr>
                <w:color w:val="000000"/>
              </w:rPr>
            </w:pPr>
            <w:r>
              <w:rPr>
                <w:color w:val="000000"/>
              </w:rPr>
              <w:t>2.07 ± 0.359</w:t>
            </w:r>
          </w:p>
        </w:tc>
      </w:tr>
      <w:tr w:rsidR="002C2E65" w14:paraId="5D64D374" w14:textId="77777777">
        <w:trPr>
          <w:trHeight w:val="288"/>
          <w:jc w:val="center"/>
        </w:trPr>
        <w:tc>
          <w:tcPr>
            <w:tcW w:w="1265" w:type="dxa"/>
            <w:tcBorders>
              <w:top w:val="nil"/>
              <w:left w:val="single" w:sz="8" w:space="0" w:color="000000"/>
              <w:bottom w:val="nil"/>
              <w:right w:val="single" w:sz="4" w:space="0" w:color="000000"/>
            </w:tcBorders>
            <w:shd w:val="clear" w:color="auto" w:fill="D9D9D9"/>
            <w:vAlign w:val="center"/>
          </w:tcPr>
          <w:p w14:paraId="680D2975" w14:textId="77777777" w:rsidR="002C2E65" w:rsidRDefault="00000000">
            <w:pPr>
              <w:widowControl/>
              <w:spacing w:line="360" w:lineRule="auto"/>
              <w:rPr>
                <w:color w:val="000000"/>
              </w:rPr>
            </w:pPr>
            <w:r>
              <w:rPr>
                <w:color w:val="000000"/>
              </w:rPr>
              <w:t>Parcela 3</w:t>
            </w:r>
          </w:p>
        </w:tc>
        <w:tc>
          <w:tcPr>
            <w:tcW w:w="1702" w:type="dxa"/>
            <w:tcBorders>
              <w:top w:val="nil"/>
              <w:left w:val="single" w:sz="4" w:space="0" w:color="000000"/>
              <w:bottom w:val="nil"/>
              <w:right w:val="nil"/>
            </w:tcBorders>
            <w:vAlign w:val="center"/>
          </w:tcPr>
          <w:p w14:paraId="5BFC4E63" w14:textId="77777777" w:rsidR="002C2E65" w:rsidRDefault="00000000">
            <w:pPr>
              <w:widowControl/>
              <w:spacing w:line="360" w:lineRule="auto"/>
              <w:jc w:val="center"/>
              <w:rPr>
                <w:color w:val="000000"/>
              </w:rPr>
            </w:pPr>
            <w:r>
              <w:rPr>
                <w:color w:val="000000"/>
              </w:rPr>
              <w:t>0.93 ± 0.044</w:t>
            </w:r>
          </w:p>
        </w:tc>
        <w:tc>
          <w:tcPr>
            <w:tcW w:w="1560" w:type="dxa"/>
            <w:tcBorders>
              <w:top w:val="nil"/>
              <w:left w:val="nil"/>
              <w:bottom w:val="nil"/>
              <w:right w:val="nil"/>
            </w:tcBorders>
            <w:vAlign w:val="center"/>
          </w:tcPr>
          <w:p w14:paraId="7958007B" w14:textId="77777777" w:rsidR="002C2E65" w:rsidRDefault="00000000">
            <w:pPr>
              <w:widowControl/>
              <w:spacing w:line="360" w:lineRule="auto"/>
              <w:jc w:val="center"/>
              <w:rPr>
                <w:color w:val="000000"/>
              </w:rPr>
            </w:pPr>
            <w:r>
              <w:rPr>
                <w:color w:val="000000"/>
              </w:rPr>
              <w:t>1.03 ± 0.032</w:t>
            </w:r>
          </w:p>
        </w:tc>
        <w:tc>
          <w:tcPr>
            <w:tcW w:w="1701" w:type="dxa"/>
            <w:tcBorders>
              <w:top w:val="nil"/>
              <w:left w:val="nil"/>
              <w:bottom w:val="nil"/>
              <w:right w:val="single" w:sz="8" w:space="0" w:color="000000"/>
            </w:tcBorders>
            <w:vAlign w:val="center"/>
          </w:tcPr>
          <w:p w14:paraId="40176AB1" w14:textId="77777777" w:rsidR="002C2E65" w:rsidRDefault="00000000">
            <w:pPr>
              <w:widowControl/>
              <w:spacing w:line="360" w:lineRule="auto"/>
              <w:jc w:val="center"/>
              <w:rPr>
                <w:color w:val="000000"/>
              </w:rPr>
            </w:pPr>
            <w:r>
              <w:rPr>
                <w:color w:val="000000"/>
              </w:rPr>
              <w:t>1.63 ± 0.191</w:t>
            </w:r>
          </w:p>
        </w:tc>
      </w:tr>
      <w:tr w:rsidR="002C2E65" w14:paraId="560BAF22" w14:textId="77777777">
        <w:trPr>
          <w:trHeight w:val="300"/>
          <w:jc w:val="center"/>
        </w:trPr>
        <w:tc>
          <w:tcPr>
            <w:tcW w:w="1265" w:type="dxa"/>
            <w:tcBorders>
              <w:top w:val="nil"/>
              <w:left w:val="single" w:sz="8" w:space="0" w:color="000000"/>
              <w:bottom w:val="single" w:sz="8" w:space="0" w:color="000000"/>
              <w:right w:val="single" w:sz="4" w:space="0" w:color="000000"/>
            </w:tcBorders>
            <w:shd w:val="clear" w:color="auto" w:fill="D9D9D9"/>
            <w:vAlign w:val="center"/>
          </w:tcPr>
          <w:p w14:paraId="0010EA1A" w14:textId="77777777" w:rsidR="002C2E65" w:rsidRDefault="00000000">
            <w:pPr>
              <w:widowControl/>
              <w:spacing w:line="360" w:lineRule="auto"/>
              <w:rPr>
                <w:color w:val="000000"/>
              </w:rPr>
            </w:pPr>
            <w:r>
              <w:rPr>
                <w:color w:val="000000"/>
              </w:rPr>
              <w:t>Parcela 4</w:t>
            </w:r>
          </w:p>
        </w:tc>
        <w:tc>
          <w:tcPr>
            <w:tcW w:w="1702" w:type="dxa"/>
            <w:tcBorders>
              <w:top w:val="nil"/>
              <w:left w:val="single" w:sz="4" w:space="0" w:color="000000"/>
              <w:bottom w:val="single" w:sz="8" w:space="0" w:color="000000"/>
              <w:right w:val="nil"/>
            </w:tcBorders>
            <w:vAlign w:val="center"/>
          </w:tcPr>
          <w:p w14:paraId="23F19C92" w14:textId="77777777" w:rsidR="002C2E65" w:rsidRDefault="00000000">
            <w:pPr>
              <w:widowControl/>
              <w:spacing w:line="360" w:lineRule="auto"/>
              <w:jc w:val="center"/>
              <w:rPr>
                <w:color w:val="000000"/>
              </w:rPr>
            </w:pPr>
            <w:r>
              <w:rPr>
                <w:color w:val="000000"/>
              </w:rPr>
              <w:t>0.57 ± 0.093</w:t>
            </w:r>
          </w:p>
        </w:tc>
        <w:tc>
          <w:tcPr>
            <w:tcW w:w="1560" w:type="dxa"/>
            <w:tcBorders>
              <w:top w:val="nil"/>
              <w:left w:val="nil"/>
              <w:bottom w:val="single" w:sz="8" w:space="0" w:color="000000"/>
              <w:right w:val="nil"/>
            </w:tcBorders>
            <w:vAlign w:val="center"/>
          </w:tcPr>
          <w:p w14:paraId="07105E91" w14:textId="77777777" w:rsidR="002C2E65" w:rsidRDefault="00000000">
            <w:pPr>
              <w:widowControl/>
              <w:spacing w:line="360" w:lineRule="auto"/>
              <w:jc w:val="center"/>
              <w:rPr>
                <w:color w:val="000000"/>
              </w:rPr>
            </w:pPr>
            <w:r>
              <w:rPr>
                <w:color w:val="000000"/>
              </w:rPr>
              <w:t>0.97 ± 0.057</w:t>
            </w:r>
          </w:p>
        </w:tc>
        <w:tc>
          <w:tcPr>
            <w:tcW w:w="1701" w:type="dxa"/>
            <w:tcBorders>
              <w:top w:val="nil"/>
              <w:left w:val="nil"/>
              <w:bottom w:val="single" w:sz="8" w:space="0" w:color="000000"/>
              <w:right w:val="single" w:sz="8" w:space="0" w:color="000000"/>
            </w:tcBorders>
            <w:vAlign w:val="center"/>
          </w:tcPr>
          <w:p w14:paraId="1A089368" w14:textId="77777777" w:rsidR="002C2E65" w:rsidRDefault="00000000">
            <w:pPr>
              <w:widowControl/>
              <w:spacing w:line="360" w:lineRule="auto"/>
              <w:jc w:val="center"/>
              <w:rPr>
                <w:color w:val="000000"/>
              </w:rPr>
            </w:pPr>
            <w:r>
              <w:rPr>
                <w:color w:val="000000"/>
              </w:rPr>
              <w:t>1.43 ± 0.132</w:t>
            </w:r>
          </w:p>
        </w:tc>
      </w:tr>
    </w:tbl>
    <w:p w14:paraId="194A8797" w14:textId="77777777" w:rsidR="002C2E65" w:rsidRDefault="00000000">
      <w:pPr>
        <w:pBdr>
          <w:bottom w:val="none" w:sz="0" w:space="8" w:color="000000"/>
        </w:pBdr>
        <w:shd w:val="clear" w:color="auto" w:fill="FFFFFF"/>
        <w:tabs>
          <w:tab w:val="left" w:pos="2500"/>
        </w:tabs>
        <w:spacing w:line="432" w:lineRule="auto"/>
        <w:jc w:val="both"/>
      </w:pPr>
      <w:r>
        <w:t>Médias* seguidas de erro padrão** (</w:t>
      </w:r>
      <w:r>
        <w:rPr>
          <w:i/>
          <w:iCs/>
        </w:rPr>
        <w:t>p ≤ 0,05</w:t>
      </w:r>
      <w:r>
        <w:t>) dos dados amostrados. Fonte: Autor, 2025.</w:t>
      </w:r>
    </w:p>
    <w:p w14:paraId="5B407655" w14:textId="77777777" w:rsidR="002C2E65" w:rsidRDefault="002C2E65">
      <w:pPr>
        <w:pBdr>
          <w:bottom w:val="none" w:sz="0" w:space="8" w:color="000000"/>
        </w:pBdr>
        <w:shd w:val="clear" w:color="auto" w:fill="FFFFFF"/>
        <w:tabs>
          <w:tab w:val="left" w:pos="2500"/>
        </w:tabs>
        <w:spacing w:line="432" w:lineRule="auto"/>
        <w:ind w:firstLine="709"/>
        <w:jc w:val="both"/>
        <w:rPr>
          <w:sz w:val="24"/>
          <w:szCs w:val="24"/>
        </w:rPr>
      </w:pPr>
    </w:p>
    <w:p w14:paraId="530889D9"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Todas as parcelas avaliadas após a 1ª adubação no consorcio apresentaram valores adequados a cultivos vegetais, considerando Parcela 3 como controle (positivo) na parcela dos tratamentos e controle (negativo) indicado na barra laranja do gráfico, representado como uma área adjacente não cultivada dentro da mesma propriedade, mostrando um solo extremamente ácido. Quando observada a comparação de 1ª avaliação e 2ª avaliação das quatro parcelas do solo, ocoreu uma pequena oscilação em NPK, quando oservado valores de PK do controle (negativo), se observa um decrescimo abrupto, Figura 1. </w:t>
      </w:r>
    </w:p>
    <w:p w14:paraId="099D240D"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t xml:space="preserve">Os solos tropicais tendem a apresentar menor CTC, disponibilidade de bases e são frequentemente ácidos, necessitando de correção de acidez e adubação constante ao longo do uso agrícola (Baldotto </w:t>
      </w:r>
      <w:r>
        <w:rPr>
          <w:i/>
          <w:iCs/>
          <w:sz w:val="24"/>
          <w:szCs w:val="24"/>
        </w:rPr>
        <w:t>et al.</w:t>
      </w:r>
      <w:r>
        <w:rPr>
          <w:sz w:val="24"/>
          <w:szCs w:val="24"/>
        </w:rPr>
        <w:t xml:space="preserve"> 2012). O que faz com que adubos orgânicos com pH elevado como ocorre na farinha de osso carbonizada possa ser uma alternativa viável, pois além de auxiliar na correção do pH pode também auxiliar na fertilidade do solo. </w:t>
      </w:r>
    </w:p>
    <w:p w14:paraId="6C7CAE82" w14:textId="77777777" w:rsidR="002C2E65" w:rsidRDefault="00000000">
      <w:pPr>
        <w:pBdr>
          <w:bottom w:val="none" w:sz="0" w:space="8" w:color="000000"/>
        </w:pBdr>
        <w:shd w:val="clear" w:color="auto" w:fill="FFFFFF"/>
        <w:tabs>
          <w:tab w:val="left" w:pos="2500"/>
        </w:tabs>
        <w:spacing w:line="432" w:lineRule="auto"/>
        <w:ind w:firstLine="709"/>
        <w:jc w:val="both"/>
        <w:rPr>
          <w:sz w:val="24"/>
          <w:szCs w:val="24"/>
        </w:rPr>
      </w:pPr>
      <w:r>
        <w:rPr>
          <w:sz w:val="24"/>
          <w:szCs w:val="24"/>
        </w:rPr>
        <w:lastRenderedPageBreak/>
        <w:t>O maior aporte de P e K em área não cultivada e com ocorrência de graminea pode se dar devido a menor exposição do solo a fatores climaticos como vento e água da chuva. Deste modo solos desprotegidos podem necessitar de constantes apostes de matérias orgânica para atingir uma condição nutricional mais favorável as culturas conduzidas na área e sua manutenção, devido a pricipalmente a possibilidade de lixiviação.</w:t>
      </w:r>
    </w:p>
    <w:p w14:paraId="063F9C61" w14:textId="77777777" w:rsidR="002C2E65" w:rsidRDefault="002C2E65">
      <w:pPr>
        <w:pBdr>
          <w:bottom w:val="none" w:sz="0" w:space="8" w:color="000000"/>
        </w:pBdr>
        <w:shd w:val="clear" w:color="auto" w:fill="FFFFFF"/>
        <w:tabs>
          <w:tab w:val="left" w:pos="2500"/>
        </w:tabs>
        <w:spacing w:line="432" w:lineRule="auto"/>
        <w:ind w:firstLine="709"/>
        <w:jc w:val="both"/>
        <w:rPr>
          <w:color w:val="000000"/>
          <w:sz w:val="24"/>
          <w:szCs w:val="24"/>
        </w:rPr>
      </w:pPr>
    </w:p>
    <w:p w14:paraId="515EDF1F" w14:textId="4CF97626" w:rsidR="002C2E65" w:rsidRDefault="00000000">
      <w:pPr>
        <w:pBdr>
          <w:top w:val="nil"/>
          <w:left w:val="nil"/>
          <w:bottom w:val="nil"/>
          <w:right w:val="nil"/>
          <w:between w:val="nil"/>
        </w:pBdr>
        <w:spacing w:after="200"/>
        <w:jc w:val="both"/>
        <w:rPr>
          <w:color w:val="000000"/>
          <w:sz w:val="24"/>
          <w:szCs w:val="24"/>
        </w:rPr>
      </w:pPr>
      <w:r>
        <w:rPr>
          <w:color w:val="000000"/>
          <w:sz w:val="24"/>
          <w:szCs w:val="24"/>
        </w:rPr>
        <w:t>Figura .1.</w:t>
      </w:r>
      <w:r w:rsidR="008C1A18">
        <w:rPr>
          <w:color w:val="000000"/>
          <w:sz w:val="24"/>
          <w:szCs w:val="24"/>
        </w:rPr>
        <w:t xml:space="preserve"> </w:t>
      </w:r>
      <w:r>
        <w:rPr>
          <w:color w:val="000000"/>
          <w:sz w:val="24"/>
          <w:szCs w:val="24"/>
        </w:rPr>
        <w:t xml:space="preserve">pH das parcelas após </w:t>
      </w:r>
      <w:r w:rsidR="008C1A18">
        <w:rPr>
          <w:color w:val="000000"/>
          <w:sz w:val="24"/>
          <w:szCs w:val="24"/>
        </w:rPr>
        <w:t xml:space="preserve">as </w:t>
      </w:r>
      <w:r>
        <w:rPr>
          <w:color w:val="000000"/>
          <w:sz w:val="24"/>
          <w:szCs w:val="24"/>
        </w:rPr>
        <w:t>adubaç</w:t>
      </w:r>
      <w:r w:rsidR="008C1A18">
        <w:rPr>
          <w:color w:val="000000"/>
          <w:sz w:val="24"/>
          <w:szCs w:val="24"/>
        </w:rPr>
        <w:t>ões</w:t>
      </w:r>
      <w:r>
        <w:rPr>
          <w:color w:val="000000"/>
          <w:sz w:val="24"/>
          <w:szCs w:val="24"/>
        </w:rPr>
        <w:t xml:space="preserve"> (A); concentração de nitrogênio</w:t>
      </w:r>
      <w:r w:rsidR="008C1A18">
        <w:rPr>
          <w:color w:val="000000"/>
          <w:sz w:val="24"/>
          <w:szCs w:val="24"/>
        </w:rPr>
        <w:t xml:space="preserve"> </w:t>
      </w:r>
      <w:r>
        <w:rPr>
          <w:color w:val="000000"/>
          <w:sz w:val="24"/>
          <w:szCs w:val="24"/>
        </w:rPr>
        <w:t xml:space="preserve">(B); fosforo (C); </w:t>
      </w:r>
      <w:r w:rsidR="008C1A18">
        <w:rPr>
          <w:color w:val="000000"/>
          <w:sz w:val="24"/>
          <w:szCs w:val="24"/>
        </w:rPr>
        <w:t xml:space="preserve">e </w:t>
      </w:r>
      <w:r>
        <w:rPr>
          <w:color w:val="000000"/>
          <w:sz w:val="24"/>
          <w:szCs w:val="24"/>
        </w:rPr>
        <w:t xml:space="preserve">potássio </w:t>
      </w:r>
      <w:r w:rsidR="008C1A18">
        <w:rPr>
          <w:color w:val="000000"/>
          <w:sz w:val="24"/>
          <w:szCs w:val="24"/>
        </w:rPr>
        <w:t>nas avaliações de controle,</w:t>
      </w:r>
      <w:r>
        <w:rPr>
          <w:color w:val="000000"/>
          <w:sz w:val="24"/>
          <w:szCs w:val="24"/>
        </w:rPr>
        <w:t xml:space="preserve"> 1ª e 2ª a</w:t>
      </w:r>
      <w:r w:rsidR="008C1A18">
        <w:rPr>
          <w:color w:val="000000"/>
          <w:sz w:val="24"/>
          <w:szCs w:val="24"/>
        </w:rPr>
        <w:t xml:space="preserve">dubação, apresentadas como </w:t>
      </w:r>
      <w:r>
        <w:rPr>
          <w:color w:val="000000"/>
          <w:sz w:val="24"/>
          <w:szCs w:val="24"/>
        </w:rPr>
        <w:t xml:space="preserve">médias </w:t>
      </w:r>
      <w:r w:rsidR="008C1A18">
        <w:rPr>
          <w:color w:val="000000"/>
        </w:rPr>
        <w:t>±</w:t>
      </w:r>
      <w:r>
        <w:rPr>
          <w:color w:val="000000"/>
          <w:sz w:val="24"/>
          <w:szCs w:val="24"/>
        </w:rPr>
        <w:t xml:space="preserve">erro padrão (p ≤ 0,05) </w:t>
      </w:r>
    </w:p>
    <w:p w14:paraId="3FA296B5" w14:textId="77777777" w:rsidR="002C2E65" w:rsidRDefault="00000000">
      <w:pPr>
        <w:pBdr>
          <w:bottom w:val="none" w:sz="0" w:space="8" w:color="000000"/>
        </w:pBdr>
        <w:shd w:val="clear" w:color="auto" w:fill="FFFFFF"/>
        <w:tabs>
          <w:tab w:val="left" w:pos="2500"/>
        </w:tabs>
        <w:jc w:val="center"/>
        <w:rPr>
          <w:sz w:val="24"/>
          <w:szCs w:val="24"/>
        </w:rPr>
      </w:pPr>
      <w:r>
        <w:rPr>
          <w:noProof/>
        </w:rPr>
        <w:drawing>
          <wp:inline distT="0" distB="0" distL="0" distR="0" wp14:anchorId="670C05F4" wp14:editId="534D5BC6">
            <wp:extent cx="2851150" cy="1854200"/>
            <wp:effectExtent l="0" t="0" r="6350"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9C6979D" wp14:editId="32B35653">
            <wp:extent cx="2800350" cy="1850390"/>
            <wp:effectExtent l="0" t="0" r="0" b="165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25038466" wp14:editId="12FAF328">
            <wp:extent cx="2860040" cy="2082800"/>
            <wp:effectExtent l="0" t="0" r="16510"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404EFE8D" wp14:editId="318849D4">
            <wp:extent cx="2813685" cy="2079625"/>
            <wp:effectExtent l="0" t="0" r="5715"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C6D8D" w14:textId="77777777" w:rsidR="002C2E65" w:rsidRDefault="00000000">
      <w:pPr>
        <w:pBdr>
          <w:bottom w:val="none" w:sz="0" w:space="8" w:color="000000"/>
        </w:pBdr>
        <w:shd w:val="clear" w:color="auto" w:fill="FFFFFF"/>
        <w:tabs>
          <w:tab w:val="left" w:pos="2500"/>
        </w:tabs>
        <w:spacing w:line="432" w:lineRule="auto"/>
        <w:jc w:val="both"/>
      </w:pPr>
      <w:r>
        <w:t>Barra de médias, seguidas de erro padrão (</w:t>
      </w:r>
      <w:r>
        <w:rPr>
          <w:i/>
          <w:iCs/>
        </w:rPr>
        <w:t>p ≤ 0,05</w:t>
      </w:r>
      <w:r>
        <w:t>) dos dados amostrados. Fonte: Autor, 2025.</w:t>
      </w:r>
    </w:p>
    <w:p w14:paraId="4F83A538" w14:textId="77777777" w:rsidR="002C2E65" w:rsidRDefault="002C2E65">
      <w:pPr>
        <w:pBdr>
          <w:bottom w:val="none" w:sz="0" w:space="8" w:color="000000"/>
        </w:pBdr>
        <w:shd w:val="clear" w:color="auto" w:fill="FFFFFF"/>
        <w:tabs>
          <w:tab w:val="left" w:pos="2500"/>
        </w:tabs>
        <w:jc w:val="center"/>
        <w:rPr>
          <w:sz w:val="24"/>
          <w:szCs w:val="24"/>
        </w:rPr>
      </w:pPr>
    </w:p>
    <w:p w14:paraId="08663DDF" w14:textId="77777777" w:rsidR="002C2E65" w:rsidRDefault="00000000">
      <w:pPr>
        <w:widowControl/>
        <w:tabs>
          <w:tab w:val="left" w:pos="1290"/>
        </w:tabs>
        <w:spacing w:after="160" w:line="259" w:lineRule="auto"/>
        <w:jc w:val="both"/>
        <w:rPr>
          <w:b/>
          <w:bCs/>
          <w:sz w:val="24"/>
          <w:szCs w:val="24"/>
        </w:rPr>
      </w:pPr>
      <w:r>
        <w:rPr>
          <w:b/>
          <w:bCs/>
          <w:sz w:val="24"/>
          <w:szCs w:val="24"/>
        </w:rPr>
        <w:t>4. CONSIDERAÇÕES FINAIS</w:t>
      </w:r>
    </w:p>
    <w:p w14:paraId="55605666" w14:textId="77777777" w:rsidR="002C2E65" w:rsidRDefault="00000000">
      <w:pPr>
        <w:spacing w:line="360" w:lineRule="auto"/>
        <w:ind w:firstLine="709"/>
        <w:jc w:val="both"/>
        <w:rPr>
          <w:sz w:val="24"/>
          <w:szCs w:val="24"/>
        </w:rPr>
      </w:pPr>
      <w:r>
        <w:rPr>
          <w:sz w:val="24"/>
          <w:szCs w:val="24"/>
        </w:rPr>
        <w:t xml:space="preserve">Apessar da cama de aviário e a farinha de osso apresentarem as maiores concentração de NPK individualmente, após mistura entre os componentes e incorporação no solo a </w:t>
      </w:r>
      <w:r>
        <w:rPr>
          <w:sz w:val="24"/>
          <w:szCs w:val="24"/>
        </w:rPr>
        <w:lastRenderedPageBreak/>
        <w:t xml:space="preserve">combinação que liberou e conservou por mais tempo o NPK no solo com pH mais adequado a manutenção das culturas de ocorrência na área (açaizeiro e muricizeiro) foi o de esterco bovino e farinha de osso, na Parcela 2, com o aporte crescente observado após segunda adubação. </w:t>
      </w:r>
    </w:p>
    <w:p w14:paraId="6BDF5E58" w14:textId="77777777" w:rsidR="002C2E65" w:rsidRDefault="002C2E65">
      <w:pPr>
        <w:widowControl/>
        <w:tabs>
          <w:tab w:val="left" w:pos="1290"/>
        </w:tabs>
        <w:spacing w:after="160" w:line="259" w:lineRule="auto"/>
        <w:jc w:val="both"/>
        <w:rPr>
          <w:b/>
          <w:bCs/>
          <w:sz w:val="24"/>
          <w:szCs w:val="24"/>
        </w:rPr>
      </w:pPr>
    </w:p>
    <w:p w14:paraId="73334742" w14:textId="77777777" w:rsidR="002C2E65" w:rsidRDefault="00000000">
      <w:pPr>
        <w:widowControl/>
        <w:tabs>
          <w:tab w:val="left" w:pos="1290"/>
        </w:tabs>
        <w:spacing w:after="160" w:line="259" w:lineRule="auto"/>
        <w:jc w:val="both"/>
        <w:rPr>
          <w:b/>
          <w:bCs/>
          <w:sz w:val="24"/>
          <w:szCs w:val="24"/>
        </w:rPr>
      </w:pPr>
      <w:commentRangeStart w:id="3"/>
      <w:r>
        <w:rPr>
          <w:b/>
          <w:bCs/>
          <w:sz w:val="24"/>
          <w:szCs w:val="24"/>
        </w:rPr>
        <w:t>REFERÊNCIAS</w:t>
      </w:r>
      <w:commentRangeEnd w:id="3"/>
      <w:r>
        <w:commentReference w:id="3"/>
      </w:r>
    </w:p>
    <w:p w14:paraId="5BD95F82" w14:textId="77777777" w:rsidR="00444817" w:rsidRPr="00444817" w:rsidRDefault="00444817" w:rsidP="00513E2A">
      <w:pPr>
        <w:rPr>
          <w:sz w:val="24"/>
          <w:szCs w:val="24"/>
        </w:rPr>
      </w:pPr>
      <w:r w:rsidRPr="00444817">
        <w:rPr>
          <w:sz w:val="24"/>
          <w:szCs w:val="24"/>
        </w:rPr>
        <w:t>ABNT. NBR 13591: Compostagem. Rio de Janeiro, 1996.</w:t>
      </w:r>
    </w:p>
    <w:p w14:paraId="3D31EA46" w14:textId="77777777" w:rsidR="00444817" w:rsidRPr="00444817" w:rsidRDefault="00444817" w:rsidP="00513E2A">
      <w:pPr>
        <w:rPr>
          <w:sz w:val="24"/>
          <w:szCs w:val="24"/>
        </w:rPr>
      </w:pPr>
    </w:p>
    <w:p w14:paraId="3EF5566C" w14:textId="77777777" w:rsidR="00444817" w:rsidRPr="00444817" w:rsidRDefault="00444817" w:rsidP="00513E2A">
      <w:pPr>
        <w:rPr>
          <w:sz w:val="24"/>
          <w:szCs w:val="24"/>
        </w:rPr>
      </w:pPr>
      <w:r w:rsidRPr="00444817">
        <w:rPr>
          <w:sz w:val="24"/>
          <w:szCs w:val="24"/>
        </w:rPr>
        <w:t>BALDOTTO, M. A.; BALDOTTO, L. E. B.; SANTANA, R. B.; MARCIANO, C. R. Initial performance of maize in response to application of NPK combined with Herbaspirillum seropedicae. Revista Ceres, v. 56, p. 841–849, 2012.</w:t>
      </w:r>
    </w:p>
    <w:p w14:paraId="1140FA3F" w14:textId="77777777" w:rsidR="00444817" w:rsidRPr="00444817" w:rsidRDefault="00444817" w:rsidP="00513E2A">
      <w:pPr>
        <w:rPr>
          <w:sz w:val="24"/>
          <w:szCs w:val="24"/>
        </w:rPr>
      </w:pPr>
    </w:p>
    <w:p w14:paraId="04CCFB29" w14:textId="77777777" w:rsidR="00444817" w:rsidRPr="00444817" w:rsidRDefault="00444817" w:rsidP="00513E2A">
      <w:pPr>
        <w:rPr>
          <w:sz w:val="24"/>
          <w:szCs w:val="24"/>
        </w:rPr>
      </w:pPr>
      <w:r w:rsidRPr="00444817">
        <w:rPr>
          <w:sz w:val="24"/>
          <w:szCs w:val="24"/>
        </w:rPr>
        <w:t>CHEFETZ, B.; CHEN, Y.; HADAR, Y. Purificação e caracterização da lacase de Chaetomium thermophilium e seu papel na humificação. Applied and Environmental Microbiology, v. 64, n. 9, p. 3175–3179, 1998.</w:t>
      </w:r>
    </w:p>
    <w:p w14:paraId="46CC172E" w14:textId="77777777" w:rsidR="00444817" w:rsidRPr="00444817" w:rsidRDefault="00444817" w:rsidP="00513E2A">
      <w:pPr>
        <w:rPr>
          <w:sz w:val="24"/>
          <w:szCs w:val="24"/>
        </w:rPr>
      </w:pPr>
    </w:p>
    <w:p w14:paraId="5D1EB33D" w14:textId="77777777" w:rsidR="00444817" w:rsidRPr="00444817" w:rsidRDefault="00444817" w:rsidP="00513E2A">
      <w:pPr>
        <w:rPr>
          <w:sz w:val="24"/>
          <w:szCs w:val="24"/>
        </w:rPr>
      </w:pPr>
      <w:r w:rsidRPr="00444817">
        <w:rPr>
          <w:sz w:val="24"/>
          <w:szCs w:val="24"/>
        </w:rPr>
        <w:t>FARRELL, C.; ANG, X. Q.; RAYNER, J. P. Water retention additives increase plant available water in green roof substrates. Ecological Engineering, v. 52, p. 112–118, 2013.</w:t>
      </w:r>
    </w:p>
    <w:p w14:paraId="7DCF0F1C" w14:textId="77777777" w:rsidR="00444817" w:rsidRPr="00444817" w:rsidRDefault="00444817" w:rsidP="00513E2A">
      <w:pPr>
        <w:rPr>
          <w:sz w:val="24"/>
          <w:szCs w:val="24"/>
        </w:rPr>
      </w:pPr>
    </w:p>
    <w:p w14:paraId="0B83B137" w14:textId="77777777" w:rsidR="00444817" w:rsidRPr="00444817" w:rsidRDefault="00444817" w:rsidP="00513E2A">
      <w:pPr>
        <w:rPr>
          <w:sz w:val="24"/>
          <w:szCs w:val="24"/>
        </w:rPr>
      </w:pPr>
      <w:r w:rsidRPr="00444817">
        <w:rPr>
          <w:sz w:val="24"/>
          <w:szCs w:val="24"/>
        </w:rPr>
        <w:t>JATANA, B. S.; KITCHENS, C.; RAY, C.; THARAYIL, N. Regulating the nutrient release rates from proteinaceous agricultural byproducts using organic amendments and its effect on soil chemical and microbiological properties. Biology and Fertility of Soils, v. 56, p. 747–758, 2020.</w:t>
      </w:r>
    </w:p>
    <w:p w14:paraId="56325130" w14:textId="77777777" w:rsidR="00444817" w:rsidRPr="00444817" w:rsidRDefault="00444817" w:rsidP="00513E2A">
      <w:pPr>
        <w:rPr>
          <w:sz w:val="24"/>
          <w:szCs w:val="24"/>
        </w:rPr>
      </w:pPr>
    </w:p>
    <w:p w14:paraId="63617FD8" w14:textId="77777777" w:rsidR="00444817" w:rsidRPr="00444817" w:rsidRDefault="00444817" w:rsidP="00513E2A">
      <w:pPr>
        <w:rPr>
          <w:sz w:val="24"/>
          <w:szCs w:val="24"/>
        </w:rPr>
      </w:pPr>
      <w:r w:rsidRPr="00444817">
        <w:rPr>
          <w:sz w:val="24"/>
          <w:szCs w:val="24"/>
        </w:rPr>
        <w:t>LIMA, R. S. et al. Biofertilizantes e controle de patógenos do solo em hortaliças. Agroecologia Científica, v. 8, n. 1, p. 22–29, 2021.</w:t>
      </w:r>
    </w:p>
    <w:p w14:paraId="2E726067" w14:textId="77777777" w:rsidR="00444817" w:rsidRPr="00444817" w:rsidRDefault="00444817" w:rsidP="00513E2A">
      <w:pPr>
        <w:rPr>
          <w:sz w:val="24"/>
          <w:szCs w:val="24"/>
        </w:rPr>
      </w:pPr>
    </w:p>
    <w:p w14:paraId="74E92E93" w14:textId="77777777" w:rsidR="00444817" w:rsidRPr="00444817" w:rsidRDefault="00444817" w:rsidP="00513E2A">
      <w:pPr>
        <w:rPr>
          <w:sz w:val="24"/>
          <w:szCs w:val="24"/>
        </w:rPr>
      </w:pPr>
      <w:r w:rsidRPr="00444817">
        <w:rPr>
          <w:sz w:val="24"/>
          <w:szCs w:val="24"/>
        </w:rPr>
        <w:t>MELO, C. A. S. et al. Desempenho de biofertilizantes em cultivos de alface crespa e americana. Revista Brasileira de Horticultura Sustentável, v. 5, n. 1, p. 31–40, 2023.</w:t>
      </w:r>
    </w:p>
    <w:p w14:paraId="30ACB178" w14:textId="77777777" w:rsidR="00444817" w:rsidRPr="00444817" w:rsidRDefault="00444817" w:rsidP="00513E2A">
      <w:pPr>
        <w:rPr>
          <w:sz w:val="24"/>
          <w:szCs w:val="24"/>
        </w:rPr>
      </w:pPr>
    </w:p>
    <w:p w14:paraId="6C210A01" w14:textId="77777777" w:rsidR="00444817" w:rsidRPr="00444817" w:rsidRDefault="00444817" w:rsidP="00513E2A">
      <w:pPr>
        <w:rPr>
          <w:sz w:val="24"/>
          <w:szCs w:val="24"/>
        </w:rPr>
      </w:pPr>
      <w:r w:rsidRPr="00444817">
        <w:rPr>
          <w:sz w:val="24"/>
          <w:szCs w:val="24"/>
        </w:rPr>
        <w:t>MOURA, J. Desempenho de composteira domiciliar confeccionada a partir de materiais reutilizados. 2018. Trabalho de Conclusão de Curso (Bacharelado em Engenharia Ambiental) — Universidade Tecnológica Federal do Paraná, Francisco Beltrão, 2018.</w:t>
      </w:r>
    </w:p>
    <w:p w14:paraId="4A89B828" w14:textId="77777777" w:rsidR="00444817" w:rsidRPr="00444817" w:rsidRDefault="00444817" w:rsidP="00513E2A">
      <w:pPr>
        <w:rPr>
          <w:sz w:val="24"/>
          <w:szCs w:val="24"/>
        </w:rPr>
      </w:pPr>
    </w:p>
    <w:p w14:paraId="206AB0AC" w14:textId="77777777" w:rsidR="00444817" w:rsidRPr="00444817" w:rsidRDefault="00444817" w:rsidP="00513E2A">
      <w:pPr>
        <w:rPr>
          <w:sz w:val="24"/>
          <w:szCs w:val="24"/>
        </w:rPr>
      </w:pPr>
      <w:r w:rsidRPr="00444817">
        <w:rPr>
          <w:sz w:val="24"/>
          <w:szCs w:val="24"/>
        </w:rPr>
        <w:t>RUPANI, P. F. et al. Effects of different vermicompost extracts of palm oil mill effluent and palm-pressed fiber mixture on seed germination of mung bean and its relative toxicity. Environmental Science and Pollution Research, v. 25, p. 35805–35810, 2018.</w:t>
      </w:r>
    </w:p>
    <w:p w14:paraId="38087DAB" w14:textId="77777777" w:rsidR="00444817" w:rsidRPr="00444817" w:rsidRDefault="00444817" w:rsidP="00513E2A">
      <w:pPr>
        <w:rPr>
          <w:sz w:val="24"/>
          <w:szCs w:val="24"/>
        </w:rPr>
      </w:pPr>
    </w:p>
    <w:p w14:paraId="38C9D207" w14:textId="77777777" w:rsidR="00444817" w:rsidRPr="00444817" w:rsidRDefault="00444817" w:rsidP="00513E2A">
      <w:pPr>
        <w:rPr>
          <w:sz w:val="24"/>
          <w:szCs w:val="24"/>
        </w:rPr>
      </w:pPr>
      <w:r w:rsidRPr="00444817">
        <w:rPr>
          <w:sz w:val="24"/>
          <w:szCs w:val="24"/>
        </w:rPr>
        <w:t>SILVA, A. R. et al. Frequency of irrigation with saline water in sugar-apple seedlings produced on substrate with polymer. Revista Brasileira de Engenharia Agrícola e Ambiental, v. 22, n. 12, p. 825–830, 2018.</w:t>
      </w:r>
    </w:p>
    <w:p w14:paraId="318B2645" w14:textId="77777777" w:rsidR="00444817" w:rsidRPr="00444817" w:rsidRDefault="00444817" w:rsidP="00513E2A">
      <w:pPr>
        <w:rPr>
          <w:sz w:val="24"/>
          <w:szCs w:val="24"/>
        </w:rPr>
      </w:pPr>
    </w:p>
    <w:p w14:paraId="5D3F78D9" w14:textId="4247E2BC" w:rsidR="002C2E65" w:rsidRDefault="00444817" w:rsidP="00513E2A">
      <w:pPr>
        <w:rPr>
          <w:sz w:val="24"/>
          <w:szCs w:val="24"/>
        </w:rPr>
      </w:pPr>
      <w:r w:rsidRPr="00444817">
        <w:rPr>
          <w:sz w:val="24"/>
          <w:szCs w:val="24"/>
        </w:rPr>
        <w:t xml:space="preserve">SOUZA, L. D.; SOUZA, L. S.; XAVIER, F. A. S. Recomendações de calagem e adubação </w:t>
      </w:r>
      <w:r w:rsidRPr="00444817">
        <w:rPr>
          <w:sz w:val="24"/>
          <w:szCs w:val="24"/>
        </w:rPr>
        <w:lastRenderedPageBreak/>
        <w:t>para abacaxi, acerola, banana, citros, mamão, mandioca, manga e maracujá. 2. ed. Brasília: Embrapa, 2021. p. 30–32.</w:t>
      </w:r>
    </w:p>
    <w:sectPr w:rsidR="002C2E65">
      <w:headerReference w:type="default" r:id="rId13"/>
      <w:footerReference w:type="default" r:id="rId14"/>
      <w:pgSz w:w="1191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ônimo" w:date="2025-10-30T14:49:00Z" w:initials="">
    <w:p w14:paraId="12F6D7A6" w14:textId="77777777" w:rsidR="002C2E6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Sugere-se colocar palavras unitárias e não compostas.</w:t>
      </w:r>
    </w:p>
  </w:comment>
  <w:comment w:id="1" w:author="Anônimo" w:date="2025-10-30T14:49:00Z" w:initials="">
    <w:p w14:paraId="22BBA8A3" w14:textId="77777777" w:rsidR="002C2E6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 </w:t>
      </w:r>
      <w:r>
        <w:rPr>
          <w:rFonts w:ascii="Arial" w:eastAsia="Arial" w:hAnsi="Arial" w:cs="Arial"/>
          <w:color w:val="000000"/>
        </w:rPr>
        <w:t>formato da citação não está conforme a nova ABNT, para ir aos anais, faz-se necessário corrigir.</w:t>
      </w:r>
    </w:p>
  </w:comment>
  <w:comment w:id="2" w:author="Anônimo" w:date="2025-10-30T14:50:00Z" w:initials="">
    <w:p w14:paraId="14414AF0" w14:textId="77777777" w:rsidR="002C2E6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Consulte </w:t>
      </w:r>
      <w:r>
        <w:rPr>
          <w:rFonts w:ascii="Arial" w:eastAsia="Arial" w:hAnsi="Arial" w:cs="Arial"/>
          <w:color w:val="000000"/>
        </w:rPr>
        <w:t>a nova ABNT : EXEMPLOS https://biblioteca.pucrs.br/noticias/atualizacao-da-norma-de-citacoes-da-abnt-nbr-10520-julho-2023/</w:t>
      </w:r>
    </w:p>
  </w:comment>
  <w:comment w:id="3" w:author="Anônimo" w:date="2025-10-30T14:55:00Z" w:initials="">
    <w:p w14:paraId="04CA34E2" w14:textId="77777777" w:rsidR="002C2E6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Não está de acordo com a norma da ABNT para publicação nos anais.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F6D7A6" w15:done="0"/>
  <w15:commentEx w15:paraId="22BBA8A3" w15:done="0"/>
  <w15:commentEx w15:paraId="14414AF0" w15:done="0"/>
  <w15:commentEx w15:paraId="04CA34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F6D7A6" w16cid:durableId="2CD40655"/>
  <w16cid:commentId w16cid:paraId="22BBA8A3" w16cid:durableId="2CD40656"/>
  <w16cid:commentId w16cid:paraId="14414AF0" w16cid:durableId="2CD40657"/>
  <w16cid:commentId w16cid:paraId="04CA34E2" w16cid:durableId="2CD406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5E5C1" w14:textId="77777777" w:rsidR="00152C34" w:rsidRDefault="00152C34">
      <w:r>
        <w:separator/>
      </w:r>
    </w:p>
  </w:endnote>
  <w:endnote w:type="continuationSeparator" w:id="0">
    <w:p w14:paraId="4E708FA1" w14:textId="77777777" w:rsidR="00152C34" w:rsidRDefault="0015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87FDC69-43AD-4BE6-87F7-C8A831A7C355}"/>
  </w:font>
  <w:font w:name="Arial">
    <w:panose1 w:val="020B0604020202020204"/>
    <w:charset w:val="00"/>
    <w:family w:val="swiss"/>
    <w:pitch w:val="variable"/>
    <w:sig w:usb0="E0002EFF" w:usb1="C000785B" w:usb2="00000009" w:usb3="00000000" w:csb0="000001FF" w:csb1="00000000"/>
  </w:font>
  <w:font w:name="Aptos Narrow">
    <w:altName w:val="Aptos Narrow"/>
    <w:charset w:val="00"/>
    <w:family w:val="swiss"/>
    <w:pitch w:val="variable"/>
    <w:sig w:usb0="20000287" w:usb1="00000003" w:usb2="00000000" w:usb3="00000000" w:csb0="0000019F" w:csb1="00000000"/>
    <w:embedRegular r:id="rId2" w:fontKey="{4F4202CE-112B-4F55-A009-6F0511F70F59}"/>
  </w:font>
  <w:font w:name="Calibri">
    <w:panose1 w:val="020F0502020204030204"/>
    <w:charset w:val="00"/>
    <w:family w:val="swiss"/>
    <w:pitch w:val="variable"/>
    <w:sig w:usb0="E4002EFF" w:usb1="C000247B" w:usb2="00000009" w:usb3="00000000" w:csb0="000001FF" w:csb1="00000000"/>
    <w:embedRegular r:id="rId3" w:fontKey="{7A520BE9-3AA8-40A9-8EEB-F33A4B75D1C3}"/>
  </w:font>
  <w:font w:name="Cambria">
    <w:panose1 w:val="02040503050406030204"/>
    <w:charset w:val="00"/>
    <w:family w:val="roman"/>
    <w:pitch w:val="variable"/>
    <w:sig w:usb0="E00006FF" w:usb1="420024FF" w:usb2="02000000" w:usb3="00000000" w:csb0="0000019F" w:csb1="00000000"/>
    <w:embedRegular r:id="rId4" w:fontKey="{D0A50715-C2B3-4B44-80B4-DF52635E2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C357" w14:textId="77777777" w:rsidR="002C2E65"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28C7EF4" wp14:editId="32EF20AC">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285" cy="3352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AC52BA5" wp14:editId="19282585">
          <wp:simplePos x="0" y="0"/>
          <wp:positionH relativeFrom="column">
            <wp:posOffset>2</wp:posOffset>
          </wp:positionH>
          <wp:positionV relativeFrom="paragraph">
            <wp:posOffset>6350</wp:posOffset>
          </wp:positionV>
          <wp:extent cx="600075" cy="191770"/>
          <wp:effectExtent l="0" t="0" r="0" b="0"/>
          <wp:wrapSquare wrapText="bothSides" distT="0" distB="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4342B38" wp14:editId="506ADD42">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EB7059E" wp14:editId="3E5F53AB">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A1995B8" wp14:editId="7291A26F">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11806C" wp14:editId="32789211">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14400" cy="3536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6F89" w14:textId="77777777" w:rsidR="00152C34" w:rsidRDefault="00152C34">
      <w:r>
        <w:separator/>
      </w:r>
    </w:p>
  </w:footnote>
  <w:footnote w:type="continuationSeparator" w:id="0">
    <w:p w14:paraId="433D5D84" w14:textId="77777777" w:rsidR="00152C34" w:rsidRDefault="00152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A1D" w14:textId="77777777" w:rsidR="002C2E65"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125CE997" wp14:editId="117A0E8A">
          <wp:extent cx="3253105" cy="1610360"/>
          <wp:effectExtent l="0" t="0" r="0" b="0"/>
          <wp:docPr id="7" name="image3.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E65"/>
    <w:rsid w:val="000C43D6"/>
    <w:rsid w:val="00152C34"/>
    <w:rsid w:val="002C2E65"/>
    <w:rsid w:val="00444817"/>
    <w:rsid w:val="00513E2A"/>
    <w:rsid w:val="008C1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EA57"/>
  <w15:docId w15:val="{52291B00-2D8B-4946-9754-96B341FC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chart" Target="charts/chart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d97f3346c2fd488/&#193;rea%20de%20Trabalho/Evento%20de%20Ambiental/Adriano/Pasta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d97f3346c2fd488/&#193;rea%20de%20Trabalho/Evento%20de%20Ambiental/Adriano/Pasta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d97f3346c2fd488/&#193;rea%20de%20Trabalho/Evento%20de%20Ambiental/Adriano/Pasta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1d97f3346c2fd488/&#193;rea%20de%20Trabalho/Evento%20de%20Ambiental/Adriano/Pasta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08073935078829"/>
          <c:y val="7.8347578347578342E-2"/>
          <c:w val="0.78869999824632164"/>
          <c:h val="0.74332811818718103"/>
        </c:manualLayout>
      </c:layout>
      <c:barChart>
        <c:barDir val="col"/>
        <c:grouping val="clustered"/>
        <c:varyColors val="0"/>
        <c:ser>
          <c:idx val="0"/>
          <c:order val="0"/>
          <c:tx>
            <c:strRef>
              <c:f>'pH jan'!$G$2</c:f>
              <c:strCache>
                <c:ptCount val="1"/>
                <c:pt idx="0">
                  <c:v>Média</c:v>
                </c:pt>
              </c:strCache>
            </c:strRef>
          </c:tx>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9079-4CD9-9271-6EED44F865BB}"/>
              </c:ext>
            </c:extLst>
          </c:dPt>
          <c:dLbls>
            <c:dLbl>
              <c:idx val="0"/>
              <c:layout>
                <c:manualLayout>
                  <c:x val="2.2768407287070031E-17"/>
                  <c:y val="-3.0165912518853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79-4CD9-9271-6EED44F865BB}"/>
                </c:ext>
              </c:extLst>
            </c:dLbl>
            <c:dLbl>
              <c:idx val="1"/>
              <c:layout>
                <c:manualLayout>
                  <c:x val="0"/>
                  <c:y val="-1.508295625942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79-4CD9-9271-6EED44F865BB}"/>
                </c:ext>
              </c:extLst>
            </c:dLbl>
            <c:dLbl>
              <c:idx val="2"/>
              <c:layout>
                <c:manualLayout>
                  <c:x val="0"/>
                  <c:y val="-2.01106083459024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79-4CD9-9271-6EED44F865BB}"/>
                </c:ext>
              </c:extLst>
            </c:dLbl>
            <c:dLbl>
              <c:idx val="3"/>
              <c:layout>
                <c:manualLayout>
                  <c:x val="0"/>
                  <c:y val="-1.508295625942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9-4CD9-9271-6EED44F865BB}"/>
                </c:ext>
              </c:extLst>
            </c:dLbl>
            <c:dLbl>
              <c:idx val="4"/>
              <c:layout>
                <c:manualLayout>
                  <c:x val="2.4838549428713363E-3"/>
                  <c:y val="-2.5138260432378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79-4CD9-9271-6EED44F865B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'pH jan'!$F$3:$F$7</c:f>
              <c:strCache>
                <c:ptCount val="5"/>
                <c:pt idx="0">
                  <c:v>Parcela 1</c:v>
                </c:pt>
                <c:pt idx="1">
                  <c:v>Parcela 2</c:v>
                </c:pt>
                <c:pt idx="2">
                  <c:v>Parcela 3</c:v>
                </c:pt>
                <c:pt idx="3">
                  <c:v>Parcela 4</c:v>
                </c:pt>
                <c:pt idx="4">
                  <c:v>Controle</c:v>
                </c:pt>
              </c:strCache>
            </c:strRef>
          </c:cat>
          <c:val>
            <c:numRef>
              <c:f>'pH jan'!$G$3:$G$7</c:f>
              <c:numCache>
                <c:formatCode>0.00</c:formatCode>
                <c:ptCount val="5"/>
                <c:pt idx="0">
                  <c:v>6.8520000000000003</c:v>
                </c:pt>
                <c:pt idx="1">
                  <c:v>6.9240000000000013</c:v>
                </c:pt>
                <c:pt idx="2">
                  <c:v>6.7039999999999997</c:v>
                </c:pt>
                <c:pt idx="3">
                  <c:v>6.5879999999999992</c:v>
                </c:pt>
                <c:pt idx="4" formatCode="General">
                  <c:v>4.5</c:v>
                </c:pt>
              </c:numCache>
            </c:numRef>
          </c:val>
          <c:extLst>
            <c:ext xmlns:c16="http://schemas.microsoft.com/office/drawing/2014/chart" uri="{C3380CC4-5D6E-409C-BE32-E72D297353CC}">
              <c16:uniqueId val="{00000003-9079-4CD9-9271-6EED44F865BB}"/>
            </c:ext>
          </c:extLst>
        </c:ser>
        <c:dLbls>
          <c:dLblPos val="outEnd"/>
          <c:showLegendKey val="0"/>
          <c:showVal val="1"/>
          <c:showCatName val="0"/>
          <c:showSerName val="0"/>
          <c:showPercent val="0"/>
          <c:showBubbleSize val="0"/>
        </c:dLbls>
        <c:gapWidth val="219"/>
        <c:overlap val="-27"/>
        <c:axId val="618256432"/>
        <c:axId val="618257392"/>
      </c:barChart>
      <c:catAx>
        <c:axId val="6182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57392"/>
        <c:crosses val="autoZero"/>
        <c:auto val="1"/>
        <c:lblAlgn val="ctr"/>
        <c:lblOffset val="100"/>
        <c:noMultiLvlLbl val="0"/>
      </c:catAx>
      <c:valAx>
        <c:axId val="618257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pH do solo</a:t>
                </a:r>
              </a:p>
            </c:rich>
          </c:tx>
          <c:layout>
            <c:manualLayout>
              <c:xMode val="edge"/>
              <c:yMode val="edge"/>
              <c:x val="1.5870788979885299E-3"/>
              <c:y val="0.16484144105274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61825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18969057439249"/>
          <c:y val="7.549759780370624E-2"/>
          <c:w val="0.76913457246415629"/>
          <c:h val="0.62472884094704362"/>
        </c:manualLayout>
      </c:layout>
      <c:barChart>
        <c:barDir val="col"/>
        <c:grouping val="clustered"/>
        <c:varyColors val="0"/>
        <c:ser>
          <c:idx val="0"/>
          <c:order val="0"/>
          <c:tx>
            <c:strRef>
              <c:f>notas!$M$1</c:f>
              <c:strCache>
                <c:ptCount val="1"/>
                <c:pt idx="0">
                  <c:v>N (1ª avaliação)</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notas!$K$2:$K$5</c:f>
              <c:strCache>
                <c:ptCount val="4"/>
                <c:pt idx="0">
                  <c:v>Parcela 1</c:v>
                </c:pt>
                <c:pt idx="1">
                  <c:v>Parcela 2</c:v>
                </c:pt>
                <c:pt idx="2">
                  <c:v>Parcela 3</c:v>
                </c:pt>
                <c:pt idx="3">
                  <c:v>Parcela 4</c:v>
                </c:pt>
              </c:strCache>
            </c:strRef>
          </c:cat>
          <c:val>
            <c:numRef>
              <c:f>notas!$M$2:$M$5</c:f>
              <c:numCache>
                <c:formatCode>General</c:formatCode>
                <c:ptCount val="4"/>
                <c:pt idx="0">
                  <c:v>0.92</c:v>
                </c:pt>
                <c:pt idx="1">
                  <c:v>0.92</c:v>
                </c:pt>
                <c:pt idx="2">
                  <c:v>1.2</c:v>
                </c:pt>
                <c:pt idx="3">
                  <c:v>1.1399999999999999</c:v>
                </c:pt>
              </c:numCache>
            </c:numRef>
          </c:val>
          <c:extLst>
            <c:ext xmlns:c16="http://schemas.microsoft.com/office/drawing/2014/chart" uri="{C3380CC4-5D6E-409C-BE32-E72D297353CC}">
              <c16:uniqueId val="{00000000-A9F0-4577-ABC0-5CD06E2A98C9}"/>
            </c:ext>
          </c:extLst>
        </c:ser>
        <c:ser>
          <c:idx val="1"/>
          <c:order val="1"/>
          <c:tx>
            <c:strRef>
              <c:f>notas!$N$1</c:f>
              <c:strCache>
                <c:ptCount val="1"/>
                <c:pt idx="0">
                  <c:v>N (2ª avaliação)</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notas!$K$2:$K$5</c:f>
              <c:strCache>
                <c:ptCount val="4"/>
                <c:pt idx="0">
                  <c:v>Parcela 1</c:v>
                </c:pt>
                <c:pt idx="1">
                  <c:v>Parcela 2</c:v>
                </c:pt>
                <c:pt idx="2">
                  <c:v>Parcela 3</c:v>
                </c:pt>
                <c:pt idx="3">
                  <c:v>Parcela 4</c:v>
                </c:pt>
              </c:strCache>
            </c:strRef>
          </c:cat>
          <c:val>
            <c:numRef>
              <c:f>notas!$N$2:$N$5</c:f>
              <c:numCache>
                <c:formatCode>General</c:formatCode>
                <c:ptCount val="4"/>
                <c:pt idx="0">
                  <c:v>0.83</c:v>
                </c:pt>
                <c:pt idx="1">
                  <c:v>0.97</c:v>
                </c:pt>
                <c:pt idx="2">
                  <c:v>0.93</c:v>
                </c:pt>
                <c:pt idx="3">
                  <c:v>0.56999999999999995</c:v>
                </c:pt>
              </c:numCache>
            </c:numRef>
          </c:val>
          <c:extLst>
            <c:ext xmlns:c16="http://schemas.microsoft.com/office/drawing/2014/chart" uri="{C3380CC4-5D6E-409C-BE32-E72D297353CC}">
              <c16:uniqueId val="{00000001-A9F0-4577-ABC0-5CD06E2A98C9}"/>
            </c:ext>
          </c:extLst>
        </c:ser>
        <c:dLbls>
          <c:showLegendKey val="0"/>
          <c:showVal val="0"/>
          <c:showCatName val="0"/>
          <c:showSerName val="0"/>
          <c:showPercent val="0"/>
          <c:showBubbleSize val="0"/>
        </c:dLbls>
        <c:gapWidth val="219"/>
        <c:overlap val="-27"/>
        <c:axId val="1996239119"/>
        <c:axId val="1996240559"/>
      </c:barChart>
      <c:catAx>
        <c:axId val="199623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996240559"/>
        <c:crosses val="autoZero"/>
        <c:auto val="1"/>
        <c:lblAlgn val="ctr"/>
        <c:lblOffset val="100"/>
        <c:noMultiLvlLbl val="0"/>
      </c:catAx>
      <c:valAx>
        <c:axId val="19962405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N (mg/kg de solo)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99623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8150651522545"/>
          <c:y val="6.4814814814814811E-2"/>
          <c:w val="0.82541467951497183"/>
          <c:h val="0.6379702537182852"/>
        </c:manualLayout>
      </c:layout>
      <c:barChart>
        <c:barDir val="col"/>
        <c:grouping val="clustered"/>
        <c:varyColors val="0"/>
        <c:ser>
          <c:idx val="0"/>
          <c:order val="0"/>
          <c:tx>
            <c:strRef>
              <c:f>notas!$L$7</c:f>
              <c:strCache>
                <c:ptCount val="1"/>
                <c:pt idx="0">
                  <c:v>P (controle)</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notas!$K$8:$K$11</c:f>
              <c:strCache>
                <c:ptCount val="4"/>
                <c:pt idx="0">
                  <c:v>Parcela 1</c:v>
                </c:pt>
                <c:pt idx="1">
                  <c:v>Parcela 2</c:v>
                </c:pt>
                <c:pt idx="2">
                  <c:v>Parcela 3</c:v>
                </c:pt>
                <c:pt idx="3">
                  <c:v>Parcela 4</c:v>
                </c:pt>
              </c:strCache>
            </c:strRef>
          </c:cat>
          <c:val>
            <c:numRef>
              <c:f>notas!$L$8:$L$11</c:f>
              <c:numCache>
                <c:formatCode>General</c:formatCode>
                <c:ptCount val="4"/>
                <c:pt idx="0">
                  <c:v>2.7</c:v>
                </c:pt>
                <c:pt idx="1">
                  <c:v>2.7</c:v>
                </c:pt>
                <c:pt idx="2">
                  <c:v>2.7</c:v>
                </c:pt>
                <c:pt idx="3">
                  <c:v>2.7</c:v>
                </c:pt>
              </c:numCache>
            </c:numRef>
          </c:val>
          <c:extLst>
            <c:ext xmlns:c16="http://schemas.microsoft.com/office/drawing/2014/chart" uri="{C3380CC4-5D6E-409C-BE32-E72D297353CC}">
              <c16:uniqueId val="{00000000-E337-4DDF-A0F5-F6A810A6A1BA}"/>
            </c:ext>
          </c:extLst>
        </c:ser>
        <c:ser>
          <c:idx val="1"/>
          <c:order val="1"/>
          <c:tx>
            <c:strRef>
              <c:f>notas!$M$7</c:f>
              <c:strCache>
                <c:ptCount val="1"/>
                <c:pt idx="0">
                  <c:v>P (1ª avaliação)</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notas!$K$8:$K$11</c:f>
              <c:strCache>
                <c:ptCount val="4"/>
                <c:pt idx="0">
                  <c:v>Parcela 1</c:v>
                </c:pt>
                <c:pt idx="1">
                  <c:v>Parcela 2</c:v>
                </c:pt>
                <c:pt idx="2">
                  <c:v>Parcela 3</c:v>
                </c:pt>
                <c:pt idx="3">
                  <c:v>Parcela 4</c:v>
                </c:pt>
              </c:strCache>
            </c:strRef>
          </c:cat>
          <c:val>
            <c:numRef>
              <c:f>notas!$M$8:$M$11</c:f>
              <c:numCache>
                <c:formatCode>General</c:formatCode>
                <c:ptCount val="4"/>
                <c:pt idx="0">
                  <c:v>1.76</c:v>
                </c:pt>
                <c:pt idx="1">
                  <c:v>1</c:v>
                </c:pt>
                <c:pt idx="2">
                  <c:v>1.4</c:v>
                </c:pt>
                <c:pt idx="3">
                  <c:v>1.1599999999999999</c:v>
                </c:pt>
              </c:numCache>
            </c:numRef>
          </c:val>
          <c:extLst>
            <c:ext xmlns:c16="http://schemas.microsoft.com/office/drawing/2014/chart" uri="{C3380CC4-5D6E-409C-BE32-E72D297353CC}">
              <c16:uniqueId val="{00000001-E337-4DDF-A0F5-F6A810A6A1BA}"/>
            </c:ext>
          </c:extLst>
        </c:ser>
        <c:ser>
          <c:idx val="2"/>
          <c:order val="2"/>
          <c:tx>
            <c:strRef>
              <c:f>notas!$N$7</c:f>
              <c:strCache>
                <c:ptCount val="1"/>
                <c:pt idx="0">
                  <c:v>P (2ª avaliação)</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notas!$K$8:$K$11</c:f>
              <c:strCache>
                <c:ptCount val="4"/>
                <c:pt idx="0">
                  <c:v>Parcela 1</c:v>
                </c:pt>
                <c:pt idx="1">
                  <c:v>Parcela 2</c:v>
                </c:pt>
                <c:pt idx="2">
                  <c:v>Parcela 3</c:v>
                </c:pt>
                <c:pt idx="3">
                  <c:v>Parcela 4</c:v>
                </c:pt>
              </c:strCache>
            </c:strRef>
          </c:cat>
          <c:val>
            <c:numRef>
              <c:f>notas!$N$8:$N$11</c:f>
              <c:numCache>
                <c:formatCode>General</c:formatCode>
                <c:ptCount val="4"/>
                <c:pt idx="0">
                  <c:v>0.97</c:v>
                </c:pt>
                <c:pt idx="1">
                  <c:v>1.1299999999999999</c:v>
                </c:pt>
                <c:pt idx="2">
                  <c:v>1.03</c:v>
                </c:pt>
                <c:pt idx="3">
                  <c:v>0.97</c:v>
                </c:pt>
              </c:numCache>
            </c:numRef>
          </c:val>
          <c:extLst>
            <c:ext xmlns:c16="http://schemas.microsoft.com/office/drawing/2014/chart" uri="{C3380CC4-5D6E-409C-BE32-E72D297353CC}">
              <c16:uniqueId val="{00000002-E337-4DDF-A0F5-F6A810A6A1BA}"/>
            </c:ext>
          </c:extLst>
        </c:ser>
        <c:dLbls>
          <c:showLegendKey val="0"/>
          <c:showVal val="0"/>
          <c:showCatName val="0"/>
          <c:showSerName val="0"/>
          <c:showPercent val="0"/>
          <c:showBubbleSize val="0"/>
        </c:dLbls>
        <c:gapWidth val="219"/>
        <c:overlap val="-27"/>
        <c:axId val="2027453695"/>
        <c:axId val="2027452255"/>
      </c:barChart>
      <c:catAx>
        <c:axId val="20274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027452255"/>
        <c:crosses val="autoZero"/>
        <c:auto val="1"/>
        <c:lblAlgn val="ctr"/>
        <c:lblOffset val="100"/>
        <c:noMultiLvlLbl val="0"/>
      </c:catAx>
      <c:valAx>
        <c:axId val="202745225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P (mg/kg de solo)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02745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13930304640938"/>
          <c:y val="6.7175572519083973E-2"/>
          <c:w val="0.82893785196281744"/>
          <c:h val="0.66609460840295731"/>
        </c:manualLayout>
      </c:layout>
      <c:barChart>
        <c:barDir val="col"/>
        <c:grouping val="clustered"/>
        <c:varyColors val="0"/>
        <c:ser>
          <c:idx val="0"/>
          <c:order val="0"/>
          <c:tx>
            <c:strRef>
              <c:f>notas!$L$13</c:f>
              <c:strCache>
                <c:ptCount val="1"/>
                <c:pt idx="0">
                  <c:v>K (controle)</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notas!$K$14:$K$17</c:f>
              <c:strCache>
                <c:ptCount val="4"/>
                <c:pt idx="0">
                  <c:v>Parcela 1</c:v>
                </c:pt>
                <c:pt idx="1">
                  <c:v>Parcela 2</c:v>
                </c:pt>
                <c:pt idx="2">
                  <c:v>Parcela 3</c:v>
                </c:pt>
                <c:pt idx="3">
                  <c:v>Parcela 4</c:v>
                </c:pt>
              </c:strCache>
            </c:strRef>
          </c:cat>
          <c:val>
            <c:numRef>
              <c:f>notas!$L$14:$L$17</c:f>
              <c:numCache>
                <c:formatCode>General</c:formatCode>
                <c:ptCount val="4"/>
                <c:pt idx="0">
                  <c:v>25.3</c:v>
                </c:pt>
                <c:pt idx="1">
                  <c:v>25.3</c:v>
                </c:pt>
                <c:pt idx="2">
                  <c:v>25.3</c:v>
                </c:pt>
                <c:pt idx="3">
                  <c:v>25.3</c:v>
                </c:pt>
              </c:numCache>
            </c:numRef>
          </c:val>
          <c:extLst>
            <c:ext xmlns:c16="http://schemas.microsoft.com/office/drawing/2014/chart" uri="{C3380CC4-5D6E-409C-BE32-E72D297353CC}">
              <c16:uniqueId val="{00000000-1E80-43CC-813D-DF35865EB1FF}"/>
            </c:ext>
          </c:extLst>
        </c:ser>
        <c:ser>
          <c:idx val="1"/>
          <c:order val="1"/>
          <c:tx>
            <c:strRef>
              <c:f>notas!$M$13</c:f>
              <c:strCache>
                <c:ptCount val="1"/>
                <c:pt idx="0">
                  <c:v>K (1ª avaliação)</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notas!$K$14:$K$17</c:f>
              <c:strCache>
                <c:ptCount val="4"/>
                <c:pt idx="0">
                  <c:v>Parcela 1</c:v>
                </c:pt>
                <c:pt idx="1">
                  <c:v>Parcela 2</c:v>
                </c:pt>
                <c:pt idx="2">
                  <c:v>Parcela 3</c:v>
                </c:pt>
                <c:pt idx="3">
                  <c:v>Parcela 4</c:v>
                </c:pt>
              </c:strCache>
            </c:strRef>
          </c:cat>
          <c:val>
            <c:numRef>
              <c:f>notas!$M$14:$M$17</c:f>
              <c:numCache>
                <c:formatCode>General</c:formatCode>
                <c:ptCount val="4"/>
                <c:pt idx="0">
                  <c:v>1.56</c:v>
                </c:pt>
                <c:pt idx="1">
                  <c:v>1.84</c:v>
                </c:pt>
                <c:pt idx="2">
                  <c:v>2.6</c:v>
                </c:pt>
                <c:pt idx="3">
                  <c:v>2.2400000000000002</c:v>
                </c:pt>
              </c:numCache>
            </c:numRef>
          </c:val>
          <c:extLst>
            <c:ext xmlns:c16="http://schemas.microsoft.com/office/drawing/2014/chart" uri="{C3380CC4-5D6E-409C-BE32-E72D297353CC}">
              <c16:uniqueId val="{00000001-1E80-43CC-813D-DF35865EB1FF}"/>
            </c:ext>
          </c:extLst>
        </c:ser>
        <c:ser>
          <c:idx val="2"/>
          <c:order val="2"/>
          <c:tx>
            <c:strRef>
              <c:f>notas!$N$13</c:f>
              <c:strCache>
                <c:ptCount val="1"/>
                <c:pt idx="0">
                  <c:v>K (2ª avaliação)</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notas!$K$14:$K$17</c:f>
              <c:strCache>
                <c:ptCount val="4"/>
                <c:pt idx="0">
                  <c:v>Parcela 1</c:v>
                </c:pt>
                <c:pt idx="1">
                  <c:v>Parcela 2</c:v>
                </c:pt>
                <c:pt idx="2">
                  <c:v>Parcela 3</c:v>
                </c:pt>
                <c:pt idx="3">
                  <c:v>Parcela 4</c:v>
                </c:pt>
              </c:strCache>
            </c:strRef>
          </c:cat>
          <c:val>
            <c:numRef>
              <c:f>notas!$N$14:$N$17</c:f>
              <c:numCache>
                <c:formatCode>General</c:formatCode>
                <c:ptCount val="4"/>
                <c:pt idx="0">
                  <c:v>1.53</c:v>
                </c:pt>
                <c:pt idx="1">
                  <c:v>2.0699999999999998</c:v>
                </c:pt>
                <c:pt idx="2">
                  <c:v>1.63</c:v>
                </c:pt>
                <c:pt idx="3">
                  <c:v>1.43</c:v>
                </c:pt>
              </c:numCache>
            </c:numRef>
          </c:val>
          <c:extLst>
            <c:ext xmlns:c16="http://schemas.microsoft.com/office/drawing/2014/chart" uri="{C3380CC4-5D6E-409C-BE32-E72D297353CC}">
              <c16:uniqueId val="{00000002-1E80-43CC-813D-DF35865EB1FF}"/>
            </c:ext>
          </c:extLst>
        </c:ser>
        <c:dLbls>
          <c:showLegendKey val="0"/>
          <c:showVal val="0"/>
          <c:showCatName val="0"/>
          <c:showSerName val="0"/>
          <c:showPercent val="0"/>
          <c:showBubbleSize val="0"/>
        </c:dLbls>
        <c:gapWidth val="219"/>
        <c:overlap val="-27"/>
        <c:axId val="1996200239"/>
        <c:axId val="1996201199"/>
      </c:barChart>
      <c:catAx>
        <c:axId val="19962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996201199"/>
        <c:crosses val="autoZero"/>
        <c:auto val="1"/>
        <c:lblAlgn val="ctr"/>
        <c:lblOffset val="100"/>
        <c:noMultiLvlLbl val="0"/>
      </c:catAx>
      <c:valAx>
        <c:axId val="19962011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K (mg/kg de solo)</a:t>
                </a:r>
              </a:p>
            </c:rich>
          </c:tx>
          <c:layout>
            <c:manualLayout>
              <c:xMode val="edge"/>
              <c:yMode val="edge"/>
              <c:x val="4.6392948271862678E-3"/>
              <c:y val="0.158848830919035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99620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2808</Words>
  <Characters>15169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PMSJP</cp:lastModifiedBy>
  <cp:revision>2</cp:revision>
  <dcterms:created xsi:type="dcterms:W3CDTF">2025-11-28T14:30:00Z</dcterms:created>
  <dcterms:modified xsi:type="dcterms:W3CDTF">2025-11-28T15:36:00Z</dcterms:modified>
</cp:coreProperties>
</file>