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tabs>
          <w:tab w:val="left" w:leader="none" w:pos="2500"/>
        </w:tabs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AVALIAÇÃO DOS EFEITOS DO ÓLEO ESSENCIAL DE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Lippia alba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 DO COMPOSTO GERANIOL SOBRE MARCADORES DE ESTRESSE OXIDATIVO EM FÍGADO E RIM DE CAMUNDONGOS</w:t>
      </w:r>
    </w:p>
    <w:p w:rsidR="00000000" w:rsidDel="00000000" w:rsidP="00000000" w:rsidRDefault="00000000" w:rsidRPr="00000000" w14:paraId="00000002">
      <w:pPr>
        <w:shd w:fill="ffffff" w:val="clear"/>
        <w:tabs>
          <w:tab w:val="left" w:leader="none" w:pos="2500"/>
        </w:tabs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tabs>
          <w:tab w:val="left" w:leader="none" w:pos="2500"/>
        </w:tabs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Maria Juliana da Luz Froz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; Lucas Gabriel Viana Barbosa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; Alexandre Motta da Silva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; Leandra Feliz Santos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sz w:val="24"/>
          <w:szCs w:val="24"/>
          <w:rtl w:val="0"/>
        </w:rPr>
        <w:t xml:space="preserve">;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Pablo Luis Baia Figueiredo</w:t>
      </w:r>
      <w:r w:rsidDel="00000000" w:rsidR="00000000" w:rsidRPr="00000000">
        <w:rPr>
          <w:sz w:val="24"/>
          <w:szCs w:val="24"/>
          <w:u w:val="single"/>
          <w:vertAlign w:val="superscript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2500"/>
        </w:tabs>
        <w:spacing w:after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1 </w:t>
      </w:r>
      <w:r w:rsidDel="00000000" w:rsidR="00000000" w:rsidRPr="00000000">
        <w:rPr>
          <w:sz w:val="24"/>
          <w:szCs w:val="24"/>
          <w:rtl w:val="0"/>
        </w:rPr>
        <w:t xml:space="preserve">Pós-graduando em Ciências Farmacêuticas, Universidade Federal do Pará (UFPA). </w:t>
      </w:r>
      <w:hyperlink r:id="rId6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maria.froz@ics.ufpa.br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2500"/>
        </w:tabs>
        <w:spacing w:after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 Pós-graduando em Ciências Farmacêuticas, Universidade Federal do Pará (UFPA).</w:t>
      </w:r>
    </w:p>
    <w:p w:rsidR="00000000" w:rsidDel="00000000" w:rsidP="00000000" w:rsidRDefault="00000000" w:rsidRPr="00000000" w14:paraId="00000006">
      <w:pPr>
        <w:shd w:fill="ffffff" w:val="clear"/>
        <w:tabs>
          <w:tab w:val="left" w:leader="none" w:pos="2500"/>
        </w:tabs>
        <w:spacing w:after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Acadêmico de Biomedicina. Universidade do Estado do Pará (UEPA).</w:t>
      </w:r>
    </w:p>
    <w:p w:rsidR="00000000" w:rsidDel="00000000" w:rsidP="00000000" w:rsidRDefault="00000000" w:rsidRPr="00000000" w14:paraId="00000007">
      <w:pPr>
        <w:shd w:fill="ffffff" w:val="clear"/>
        <w:tabs>
          <w:tab w:val="left" w:leader="none" w:pos="2500"/>
        </w:tabs>
        <w:spacing w:after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4 </w:t>
      </w:r>
      <w:r w:rsidDel="00000000" w:rsidR="00000000" w:rsidRPr="00000000">
        <w:rPr>
          <w:sz w:val="24"/>
          <w:szCs w:val="24"/>
          <w:rtl w:val="0"/>
        </w:rPr>
        <w:t xml:space="preserve">Acadêmico de Biomedicina. Universidade do Estado do Pará (UEPA).</w:t>
      </w:r>
    </w:p>
    <w:p w:rsidR="00000000" w:rsidDel="00000000" w:rsidP="00000000" w:rsidRDefault="00000000" w:rsidRPr="00000000" w14:paraId="00000008">
      <w:pPr>
        <w:shd w:fill="ffffff" w:val="clear"/>
        <w:tabs>
          <w:tab w:val="left" w:leader="none" w:pos="2500"/>
        </w:tabs>
        <w:spacing w:after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sz w:val="24"/>
          <w:szCs w:val="24"/>
          <w:rtl w:val="0"/>
        </w:rPr>
        <w:t xml:space="preserve"> Professor, Doutor em Química Orgânica, Universidade do Estado do Pará (UEPA).</w:t>
      </w:r>
    </w:p>
    <w:p w:rsidR="00000000" w:rsidDel="00000000" w:rsidP="00000000" w:rsidRDefault="00000000" w:rsidRPr="00000000" w14:paraId="00000009">
      <w:pPr>
        <w:shd w:fill="ffffff" w:val="clear"/>
        <w:tabs>
          <w:tab w:val="left" w:leader="none" w:pos="2500"/>
        </w:tabs>
        <w:spacing w:after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2500"/>
        </w:tabs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espécie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Lippia alba</w:t>
      </w:r>
      <w:r w:rsidDel="00000000" w:rsidR="00000000" w:rsidRPr="00000000">
        <w:rPr>
          <w:sz w:val="24"/>
          <w:szCs w:val="24"/>
          <w:rtl w:val="0"/>
        </w:rPr>
        <w:t xml:space="preserve"> é popularmente conhecida como erva-cidreira, espécie arbustiva e aromática, presente em diversas partes do mundo. Estudos na literatura apontam suas ações biológicas, como: antioxidante, antipirética, anti-inflamatória, analgésica e sedativa. Há relatos da ocorrência da predominância de monoterpenos oxigenados no óleo essencial de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L. alba</w:t>
      </w:r>
      <w:r w:rsidDel="00000000" w:rsidR="00000000" w:rsidRPr="00000000">
        <w:rPr>
          <w:sz w:val="24"/>
          <w:szCs w:val="24"/>
          <w:rtl w:val="0"/>
        </w:rPr>
        <w:t xml:space="preserve">, como geraniol. O geraniol possui diversos efeitos terapêuticos, como anti-inflamatório, antioxidante, </w:t>
      </w:r>
      <w:r w:rsidDel="00000000" w:rsidR="00000000" w:rsidRPr="00000000">
        <w:rPr>
          <w:sz w:val="24"/>
          <w:szCs w:val="24"/>
          <w:rtl w:val="0"/>
        </w:rPr>
        <w:t xml:space="preserve">antiulcerativo</w:t>
      </w:r>
      <w:r w:rsidDel="00000000" w:rsidR="00000000" w:rsidRPr="00000000">
        <w:rPr>
          <w:sz w:val="24"/>
          <w:szCs w:val="24"/>
          <w:rtl w:val="0"/>
        </w:rPr>
        <w:t xml:space="preserve"> e neuroprotetor. As ações antioxidantes destes compostos vêm despertando o interesse de pesquisadores, pois são antioxidantes naturais que desempenham papel fundamental contra o estresse oxidativo e as espécies reativas de oxigênio (EROs). O objetivo deste  trabalho foi avaliar os efeitos do óleo essencial de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Lippia alba</w:t>
      </w:r>
      <w:r w:rsidDel="00000000" w:rsidR="00000000" w:rsidRPr="00000000">
        <w:rPr>
          <w:sz w:val="24"/>
          <w:szCs w:val="24"/>
          <w:rtl w:val="0"/>
        </w:rPr>
        <w:t xml:space="preserve"> e do geraniol sobre os marcadores de estresse oxidativo hepático e renal, visando compreender sua ação dose-dependente no equilíbrio redox. O projeto foi submetido e aprovado ao Comitê de Ética em Uso de Animais da Universidade do Estado do Pará (CEUA/UEPA) sob o n° 11/2023. Para verificar os efeitos do óleo de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L. alba</w:t>
      </w:r>
      <w:r w:rsidDel="00000000" w:rsidR="00000000" w:rsidRPr="00000000">
        <w:rPr>
          <w:sz w:val="24"/>
          <w:szCs w:val="24"/>
          <w:rtl w:val="0"/>
        </w:rPr>
        <w:t xml:space="preserve"> e do geraniol no metabolismo oxidativo, foram separados os camundongos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Mus musculus</w:t>
      </w:r>
      <w:r w:rsidDel="00000000" w:rsidR="00000000" w:rsidRPr="00000000">
        <w:rPr>
          <w:sz w:val="24"/>
          <w:szCs w:val="24"/>
          <w:rtl w:val="0"/>
        </w:rPr>
        <w:t xml:space="preserve"> em grupos de 8 animais, nas doses de 50 mg/kg, </w:t>
      </w:r>
      <w:r w:rsidDel="00000000" w:rsidR="00000000" w:rsidRPr="00000000">
        <w:rPr>
          <w:sz w:val="24"/>
          <w:szCs w:val="24"/>
          <w:rtl w:val="0"/>
        </w:rPr>
        <w:t xml:space="preserve">300 mg</w:t>
      </w:r>
      <w:r w:rsidDel="00000000" w:rsidR="00000000" w:rsidRPr="00000000">
        <w:rPr>
          <w:sz w:val="24"/>
          <w:szCs w:val="24"/>
          <w:rtl w:val="0"/>
        </w:rPr>
        <w:t xml:space="preserve">/kg e 2000 mg/kg. O tratamento foi em dose única e no 14º dia de observação, os animais foram eutanasiados e coletados os órgãos para análise. Foram dosados os níveis de peroxidação lipídica (MDA) e níveis de enzima antioxidante (CAT), no homogeneizado de fígado e rim. Para a análise estatística foi utilizado o teste de Anova </w:t>
      </w:r>
      <w:r w:rsidDel="00000000" w:rsidR="00000000" w:rsidRPr="00000000">
        <w:rPr>
          <w:sz w:val="24"/>
          <w:szCs w:val="24"/>
          <w:rtl w:val="0"/>
        </w:rPr>
        <w:t xml:space="preserve">seguido de</w:t>
      </w:r>
      <w:r w:rsidDel="00000000" w:rsidR="00000000" w:rsidRPr="00000000">
        <w:rPr>
          <w:sz w:val="24"/>
          <w:szCs w:val="24"/>
          <w:rtl w:val="0"/>
        </w:rPr>
        <w:t xml:space="preserve"> pós-teste de Dunnett. O óleo essencial de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L. alba</w:t>
      </w:r>
      <w:r w:rsidDel="00000000" w:rsidR="00000000" w:rsidRPr="00000000">
        <w:rPr>
          <w:sz w:val="24"/>
          <w:szCs w:val="24"/>
          <w:rtl w:val="0"/>
        </w:rPr>
        <w:t xml:space="preserve"> foi capaz de aumentar os níveis de malondialdeído (MDA) no fígado nas doses 50 mg/kg (1,10±0,33) e o geraniol nas doses de 50 (1,14±0,21) e 2000 mg/kg (1,84±0,25) (P&lt;0,05). Já no rim, observou-se diferença na dose de geraniol de 2000 mg/kg (3,26±1,56) (P&lt;0,05), não sendo observado diferença estatística em nenhuma dose do óleo essencial nesse órgão. Assim como o óleo foi capaz de elevar a atividade da catalase (CAT) no fígado nas doses de 50, 300 e 2000 mg/kg (0,14±0,03; 0,21±0,04; 0,14±0,03, respectivamente) e nas mesmas doses de geraniol (0,07±0,004; 0,10±0,02; 0,11±0,005, respectivamente) (P&lt;0,05). Já no rim foram observadas diferenças nas doses de óleo de 50, 300 e 2000 mg/kg (0,32±0,13; 0,33±0,19; 0,24±0,06, respectivamente) e na dose de 2000 mg/kg (0,45±0,18) de geraniol (P&lt;0,05). Os resultados mostram que o óleo essencial de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Lippia alba</w:t>
      </w:r>
      <w:r w:rsidDel="00000000" w:rsidR="00000000" w:rsidRPr="00000000">
        <w:rPr>
          <w:sz w:val="24"/>
          <w:szCs w:val="24"/>
          <w:rtl w:val="0"/>
        </w:rPr>
        <w:t xml:space="preserve"> e o geraniol modulam o estresse oxidativo de forma dose-dependente. O aumento de MDA indica intensificação da peroxidação lipídica, enquanto a elevação da CAT revela resposta antioxidante adaptativa. O óleo essencial de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Lippia alba</w:t>
      </w:r>
      <w:r w:rsidDel="00000000" w:rsidR="00000000" w:rsidRPr="00000000">
        <w:rPr>
          <w:sz w:val="24"/>
          <w:szCs w:val="24"/>
          <w:rtl w:val="0"/>
        </w:rPr>
        <w:t xml:space="preserve"> e o geraniol apresentaram efeitos dose-dependentes sobre o estresse oxidativo, promovendo aumento da atividade antioxidante em doses moderadas e efeito pró-oxidante em doses elevadas. Esses resultados indicam a importância da dosagem adequada para o uso seguro e eficaz desses compostos.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tabs>
          <w:tab w:val="left" w:leader="none" w:pos="2500"/>
        </w:tabs>
        <w:spacing w:after="240" w:before="20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Lippia alba</w:t>
      </w:r>
      <w:r w:rsidDel="00000000" w:rsidR="00000000" w:rsidRPr="00000000">
        <w:rPr>
          <w:sz w:val="24"/>
          <w:szCs w:val="24"/>
          <w:rtl w:val="0"/>
        </w:rPr>
        <w:t xml:space="preserve">. Estresse Oxidativo. Camundongos. </w:t>
      </w:r>
    </w:p>
    <w:p w:rsidR="00000000" w:rsidDel="00000000" w:rsidP="00000000" w:rsidRDefault="00000000" w:rsidRPr="00000000" w14:paraId="0000000E">
      <w:pPr>
        <w:shd w:fill="ffffff" w:val="clear"/>
        <w:tabs>
          <w:tab w:val="left" w:leader="none" w:pos="2500"/>
        </w:tabs>
        <w:spacing w:line="360" w:lineRule="auto"/>
        <w:jc w:val="both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Escolha a Área de Interesse do Simpósio</w:t>
      </w:r>
      <w:r w:rsidDel="00000000" w:rsidR="00000000" w:rsidRPr="00000000">
        <w:rPr>
          <w:sz w:val="24"/>
          <w:szCs w:val="24"/>
          <w:rtl w:val="0"/>
        </w:rPr>
        <w:t xml:space="preserve">: Ciências Biológicas e da Saúde.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701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b="0" l="0" r="0" t="0"/>
          <wp:wrapSquare wrapText="bothSides" distB="0" distT="0" distL="114300" distR="114300"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81733" t="81334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b="0" l="0" r="0" t="0"/>
          <wp:wrapSquare wrapText="bothSides" distB="0" distT="0" distL="114300" distR="114300"/>
          <wp:docPr descr="PROPIT - Unifesspa é contemplada com 68 cotas de bolsas da Fapespa para ..." id="2" name="image10.png"/>
          <a:graphic>
            <a:graphicData uri="http://schemas.openxmlformats.org/drawingml/2006/picture">
              <pic:pic>
                <pic:nvPicPr>
                  <pic:cNvPr descr="PROPIT - Unifesspa é contemplada com 68 cotas de bolsas da Fapespa para ..." id="0" name="image10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b="0" l="0" r="0" t="0"/>
          <wp:wrapSquare wrapText="bothSides" distB="0" distT="0" distL="114300" distR="114300"/>
          <wp:docPr id="1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786765</wp:posOffset>
          </wp:positionH>
          <wp:positionV relativeFrom="paragraph">
            <wp:posOffset>9934575</wp:posOffset>
          </wp:positionV>
          <wp:extent cx="1231900" cy="381000"/>
          <wp:effectExtent b="0" l="0" r="0" t="0"/>
          <wp:wrapSquare wrapText="bothSides" distB="0" distT="0" distL="114300" distR="114300"/>
          <wp:docPr id="5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1900" cy="381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-222884</wp:posOffset>
          </wp:positionH>
          <wp:positionV relativeFrom="paragraph">
            <wp:posOffset>9973945</wp:posOffset>
          </wp:positionV>
          <wp:extent cx="762000" cy="245745"/>
          <wp:effectExtent b="0" l="0" r="0" t="0"/>
          <wp:wrapSquare wrapText="bothSides" distB="0" distT="0" distL="114300" distR="114300"/>
          <wp:docPr id="9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5"/>
                  <a:srcRect b="19098" l="50749" r="0" t="0"/>
                  <a:stretch>
                    <a:fillRect/>
                  </a:stretch>
                </pic:blipFill>
                <pic:spPr>
                  <a:xfrm>
                    <a:off x="0" y="0"/>
                    <a:ext cx="762000" cy="2457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2691765</wp:posOffset>
          </wp:positionH>
          <wp:positionV relativeFrom="paragraph">
            <wp:posOffset>9988550</wp:posOffset>
          </wp:positionV>
          <wp:extent cx="552450" cy="314325"/>
          <wp:effectExtent b="0" l="0" r="0" t="0"/>
          <wp:wrapSquare wrapText="bothSides" distB="0" distT="0" distL="114300" distR="114300"/>
          <wp:docPr id="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2450" cy="3143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3444240</wp:posOffset>
          </wp:positionH>
          <wp:positionV relativeFrom="paragraph">
            <wp:posOffset>9918700</wp:posOffset>
          </wp:positionV>
          <wp:extent cx="542925" cy="387350"/>
          <wp:effectExtent b="0" l="0" r="0" t="0"/>
          <wp:wrapSquare wrapText="bothSides" distB="0" distT="0" distL="114300" distR="114300"/>
          <wp:docPr id="3" name="image9.png"/>
          <a:graphic>
            <a:graphicData uri="http://schemas.openxmlformats.org/drawingml/2006/picture">
              <pic:pic>
                <pic:nvPicPr>
                  <pic:cNvPr id="0" name="image9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925" cy="387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4253865</wp:posOffset>
          </wp:positionH>
          <wp:positionV relativeFrom="paragraph">
            <wp:posOffset>9933940</wp:posOffset>
          </wp:positionV>
          <wp:extent cx="914400" cy="353060"/>
          <wp:effectExtent b="0" l="0" r="0" t="0"/>
          <wp:wrapSquare wrapText="bothSides" distB="0" distT="0" distL="114300" distR="114300"/>
          <wp:docPr id="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8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530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5415915</wp:posOffset>
          </wp:positionH>
          <wp:positionV relativeFrom="paragraph">
            <wp:posOffset>0</wp:posOffset>
          </wp:positionV>
          <wp:extent cx="756920" cy="333375"/>
          <wp:effectExtent b="0" l="0" r="0" t="0"/>
          <wp:wrapSquare wrapText="bothSides" distB="0" distT="0" distL="114300" distR="114300"/>
          <wp:docPr id="6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9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920" cy="333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3332661" cy="1650309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6667" l="2865" r="-2171" t="33993"/>
                  <a:stretch>
                    <a:fillRect/>
                  </a:stretch>
                </pic:blipFill>
                <pic:spPr>
                  <a:xfrm>
                    <a:off x="0" y="0"/>
                    <a:ext cx="3332661" cy="16503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maria.froz@ics.ufpa.br" TargetMode="Externa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0.png"/><Relationship Id="rId3" Type="http://schemas.openxmlformats.org/officeDocument/2006/relationships/image" Target="media/image6.png"/><Relationship Id="rId4" Type="http://schemas.openxmlformats.org/officeDocument/2006/relationships/image" Target="media/image8.png"/><Relationship Id="rId9" Type="http://schemas.openxmlformats.org/officeDocument/2006/relationships/image" Target="media/image5.png"/><Relationship Id="rId5" Type="http://schemas.openxmlformats.org/officeDocument/2006/relationships/image" Target="media/image7.png"/><Relationship Id="rId6" Type="http://schemas.openxmlformats.org/officeDocument/2006/relationships/image" Target="media/image3.png"/><Relationship Id="rId7" Type="http://schemas.openxmlformats.org/officeDocument/2006/relationships/image" Target="media/image9.png"/><Relationship Id="rId8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