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D36AC36">
      <w:pPr>
        <w:pBdr>
          <w:bottom w:val="none" w:color="000000" w:sz="0" w:space="8"/>
        </w:pBdr>
        <w:shd w:val="clear" w:color="auto" w:fill="FFFFFF"/>
        <w:tabs>
          <w:tab w:val="left" w:pos="2500"/>
        </w:tabs>
        <w:jc w:val="center"/>
        <w:rPr>
          <w:rFonts w:hint="default" w:ascii="Times New Roman" w:hAnsi="Times New Roman" w:eastAsia="SimSun" w:cs="Times New Roman"/>
          <w:b/>
          <w:bCs/>
          <w:sz w:val="24"/>
          <w:szCs w:val="24"/>
        </w:rPr>
      </w:pPr>
      <w:r>
        <w:rPr>
          <w:rFonts w:hint="default" w:ascii="Times New Roman" w:hAnsi="Times New Roman" w:eastAsia="SimSun" w:cs="Times New Roman"/>
          <w:b/>
          <w:bCs/>
          <w:sz w:val="24"/>
          <w:szCs w:val="24"/>
        </w:rPr>
        <w:t>ANÁLISE DOS IMPACTOS AMBIENTAIS EM ECOSSISTEMA</w:t>
      </w:r>
      <w:r>
        <w:rPr>
          <w:rFonts w:hint="default" w:ascii="Times New Roman" w:hAnsi="Times New Roman" w:eastAsia="SimSun" w:cs="Times New Roman"/>
          <w:b/>
          <w:bCs/>
          <w:sz w:val="24"/>
          <w:szCs w:val="24"/>
          <w:lang w:val="pt-BR"/>
        </w:rPr>
        <w:t>S</w:t>
      </w:r>
      <w:r>
        <w:rPr>
          <w:rFonts w:hint="default" w:ascii="Times New Roman" w:hAnsi="Times New Roman" w:eastAsia="SimSun" w:cs="Times New Roman"/>
          <w:b/>
          <w:bCs/>
          <w:sz w:val="24"/>
          <w:szCs w:val="24"/>
        </w:rPr>
        <w:t xml:space="preserve"> FLUVIA</w:t>
      </w:r>
      <w:r>
        <w:rPr>
          <w:rFonts w:hint="default" w:ascii="Times New Roman" w:hAnsi="Times New Roman" w:eastAsia="SimSun" w:cs="Times New Roman"/>
          <w:b/>
          <w:bCs/>
          <w:sz w:val="24"/>
          <w:szCs w:val="24"/>
          <w:lang w:val="pt-BR"/>
        </w:rPr>
        <w:t>IS</w:t>
      </w:r>
      <w:r>
        <w:rPr>
          <w:rFonts w:hint="default" w:ascii="Times New Roman" w:hAnsi="Times New Roman" w:eastAsia="SimSun" w:cs="Times New Roman"/>
          <w:b/>
          <w:bCs/>
          <w:sz w:val="24"/>
          <w:szCs w:val="24"/>
        </w:rPr>
        <w:t xml:space="preserve"> AMAZÔNICO</w:t>
      </w:r>
      <w:r>
        <w:rPr>
          <w:rFonts w:hint="default" w:ascii="Times New Roman" w:hAnsi="Times New Roman" w:eastAsia="SimSun" w:cs="Times New Roman"/>
          <w:b/>
          <w:bCs/>
          <w:sz w:val="24"/>
          <w:szCs w:val="24"/>
          <w:lang w:val="pt-BR"/>
        </w:rPr>
        <w:t>S</w:t>
      </w:r>
      <w:r>
        <w:rPr>
          <w:rFonts w:hint="default" w:ascii="Times New Roman" w:hAnsi="Times New Roman" w:eastAsia="SimSun" w:cs="Times New Roman"/>
          <w:b/>
          <w:bCs/>
          <w:sz w:val="24"/>
          <w:szCs w:val="24"/>
        </w:rPr>
        <w:t>: O CASO DO RIO ACARÁ-MIRIM (PA)</w:t>
      </w:r>
    </w:p>
    <w:p w14:paraId="73258978">
      <w:pPr>
        <w:shd w:val="clear" w:color="auto" w:fill="FFFFFF"/>
        <w:tabs>
          <w:tab w:val="left" w:pos="2500"/>
        </w:tabs>
        <w:jc w:val="center"/>
        <w:rPr>
          <w:rFonts w:ascii="Times New Roman" w:hAnsi="Times New Roman" w:eastAsia="Times New Roman" w:cs="Times New Roman"/>
          <w:b w:val="0"/>
          <w:color w:val="000000"/>
          <w:sz w:val="24"/>
          <w:szCs w:val="24"/>
        </w:rPr>
      </w:pPr>
      <w:r>
        <w:rPr>
          <w:rFonts w:hint="default"/>
          <w:sz w:val="24"/>
          <w:szCs w:val="24"/>
          <w:rtl w:val="0"/>
          <w:lang w:val="pt-BR"/>
        </w:rPr>
        <w:t>Brenda Reinaldo da Glória</w:t>
      </w:r>
      <w:r>
        <w:rPr>
          <w:sz w:val="24"/>
          <w:szCs w:val="24"/>
          <w:vertAlign w:val="superscript"/>
          <w:rtl w:val="0"/>
        </w:rPr>
        <w:t xml:space="preserve">1 </w:t>
      </w:r>
      <w:r>
        <w:rPr>
          <w:rFonts w:hint="default"/>
          <w:sz w:val="24"/>
          <w:szCs w:val="24"/>
          <w:rtl w:val="0"/>
          <w:lang w:val="pt-BR"/>
        </w:rPr>
        <w:t>; Douglas Thierry Vaz Maia</w:t>
      </w:r>
      <w:r>
        <w:rPr>
          <w:rFonts w:hint="default"/>
          <w:sz w:val="24"/>
          <w:szCs w:val="24"/>
          <w:vertAlign w:val="superscript"/>
          <w:rtl w:val="0"/>
          <w:lang w:val="pt-BR"/>
        </w:rPr>
        <w:t>2</w:t>
      </w:r>
      <w:r>
        <w:rPr>
          <w:rFonts w:hint="default"/>
          <w:sz w:val="24"/>
          <w:szCs w:val="24"/>
          <w:rtl w:val="0"/>
          <w:lang w:val="pt-BR"/>
        </w:rPr>
        <w:t>; Felipe Gabriel Santos do Nascimento</w:t>
      </w:r>
      <w:r>
        <w:rPr>
          <w:sz w:val="24"/>
          <w:szCs w:val="24"/>
          <w:vertAlign w:val="superscript"/>
          <w:rtl w:val="0"/>
        </w:rPr>
        <w:t xml:space="preserve">1 </w:t>
      </w:r>
      <w:r>
        <w:rPr>
          <w:rFonts w:hint="default"/>
          <w:sz w:val="24"/>
          <w:szCs w:val="24"/>
          <w:rtl w:val="0"/>
          <w:lang w:val="pt-BR"/>
        </w:rPr>
        <w:t>; Robbye Willyam Oliveria da Silva</w:t>
      </w:r>
      <w:r>
        <w:rPr>
          <w:sz w:val="24"/>
          <w:szCs w:val="24"/>
          <w:vertAlign w:val="superscript"/>
          <w:rtl w:val="0"/>
        </w:rPr>
        <w:t xml:space="preserve">1 </w:t>
      </w:r>
      <w:r>
        <w:rPr>
          <w:rFonts w:hint="default"/>
          <w:sz w:val="24"/>
          <w:szCs w:val="24"/>
          <w:rtl w:val="0"/>
          <w:lang w:val="pt-BR"/>
        </w:rPr>
        <w:t>; Vitor Silva Reis</w:t>
      </w:r>
      <w:r>
        <w:rPr>
          <w:sz w:val="24"/>
          <w:szCs w:val="24"/>
          <w:vertAlign w:val="superscript"/>
          <w:rtl w:val="0"/>
        </w:rPr>
        <w:t xml:space="preserve">1 </w:t>
      </w:r>
      <w:r>
        <w:rPr>
          <w:rFonts w:hint="default"/>
          <w:sz w:val="24"/>
          <w:szCs w:val="24"/>
          <w:rtl w:val="0"/>
          <w:lang w:val="pt-BR"/>
        </w:rPr>
        <w:t xml:space="preserve">; </w:t>
      </w:r>
      <w:r>
        <w:rPr>
          <w:rFonts w:ascii="Times New Roman" w:hAnsi="Times New Roman" w:eastAsia="Times New Roman" w:cs="Times New Roman"/>
          <w:b w:val="0"/>
          <w:color w:val="000000"/>
          <w:sz w:val="24"/>
          <w:szCs w:val="24"/>
          <w:rtl w:val="0"/>
        </w:rPr>
        <w:t>Marcela Cunha Monteiro</w:t>
      </w:r>
      <w:r>
        <w:rPr>
          <w:rFonts w:hint="default" w:ascii="Times New Roman" w:hAnsi="Times New Roman" w:eastAsia="Times New Roman" w:cs="Times New Roman"/>
          <w:b w:val="0"/>
          <w:color w:val="000000"/>
          <w:sz w:val="24"/>
          <w:szCs w:val="24"/>
          <w:vertAlign w:val="superscript"/>
          <w:rtl w:val="0"/>
          <w:lang w:val="pt-BR"/>
        </w:rPr>
        <w:t>3</w:t>
      </w:r>
      <w:r>
        <w:rPr>
          <w:rFonts w:ascii="Times New Roman" w:hAnsi="Times New Roman" w:eastAsia="Times New Roman" w:cs="Times New Roman"/>
          <w:b w:val="0"/>
          <w:color w:val="000000"/>
          <w:sz w:val="24"/>
          <w:szCs w:val="24"/>
          <w:rtl w:val="0"/>
        </w:rPr>
        <w:t>;</w:t>
      </w:r>
    </w:p>
    <w:p w14:paraId="2EC889D9">
      <w:pPr>
        <w:shd w:val="clear" w:color="auto" w:fill="FFFFFF"/>
        <w:tabs>
          <w:tab w:val="left" w:pos="2500"/>
        </w:tabs>
        <w:jc w:val="center"/>
        <w:rPr>
          <w:color w:val="FF0000"/>
          <w:sz w:val="24"/>
          <w:szCs w:val="24"/>
        </w:rPr>
      </w:pPr>
    </w:p>
    <w:p w14:paraId="31664558">
      <w:pPr>
        <w:shd w:val="clear" w:color="auto" w:fill="FFFFFF"/>
        <w:tabs>
          <w:tab w:val="left" w:pos="2500"/>
        </w:tabs>
        <w:jc w:val="both"/>
        <w:rPr>
          <w:b/>
          <w:color w:val="FF0000"/>
          <w:sz w:val="24"/>
          <w:szCs w:val="24"/>
        </w:rPr>
      </w:pPr>
    </w:p>
    <w:p w14:paraId="41B3AC9D">
      <w:pPr>
        <w:shd w:val="clear" w:color="auto" w:fill="FFFFFF"/>
        <w:tabs>
          <w:tab w:val="left" w:pos="2500"/>
        </w:tabs>
        <w:jc w:val="center"/>
        <w:rPr>
          <w:b/>
          <w:color w:val="FF0000"/>
          <w:sz w:val="24"/>
          <w:szCs w:val="24"/>
        </w:rPr>
      </w:pPr>
      <w:r>
        <w:rPr>
          <w:sz w:val="24"/>
          <w:szCs w:val="24"/>
          <w:vertAlign w:val="superscript"/>
          <w:rtl w:val="0"/>
        </w:rPr>
        <w:t xml:space="preserve">1 </w:t>
      </w:r>
      <w:r>
        <w:rPr>
          <w:sz w:val="24"/>
          <w:szCs w:val="24"/>
          <w:rtl w:val="0"/>
        </w:rPr>
        <w:t>Gradua</w:t>
      </w:r>
      <w:r>
        <w:rPr>
          <w:rFonts w:hint="default"/>
          <w:sz w:val="24"/>
          <w:szCs w:val="24"/>
          <w:rtl w:val="0"/>
          <w:lang w:val="pt-BR"/>
        </w:rPr>
        <w:t>ndo</w:t>
      </w:r>
      <w:r>
        <w:rPr>
          <w:sz w:val="24"/>
          <w:szCs w:val="24"/>
          <w:rtl w:val="0"/>
        </w:rPr>
        <w:t xml:space="preserve"> em Licenciatura em Ciências Biológicas. Universidade Federal Rural da Amazônia</w:t>
      </w:r>
      <w:r>
        <w:rPr>
          <w:rFonts w:hint="default"/>
          <w:sz w:val="24"/>
          <w:szCs w:val="24"/>
          <w:rtl w:val="0"/>
          <w:lang w:val="pt-BR"/>
        </w:rPr>
        <w:t>.</w:t>
      </w:r>
      <w:r>
        <w:rPr>
          <w:sz w:val="24"/>
          <w:szCs w:val="24"/>
          <w:rtl w:val="0"/>
        </w:rPr>
        <w:t xml:space="preserve">. </w:t>
      </w:r>
    </w:p>
    <w:p w14:paraId="7048D9ED">
      <w:pPr>
        <w:shd w:val="clear" w:color="auto" w:fill="FFFFFF"/>
        <w:tabs>
          <w:tab w:val="left" w:pos="2500"/>
        </w:tabs>
        <w:jc w:val="center"/>
        <w:rPr>
          <w:b/>
          <w:color w:val="FF0000"/>
          <w:sz w:val="24"/>
          <w:szCs w:val="24"/>
        </w:rPr>
      </w:pPr>
      <w:r>
        <w:rPr>
          <w:rFonts w:hint="default"/>
          <w:sz w:val="24"/>
          <w:szCs w:val="24"/>
          <w:vertAlign w:val="superscript"/>
          <w:rtl w:val="0"/>
          <w:lang w:val="pt-BR"/>
        </w:rPr>
        <w:t>2</w:t>
      </w:r>
      <w:r>
        <w:rPr>
          <w:sz w:val="24"/>
          <w:szCs w:val="24"/>
          <w:rtl w:val="0"/>
        </w:rPr>
        <w:t>Gradua</w:t>
      </w:r>
      <w:r>
        <w:rPr>
          <w:rFonts w:hint="default"/>
          <w:sz w:val="24"/>
          <w:szCs w:val="24"/>
          <w:rtl w:val="0"/>
          <w:lang w:val="pt-BR"/>
        </w:rPr>
        <w:t>ndo</w:t>
      </w:r>
      <w:r>
        <w:rPr>
          <w:sz w:val="24"/>
          <w:szCs w:val="24"/>
          <w:rtl w:val="0"/>
        </w:rPr>
        <w:t xml:space="preserve"> em Licenciatura em </w:t>
      </w:r>
      <w:r>
        <w:rPr>
          <w:rFonts w:hint="default"/>
          <w:sz w:val="24"/>
          <w:szCs w:val="24"/>
          <w:rtl w:val="0"/>
          <w:lang w:val="pt-BR"/>
        </w:rPr>
        <w:t>Engenharia Agrícola</w:t>
      </w:r>
      <w:r>
        <w:rPr>
          <w:sz w:val="24"/>
          <w:szCs w:val="24"/>
          <w:rtl w:val="0"/>
        </w:rPr>
        <w:t xml:space="preserve">. Universidade Federal Rural da Amazônia. </w:t>
      </w:r>
    </w:p>
    <w:p w14:paraId="4A8A88D3">
      <w:pPr>
        <w:keepLines/>
        <w:shd w:val="clear" w:color="auto" w:fill="FFFFFF"/>
        <w:tabs>
          <w:tab w:val="left" w:pos="2500"/>
        </w:tabs>
        <w:jc w:val="center"/>
        <w:rPr>
          <w:rFonts w:hint="default"/>
          <w:sz w:val="24"/>
          <w:szCs w:val="24"/>
          <w:vertAlign w:val="baseline"/>
          <w:lang w:val="pt-BR"/>
        </w:rPr>
      </w:pPr>
      <w:r>
        <w:rPr>
          <w:rFonts w:hint="default"/>
          <w:sz w:val="24"/>
          <w:szCs w:val="24"/>
          <w:vertAlign w:val="superscript"/>
          <w:rtl w:val="0"/>
          <w:lang w:val="pt-BR"/>
        </w:rPr>
        <w:t>3</w:t>
      </w:r>
      <w:r>
        <w:rPr>
          <w:sz w:val="24"/>
          <w:szCs w:val="24"/>
          <w:vertAlign w:val="superscript"/>
          <w:rtl w:val="0"/>
        </w:rPr>
        <w:t xml:space="preserve"> </w:t>
      </w:r>
      <w:r>
        <w:rPr>
          <w:sz w:val="24"/>
          <w:szCs w:val="24"/>
          <w:vertAlign w:val="baseline"/>
          <w:rtl w:val="0"/>
        </w:rPr>
        <w:t>Doutorado em Ciências do Mar. Universidade Federal Rural da Amazônia</w:t>
      </w:r>
      <w:r>
        <w:rPr>
          <w:rFonts w:hint="default"/>
          <w:sz w:val="24"/>
          <w:szCs w:val="24"/>
          <w:vertAlign w:val="baseline"/>
          <w:rtl w:val="0"/>
          <w:lang w:val="pt-BR"/>
        </w:rPr>
        <w:t>. marcela.monteiro@ufra.edu.br</w:t>
      </w:r>
    </w:p>
    <w:p w14:paraId="668A46D9">
      <w:pPr>
        <w:keepLines/>
        <w:pBdr>
          <w:bottom w:val="none" w:color="000000" w:sz="0" w:space="8"/>
        </w:pBdr>
        <w:shd w:val="clear" w:color="auto" w:fill="FFFFFF"/>
        <w:tabs>
          <w:tab w:val="left" w:pos="2500"/>
        </w:tabs>
        <w:spacing w:line="310" w:lineRule="auto"/>
        <w:jc w:val="center"/>
        <w:rPr>
          <w:sz w:val="24"/>
          <w:szCs w:val="24"/>
        </w:rPr>
      </w:pPr>
    </w:p>
    <w:p w14:paraId="09540FC4">
      <w:pPr>
        <w:keepNext w:val="0"/>
        <w:keepLines w:val="0"/>
        <w:pageBreakBefore w:val="0"/>
        <w:pBdr>
          <w:bottom w:val="none" w:color="000000" w:sz="0" w:space="8"/>
        </w:pBdr>
        <w:shd w:val="clear" w:color="auto" w:fill="FFFFFF"/>
        <w:tabs>
          <w:tab w:val="left" w:pos="25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jc w:val="center"/>
        <w:textAlignment w:val="auto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  <w:rtl w:val="0"/>
        </w:rPr>
        <w:t>RESUMO</w:t>
      </w:r>
    </w:p>
    <w:p w14:paraId="60FD5F53">
      <w:pPr>
        <w:pStyle w:val="13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jc w:val="both"/>
        <w:rPr>
          <w:rFonts w:hint="default" w:ascii="Times New Roman" w:hAnsi="Times New Roman" w:eastAsia="SimSun" w:cs="Times New Roman"/>
          <w:sz w:val="24"/>
          <w:szCs w:val="24"/>
        </w:rPr>
      </w:pPr>
      <w:r>
        <w:rPr>
          <w:rFonts w:hint="default" w:ascii="Times New Roman" w:hAnsi="Times New Roman" w:eastAsia="SimSun" w:cs="Times New Roman"/>
          <w:sz w:val="24"/>
          <w:szCs w:val="24"/>
        </w:rPr>
        <w:t>A expansão urbana e o avanço das atividades agroindustriais na Amazônia têm intensificado as pressões sobre os ecossistemas fluviais, comprometendo a qualidade ambiental e os serviços ecossistêmicos associados</w:t>
      </w:r>
      <w:r>
        <w:rPr>
          <w:sz w:val="24"/>
          <w:szCs w:val="24"/>
        </w:rPr>
        <w:t>.comprometendo a qualidade ambiental e os serviços ecossistêmicos que sustentam a biodiversidade e o bem-estar humano</w:t>
      </w:r>
      <w:r>
        <w:rPr>
          <w:rFonts w:hint="default" w:ascii="Times New Roman" w:hAnsi="Times New Roman" w:eastAsia="SimSun" w:cs="Times New Roman"/>
          <w:sz w:val="24"/>
          <w:szCs w:val="24"/>
        </w:rPr>
        <w:t xml:space="preserve">. Este estudo teve como objetivo avaliar os impactos ambientais no rio Acará-Mirim, principal corpo hídrico do município de Tomé-Açu (PA), a partir da aplicação da </w:t>
      </w:r>
      <w:r>
        <w:rPr>
          <w:rStyle w:val="10"/>
          <w:rFonts w:hint="default" w:ascii="Times New Roman" w:hAnsi="Times New Roman" w:eastAsia="SimSun" w:cs="Times New Roman"/>
          <w:sz w:val="24"/>
          <w:szCs w:val="24"/>
        </w:rPr>
        <w:t>Matriz de Leopold</w:t>
      </w:r>
      <w:r>
        <w:rPr>
          <w:rFonts w:hint="default" w:ascii="Times New Roman" w:hAnsi="Times New Roman" w:eastAsia="SimSun" w:cs="Times New Roman"/>
          <w:sz w:val="24"/>
          <w:szCs w:val="24"/>
        </w:rPr>
        <w:t>, metodologia reconhecida por sua eficácia na identificação e quantificação de impactos antrópicos. A pesquisa adotou abordagem descritiva e exploratória, com base em observações de campo, levantamento bibliográfico e análise de informações secundárias</w:t>
      </w:r>
      <w:r>
        <w:rPr>
          <w:rFonts w:hint="default" w:ascii="Times New Roman" w:hAnsi="Times New Roman" w:eastAsia="SimSun" w:cs="Times New Roman"/>
          <w:sz w:val="24"/>
          <w:szCs w:val="24"/>
          <w:lang w:val="pt-BR"/>
        </w:rPr>
        <w:t xml:space="preserve">, com a finalidade de compreender as atividades antrópicas realizadas na sub-bacia do rio Acará-Mirim. </w:t>
      </w:r>
      <w:r>
        <w:rPr>
          <w:rFonts w:hint="default" w:ascii="Times New Roman" w:hAnsi="Times New Roman" w:eastAsia="SimSun" w:cs="Times New Roman"/>
          <w:sz w:val="24"/>
          <w:szCs w:val="24"/>
        </w:rPr>
        <w:t>Foram consideradas as principais atividades econômicas locais — como a pecuária, o cultivo de dendê, a expansão urbana e o lançamento de efluentes domésticos — e seus efeitos sobre os componentes ambientais solo, água e paisagem.</w:t>
      </w:r>
    </w:p>
    <w:p w14:paraId="04ADB1B4">
      <w:pPr>
        <w:keepNext w:val="0"/>
        <w:keepLines w:val="0"/>
        <w:pageBreakBefore w:val="0"/>
        <w:pBdr>
          <w:bottom w:val="none" w:color="000000" w:sz="0" w:space="8"/>
        </w:pBdr>
        <w:shd w:val="clear" w:color="auto" w:fill="FFFFFF"/>
        <w:tabs>
          <w:tab w:val="left" w:pos="25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jc w:val="both"/>
        <w:textAlignment w:val="auto"/>
        <w:rPr>
          <w:rFonts w:hint="default" w:ascii="Times New Roman" w:hAnsi="Times New Roman" w:cs="Times New Roman"/>
          <w:color w:val="FF0000"/>
          <w:sz w:val="24"/>
          <w:szCs w:val="24"/>
          <w:lang w:val="pt-BR"/>
        </w:rPr>
      </w:pPr>
      <w:r>
        <w:rPr>
          <w:rFonts w:hint="default" w:ascii="Times New Roman" w:hAnsi="Times New Roman" w:cs="Times New Roman"/>
          <w:b/>
          <w:sz w:val="24"/>
          <w:szCs w:val="24"/>
          <w:rtl w:val="0"/>
        </w:rPr>
        <w:t xml:space="preserve">Palavras-chave: </w:t>
      </w:r>
      <w:r>
        <w:rPr>
          <w:rFonts w:hint="default" w:ascii="Times New Roman" w:hAnsi="Times New Roman" w:eastAsia="SimSun" w:cs="Times New Roman"/>
          <w:sz w:val="24"/>
          <w:szCs w:val="24"/>
        </w:rPr>
        <w:t>Rio Acará-Mirim</w:t>
      </w:r>
      <w:r>
        <w:rPr>
          <w:rFonts w:hint="default" w:ascii="Times New Roman" w:hAnsi="Times New Roman" w:eastAsia="SimSun" w:cs="Times New Roman"/>
          <w:sz w:val="24"/>
          <w:szCs w:val="24"/>
          <w:lang w:val="pt-BR"/>
        </w:rPr>
        <w:t>.</w:t>
      </w:r>
      <w:r>
        <w:rPr>
          <w:rFonts w:hint="default" w:ascii="Times New Roman" w:hAnsi="Times New Roman" w:eastAsia="SimSun" w:cs="Times New Roman"/>
          <w:sz w:val="24"/>
          <w:szCs w:val="24"/>
        </w:rPr>
        <w:t xml:space="preserve"> Matriz de Leopold</w:t>
      </w:r>
      <w:r>
        <w:rPr>
          <w:rFonts w:hint="default" w:ascii="Times New Roman" w:hAnsi="Times New Roman" w:eastAsia="SimSun" w:cs="Times New Roman"/>
          <w:sz w:val="24"/>
          <w:szCs w:val="24"/>
          <w:lang w:val="pt-BR"/>
        </w:rPr>
        <w:t>.</w:t>
      </w:r>
      <w:r>
        <w:rPr>
          <w:rFonts w:hint="default" w:ascii="Times New Roman" w:hAnsi="Times New Roman" w:eastAsia="SimSun" w:cs="Times New Roman"/>
          <w:sz w:val="24"/>
          <w:szCs w:val="24"/>
        </w:rPr>
        <w:t xml:space="preserve"> </w:t>
      </w:r>
      <w:r>
        <w:rPr>
          <w:rFonts w:hint="default" w:ascii="Times New Roman" w:hAnsi="Times New Roman" w:eastAsia="SimSun" w:cs="Times New Roman"/>
          <w:sz w:val="24"/>
          <w:szCs w:val="24"/>
          <w:lang w:val="pt-BR"/>
        </w:rPr>
        <w:t>A</w:t>
      </w:r>
      <w:r>
        <w:rPr>
          <w:rFonts w:hint="default" w:ascii="Times New Roman" w:hAnsi="Times New Roman" w:cs="Times New Roman"/>
          <w:sz w:val="24"/>
          <w:szCs w:val="24"/>
          <w:rtl w:val="0"/>
        </w:rPr>
        <w:t>ções antrópicas</w:t>
      </w:r>
      <w:r>
        <w:rPr>
          <w:rFonts w:hint="default" w:ascii="Times New Roman" w:hAnsi="Times New Roman" w:cs="Times New Roman"/>
          <w:sz w:val="24"/>
          <w:szCs w:val="24"/>
          <w:rtl w:val="0"/>
          <w:lang w:val="pt-BR"/>
        </w:rPr>
        <w:t>.</w:t>
      </w:r>
    </w:p>
    <w:p w14:paraId="474AC5EE">
      <w:pPr>
        <w:keepNext w:val="0"/>
        <w:keepLines w:val="0"/>
        <w:pageBreakBefore w:val="0"/>
        <w:shd w:val="clear" w:color="auto" w:fill="FFFFFF"/>
        <w:tabs>
          <w:tab w:val="left" w:pos="25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textAlignment w:val="auto"/>
        <w:rPr>
          <w:sz w:val="24"/>
          <w:szCs w:val="24"/>
          <w:rtl w:val="0"/>
        </w:rPr>
      </w:pPr>
      <w:r>
        <w:rPr>
          <w:b/>
          <w:sz w:val="24"/>
          <w:szCs w:val="24"/>
          <w:rtl w:val="0"/>
        </w:rPr>
        <w:t>Área de Interesse do Simpósio</w:t>
      </w:r>
      <w:r>
        <w:rPr>
          <w:sz w:val="24"/>
          <w:szCs w:val="24"/>
          <w:rtl w:val="0"/>
        </w:rPr>
        <w:t>: Ciências Agrárias</w:t>
      </w:r>
    </w:p>
    <w:p w14:paraId="55C9AF47">
      <w:pPr>
        <w:keepNext w:val="0"/>
        <w:keepLines w:val="0"/>
        <w:pageBreakBefore w:val="0"/>
        <w:shd w:val="clear" w:color="auto" w:fill="FFFFFF"/>
        <w:tabs>
          <w:tab w:val="left" w:pos="25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textAlignment w:val="auto"/>
        <w:rPr>
          <w:sz w:val="24"/>
          <w:szCs w:val="24"/>
          <w:rtl w:val="0"/>
        </w:rPr>
      </w:pPr>
    </w:p>
    <w:p w14:paraId="6B534F77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bottom w:val="none" w:color="000000" w:sz="0" w:space="8"/>
        </w:pBdr>
        <w:shd w:val="clear" w:color="auto" w:fill="FFFFFF"/>
        <w:tabs>
          <w:tab w:val="left" w:pos="250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Autospacing="0" w:afterAutospacing="0" w:line="360" w:lineRule="auto"/>
        <w:textAlignment w:val="auto"/>
        <w:rPr>
          <w:sz w:val="24"/>
          <w:szCs w:val="24"/>
          <w:rtl w:val="0"/>
        </w:rPr>
      </w:pPr>
      <w:r>
        <w:rPr>
          <w:b/>
          <w:sz w:val="24"/>
          <w:szCs w:val="24"/>
          <w:rtl w:val="0"/>
        </w:rPr>
        <w:t xml:space="preserve">INTRODUÇÃO </w:t>
      </w:r>
    </w:p>
    <w:p w14:paraId="640F7CC2">
      <w:pPr>
        <w:keepNext w:val="0"/>
        <w:keepLines w:val="0"/>
        <w:pageBreakBefore w:val="0"/>
        <w:widowControl w:val="0"/>
        <w:numPr>
          <w:ilvl w:val="0"/>
          <w:numId w:val="0"/>
        </w:numPr>
        <w:pBdr>
          <w:bottom w:val="none" w:color="000000" w:sz="0" w:space="8"/>
        </w:pBdr>
        <w:shd w:val="clear" w:color="auto" w:fill="FFFFFF"/>
        <w:tabs>
          <w:tab w:val="left" w:pos="250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Autospacing="0" w:afterAutospacing="0" w:line="360" w:lineRule="auto"/>
        <w:ind w:left="0" w:leftChars="0" w:firstLine="878" w:firstLineChars="366"/>
        <w:jc w:val="both"/>
        <w:textAlignment w:val="auto"/>
        <w:rPr>
          <w:sz w:val="24"/>
          <w:szCs w:val="24"/>
          <w:rtl w:val="0"/>
        </w:rPr>
      </w:pPr>
      <w:r>
        <w:rPr>
          <w:sz w:val="24"/>
          <w:szCs w:val="24"/>
          <w:rtl w:val="0"/>
        </w:rPr>
        <w:t>A crescente expansão urbana tem provocado impactos significativos sobre os ecossistemas naturais, especialmente em bacias hidrográficas que, ao sofrerem alterações no uso do solo, tornam-se mais vulneráveis à degradação ambiental (T</w:t>
      </w:r>
      <w:r>
        <w:rPr>
          <w:rFonts w:hint="default"/>
          <w:sz w:val="24"/>
          <w:szCs w:val="24"/>
          <w:rtl w:val="0"/>
          <w:lang w:val="pt-BR"/>
        </w:rPr>
        <w:t>ucci</w:t>
      </w:r>
      <w:r>
        <w:rPr>
          <w:sz w:val="24"/>
          <w:szCs w:val="24"/>
          <w:rtl w:val="0"/>
        </w:rPr>
        <w:t xml:space="preserve">, 2008). Apesar de </w:t>
      </w:r>
      <w:r>
        <w:rPr>
          <w:rFonts w:hint="default"/>
          <w:sz w:val="24"/>
          <w:szCs w:val="24"/>
          <w:rtl w:val="0"/>
          <w:lang w:val="pt-BR"/>
        </w:rPr>
        <w:t xml:space="preserve">possuir a maior biodiversidade do mundo, fornecer </w:t>
      </w:r>
      <w:r>
        <w:rPr>
          <w:sz w:val="24"/>
          <w:szCs w:val="24"/>
          <w:rtl w:val="0"/>
        </w:rPr>
        <w:t xml:space="preserve">serviços essenciais às comunidades locais e às populações urbanas </w:t>
      </w:r>
      <w:r>
        <w:rPr>
          <w:sz w:val="24"/>
          <w:szCs w:val="24"/>
        </w:rPr>
        <w:t>e exerce</w:t>
      </w:r>
      <w:r>
        <w:rPr>
          <w:rFonts w:hint="default"/>
          <w:sz w:val="24"/>
          <w:szCs w:val="24"/>
          <w:lang w:val="pt-BR"/>
        </w:rPr>
        <w:t>r</w:t>
      </w:r>
      <w:r>
        <w:rPr>
          <w:sz w:val="24"/>
          <w:szCs w:val="24"/>
        </w:rPr>
        <w:t xml:space="preserve"> um papel vital tanto em território nacional quanto em escala global</w:t>
      </w:r>
      <w:r>
        <w:rPr>
          <w:sz w:val="24"/>
          <w:szCs w:val="24"/>
          <w:rtl w:val="0"/>
        </w:rPr>
        <w:t>, a Amazônia se encaixa nesta realidade quando se trata de degradação ambiental.</w:t>
      </w:r>
    </w:p>
    <w:p w14:paraId="00BDAD81">
      <w:pPr>
        <w:keepNext w:val="0"/>
        <w:keepLines w:val="0"/>
        <w:pageBreakBefore w:val="0"/>
        <w:widowControl w:val="0"/>
        <w:numPr>
          <w:ilvl w:val="0"/>
          <w:numId w:val="0"/>
        </w:numPr>
        <w:pBdr>
          <w:bottom w:val="none" w:color="000000" w:sz="0" w:space="8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firstLine="720" w:firstLineChars="0"/>
        <w:jc w:val="both"/>
        <w:textAlignment w:val="auto"/>
        <w:rPr>
          <w:sz w:val="24"/>
          <w:szCs w:val="24"/>
          <w:rtl w:val="0"/>
        </w:rPr>
      </w:pPr>
      <w:r>
        <w:rPr>
          <w:sz w:val="24"/>
          <w:szCs w:val="24"/>
          <w:rtl w:val="0"/>
        </w:rPr>
        <w:t xml:space="preserve">O Rio Acará-Mirim, inserido na Amazônia Oriental é o rio principal que perpassa a cidade de Tomé-Açu, no estado do Pará. Assim como muitos rios amazônicos, está sujeito a diversas pressões antrópicas, entre elas, destacam-se a ausência de saneamento básico nas comunidades localizadas na sua margem, o descarte indevido de resíduos sólidos no corpo hídrico principal, a pecuária intensiva na áreas circundantes, </w:t>
      </w:r>
      <w:r>
        <w:rPr>
          <w:rFonts w:hint="default"/>
          <w:sz w:val="24"/>
          <w:szCs w:val="24"/>
          <w:rtl w:val="0"/>
          <w:lang w:val="pt-BR"/>
        </w:rPr>
        <w:t>e a prática de atividades agrícolas que resultam em uso</w:t>
      </w:r>
      <w:r>
        <w:rPr>
          <w:sz w:val="24"/>
          <w:szCs w:val="24"/>
          <w:rtl w:val="0"/>
        </w:rPr>
        <w:t xml:space="preserve"> de fertilizantes</w:t>
      </w:r>
      <w:r>
        <w:rPr>
          <w:rFonts w:hint="default"/>
          <w:sz w:val="24"/>
          <w:szCs w:val="24"/>
          <w:rtl w:val="0"/>
          <w:lang w:val="pt-BR"/>
        </w:rPr>
        <w:t xml:space="preserve"> no solo</w:t>
      </w:r>
      <w:r>
        <w:rPr>
          <w:sz w:val="24"/>
          <w:szCs w:val="24"/>
          <w:rtl w:val="0"/>
        </w:rPr>
        <w:t xml:space="preserve"> e desmatamento das margens. Essas e outras formas de uso, representam risco à qualidade das águas, dos ecossistemas aquáticos, bem como, a saúde humana. De acordo com dados do IBGE (2025) apenas 3,67% da população do município de Tomé-Açu possui algum tipo de serviço de esgotamento sanitário. Tal realidade já indica possibilidade de impactos nos corpos hídricos locais.</w:t>
      </w:r>
    </w:p>
    <w:p w14:paraId="62C1E7F5">
      <w:pPr>
        <w:keepNext w:val="0"/>
        <w:keepLines w:val="0"/>
        <w:pageBreakBefore w:val="0"/>
        <w:widowControl w:val="0"/>
        <w:numPr>
          <w:ilvl w:val="0"/>
          <w:numId w:val="0"/>
        </w:numPr>
        <w:pBdr>
          <w:bottom w:val="none" w:color="000000" w:sz="0" w:space="8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firstLine="720" w:firstLineChars="0"/>
        <w:jc w:val="both"/>
        <w:textAlignment w:val="auto"/>
        <w:rPr>
          <w:sz w:val="24"/>
          <w:szCs w:val="24"/>
        </w:rPr>
      </w:pPr>
      <w:r>
        <w:rPr>
          <w:sz w:val="24"/>
          <w:szCs w:val="24"/>
          <w:rtl w:val="0"/>
        </w:rPr>
        <w:t>Diante do exposto acima</w:t>
      </w:r>
      <w:r>
        <w:rPr>
          <w:rFonts w:hint="default"/>
          <w:sz w:val="24"/>
          <w:szCs w:val="24"/>
          <w:rtl w:val="0"/>
          <w:lang w:val="pt-BR"/>
        </w:rPr>
        <w:t>,</w:t>
      </w:r>
      <w:r>
        <w:rPr>
          <w:sz w:val="24"/>
          <w:szCs w:val="24"/>
          <w:rtl w:val="0"/>
        </w:rPr>
        <w:t xml:space="preserve"> avaliar os impactos e pressões ambientais aos quais este corpo hídrico está sujeito podem ajudar a viabilizar medidas de proteção a serem tomadas pelos gestores públicos e comunidades locais</w:t>
      </w:r>
      <w:r>
        <w:rPr>
          <w:rFonts w:hint="default"/>
          <w:sz w:val="24"/>
          <w:szCs w:val="24"/>
          <w:rtl w:val="0"/>
          <w:lang w:val="pt-BR"/>
        </w:rPr>
        <w:t>,</w:t>
      </w:r>
      <w:r>
        <w:rPr>
          <w:sz w:val="24"/>
          <w:szCs w:val="24"/>
          <w:rtl w:val="0"/>
        </w:rPr>
        <w:t xml:space="preserve"> uma vez que para a gestão ambiental eficaz o uso de dados obtidos por meio de estudos ambientais pode servir de base para decisões sustentáveis e planejamento estratégico (Barbieri, 2011). Além disso, Sánchez (2008) destaca que a realização de estudos ambientais é fundamental para subsidiar a tomada de decisão, pois permite avaliar previamente os possíveis efeitos das pressões antrópicas sobre o meio ambiente.</w:t>
      </w:r>
    </w:p>
    <w:p w14:paraId="55562D4F">
      <w:pPr>
        <w:keepNext w:val="0"/>
        <w:keepLines w:val="0"/>
        <w:pageBreakBefore w:val="0"/>
        <w:pBdr>
          <w:bottom w:val="none" w:color="000000" w:sz="0" w:space="18"/>
        </w:pBdr>
        <w:shd w:val="clear" w:color="auto" w:fill="FFFFFF"/>
        <w:tabs>
          <w:tab w:val="left" w:pos="25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jc w:val="both"/>
        <w:textAlignment w:val="auto"/>
        <w:rPr>
          <w:b/>
          <w:sz w:val="24"/>
          <w:szCs w:val="24"/>
        </w:rPr>
      </w:pPr>
      <w:r>
        <w:rPr>
          <w:b/>
          <w:sz w:val="24"/>
          <w:szCs w:val="24"/>
          <w:rtl w:val="0"/>
        </w:rPr>
        <w:t>2. MATERIAIS E MÉTODOS</w:t>
      </w:r>
    </w:p>
    <w:p w14:paraId="282FF090">
      <w:pPr>
        <w:keepNext w:val="0"/>
        <w:keepLines w:val="0"/>
        <w:pageBreakBefore w:val="0"/>
        <w:pBdr>
          <w:bottom w:val="none" w:color="000000" w:sz="0" w:space="18"/>
        </w:pBdr>
        <w:shd w:val="clear" w:color="auto" w:fill="FFFFFF"/>
        <w:tabs>
          <w:tab w:val="left" w:pos="25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jc w:val="both"/>
        <w:textAlignment w:val="auto"/>
        <w:rPr>
          <w:b/>
          <w:sz w:val="24"/>
          <w:szCs w:val="24"/>
        </w:rPr>
      </w:pPr>
      <w:r>
        <w:rPr>
          <w:b/>
          <w:sz w:val="24"/>
          <w:szCs w:val="24"/>
          <w:rtl w:val="0"/>
        </w:rPr>
        <w:t>2.1 Área de Estudo</w:t>
      </w:r>
    </w:p>
    <w:p w14:paraId="5445C7DC">
      <w:pPr>
        <w:keepNext w:val="0"/>
        <w:keepLines w:val="0"/>
        <w:pageBreakBefore w:val="0"/>
        <w:pBdr>
          <w:bottom w:val="none" w:color="000000" w:sz="0" w:space="18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jc w:val="both"/>
        <w:textAlignment w:val="auto"/>
        <w:rPr>
          <w:sz w:val="24"/>
          <w:szCs w:val="24"/>
        </w:rPr>
      </w:pPr>
      <w:r>
        <w:rPr>
          <w:b/>
          <w:sz w:val="24"/>
          <w:szCs w:val="24"/>
          <w:rtl w:val="0"/>
        </w:rPr>
        <w:tab/>
      </w:r>
      <w:r>
        <w:rPr>
          <w:sz w:val="24"/>
          <w:szCs w:val="24"/>
          <w:rtl w:val="0"/>
        </w:rPr>
        <w:t>O presente estudo foi realizado no município de Tomé-Açu, o município apresenta cerca de</w:t>
      </w:r>
      <w:r>
        <w:rPr>
          <w:b/>
          <w:sz w:val="24"/>
          <w:szCs w:val="24"/>
          <w:rtl w:val="0"/>
        </w:rPr>
        <w:t xml:space="preserve"> </w:t>
      </w:r>
      <w:r>
        <w:rPr>
          <w:sz w:val="24"/>
          <w:szCs w:val="24"/>
          <w:rtl w:val="0"/>
        </w:rPr>
        <w:t xml:space="preserve">5.145,361 km² de extensão, e a população total é de 56.518 habitantes, dos quais 31.563 são residentes na área urbana  e 24.955 na zona rural, o que corresponde a 56% e 44% respectivamente (IBGE, 2024). A escolha dessa área se justifica pela sua relevância socioeconômica e pelos impactos ambientais decorrentes da expansão agrícola e industrial, que vêm alterando a dinâmica natural do território. </w:t>
      </w:r>
    </w:p>
    <w:p w14:paraId="3EB9C06E">
      <w:pPr>
        <w:keepNext w:val="0"/>
        <w:keepLines w:val="0"/>
        <w:pageBreakBefore w:val="0"/>
        <w:pBdr>
          <w:bottom w:val="none" w:color="000000" w:sz="0" w:space="18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firstLine="720"/>
        <w:jc w:val="both"/>
        <w:textAlignment w:val="auto"/>
        <w:rPr>
          <w:sz w:val="24"/>
          <w:szCs w:val="24"/>
          <w:highlight w:val="white"/>
        </w:rPr>
      </w:pPr>
      <w:r>
        <w:rPr>
          <w:sz w:val="24"/>
          <w:szCs w:val="24"/>
          <w:rtl w:val="0"/>
        </w:rPr>
        <w:t xml:space="preserve">O município é reconhecido por sua economia baseada na agricultura familiar, nos sistemas agroflorestais e nas atividades agroindustriais. Ele está inserido no ‘polo biodiesel’, por isso, recebe </w:t>
      </w:r>
      <w:r>
        <w:rPr>
          <w:sz w:val="24"/>
          <w:szCs w:val="24"/>
          <w:highlight w:val="white"/>
          <w:rtl w:val="0"/>
        </w:rPr>
        <w:t xml:space="preserve">intensos investimentos agroindustriais de produção de óleo de palma visando suprir o mercado nacional e internacional de biocombustíveis (Belato e Serrão, 2019). </w:t>
      </w:r>
    </w:p>
    <w:p w14:paraId="3865E8C9">
      <w:pPr>
        <w:keepNext w:val="0"/>
        <w:keepLines w:val="0"/>
        <w:pageBreakBefore w:val="0"/>
        <w:pBdr>
          <w:bottom w:val="none" w:color="000000" w:sz="0" w:space="18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jc w:val="both"/>
        <w:textAlignment w:val="auto"/>
        <w:rPr>
          <w:sz w:val="24"/>
          <w:szCs w:val="24"/>
          <w:rtl w:val="0"/>
        </w:rPr>
      </w:pPr>
      <w:r>
        <w:rPr>
          <w:sz w:val="24"/>
          <w:szCs w:val="24"/>
          <w:rtl w:val="0"/>
        </w:rPr>
        <w:t xml:space="preserve">        O Rio Acará-Mirim, localizado em Tomé-Açu (PA), faz parte da bacia hidrográfica do rio Acará, que abrange uma área de 29.248 km² e possui um curso de 412 km de extensão. Sua nascente está localizada ao sul do município e segue em direção norte-nordeste até desaguar no rio Acará (Rodrigues, 2001). A sub-bacia do Rio Acará-Mirim percorre áreas urbanas e rurais, como os distritos de Tomé-Açu e Quatro Bocas (urbanos) e a comunidade quilombola Marupaúba (rural). Suas águas são usadas para lazer, irrigação e transporte, mas sofrem influência de efluentes domésticos e atividades agrícolas (S</w:t>
      </w:r>
      <w:r>
        <w:rPr>
          <w:rFonts w:hint="default"/>
          <w:sz w:val="24"/>
          <w:szCs w:val="24"/>
          <w:rtl w:val="0"/>
          <w:lang w:val="pt-BR"/>
        </w:rPr>
        <w:t>ilva</w:t>
      </w:r>
      <w:r>
        <w:rPr>
          <w:sz w:val="24"/>
          <w:szCs w:val="24"/>
          <w:rtl w:val="0"/>
        </w:rPr>
        <w:t>, 2025).</w:t>
      </w:r>
    </w:p>
    <w:p w14:paraId="4B86CA92">
      <w:pPr>
        <w:keepNext w:val="0"/>
        <w:keepLines w:val="0"/>
        <w:pageBreakBefore w:val="0"/>
        <w:pBdr>
          <w:bottom w:val="none" w:color="000000" w:sz="0" w:space="18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jc w:val="center"/>
        <w:textAlignment w:val="auto"/>
        <w:rPr>
          <w:rFonts w:hint="default"/>
          <w:sz w:val="24"/>
          <w:szCs w:val="24"/>
          <w:rtl w:val="0"/>
          <w:lang w:val="pt-BR"/>
        </w:rPr>
      </w:pPr>
      <w:r>
        <w:rPr>
          <w:rFonts w:hint="default"/>
          <w:sz w:val="24"/>
          <w:szCs w:val="24"/>
          <w:rtl w:val="0"/>
          <w:lang w:val="pt-BR"/>
        </w:rPr>
        <w:drawing>
          <wp:inline distT="0" distB="0" distL="114300" distR="114300">
            <wp:extent cx="4638675" cy="3269615"/>
            <wp:effectExtent l="0" t="0" r="9525" b="6985"/>
            <wp:docPr id="9" name="Imagem 9" descr="Imagem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m 9" descr="Imagem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326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96115">
      <w:pPr>
        <w:keepNext w:val="0"/>
        <w:keepLines w:val="0"/>
        <w:pageBreakBefore w:val="0"/>
        <w:pBdr>
          <w:bottom w:val="none" w:color="000000" w:sz="0" w:space="18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jc w:val="both"/>
        <w:textAlignment w:val="auto"/>
        <w:rPr>
          <w:rFonts w:hint="default"/>
          <w:sz w:val="24"/>
          <w:szCs w:val="24"/>
          <w:rtl w:val="0"/>
          <w:lang w:val="pt-BR"/>
        </w:rPr>
      </w:pPr>
      <w:r>
        <w:rPr>
          <w:rFonts w:hint="default"/>
          <w:sz w:val="24"/>
          <w:szCs w:val="24"/>
          <w:rtl w:val="0"/>
          <w:lang w:val="pt-BR"/>
        </w:rPr>
        <w:t>Fonte: Silva, 2025</w:t>
      </w:r>
    </w:p>
    <w:p w14:paraId="277010BE">
      <w:pPr>
        <w:keepNext w:val="0"/>
        <w:keepLines w:val="0"/>
        <w:pageBreakBefore w:val="0"/>
        <w:pBdr>
          <w:bottom w:val="none" w:color="000000" w:sz="0" w:space="18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jc w:val="both"/>
        <w:textAlignment w:val="auto"/>
        <w:rPr>
          <w:rFonts w:hint="default"/>
          <w:sz w:val="24"/>
          <w:szCs w:val="24"/>
          <w:rtl w:val="0"/>
          <w:lang w:val="pt-BR"/>
        </w:rPr>
      </w:pPr>
    </w:p>
    <w:p w14:paraId="2E22AA99">
      <w:pPr>
        <w:keepNext w:val="0"/>
        <w:keepLines w:val="0"/>
        <w:pageBreakBefore w:val="0"/>
        <w:pBdr>
          <w:bottom w:val="none" w:color="000000" w:sz="0" w:space="18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jc w:val="both"/>
        <w:textAlignment w:val="auto"/>
        <w:rPr>
          <w:b/>
          <w:sz w:val="24"/>
          <w:szCs w:val="24"/>
          <w:rtl w:val="0"/>
        </w:rPr>
      </w:pPr>
      <w:r>
        <w:rPr>
          <w:b/>
          <w:sz w:val="24"/>
          <w:szCs w:val="24"/>
          <w:rtl w:val="0"/>
        </w:rPr>
        <w:t>2.2 Metodologia</w:t>
      </w:r>
    </w:p>
    <w:p w14:paraId="228A08C0">
      <w:pPr>
        <w:keepNext w:val="0"/>
        <w:keepLines w:val="0"/>
        <w:pageBreakBefore w:val="0"/>
        <w:pBdr>
          <w:bottom w:val="none" w:color="000000" w:sz="0" w:space="18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jc w:val="both"/>
        <w:textAlignment w:val="auto"/>
        <w:rPr>
          <w:sz w:val="24"/>
          <w:szCs w:val="24"/>
          <w:rtl w:val="0"/>
        </w:rPr>
      </w:pPr>
      <w:r>
        <w:rPr>
          <w:sz w:val="24"/>
          <w:szCs w:val="24"/>
          <w:rtl w:val="0"/>
        </w:rPr>
        <w:tab/>
      </w:r>
      <w:r>
        <w:rPr>
          <w:sz w:val="24"/>
          <w:szCs w:val="24"/>
          <w:rtl w:val="0"/>
        </w:rPr>
        <w:t>Trata-se de uma pesquisa descritiva e exploratória, com abordagem qualitativa e quantitativa, voltada à identificação, qualificação e quantificação dos impactos ambientais provocados por atividades humanas no município. O método adotado foi a Matriz de Leopold</w:t>
      </w:r>
      <w:r>
        <w:rPr>
          <w:sz w:val="24"/>
          <w:szCs w:val="24"/>
          <w:highlight w:val="yellow"/>
          <w:rtl w:val="0"/>
        </w:rPr>
        <w:t xml:space="preserve"> </w:t>
      </w:r>
      <w:r>
        <w:rPr>
          <w:sz w:val="24"/>
          <w:szCs w:val="24"/>
          <w:rtl w:val="0"/>
        </w:rPr>
        <w:t>(L</w:t>
      </w:r>
      <w:r>
        <w:rPr>
          <w:rFonts w:hint="default"/>
          <w:sz w:val="24"/>
          <w:szCs w:val="24"/>
          <w:rtl w:val="0"/>
          <w:lang w:val="pt-BR"/>
        </w:rPr>
        <w:t>eopold</w:t>
      </w:r>
      <w:r>
        <w:rPr>
          <w:sz w:val="24"/>
          <w:szCs w:val="24"/>
          <w:rtl w:val="0"/>
        </w:rPr>
        <w:t xml:space="preserve"> </w:t>
      </w:r>
      <w:r>
        <w:rPr>
          <w:i/>
          <w:iCs/>
          <w:sz w:val="24"/>
          <w:szCs w:val="24"/>
          <w:rtl w:val="0"/>
        </w:rPr>
        <w:t>et al</w:t>
      </w:r>
      <w:r>
        <w:rPr>
          <w:sz w:val="24"/>
          <w:szCs w:val="24"/>
          <w:rtl w:val="0"/>
        </w:rPr>
        <w:t>., 1971), que permite correlacionar as ações antrópicas com os componentes ambientais afetados, possibilitando uma análise integrada dos efeitos gerados.</w:t>
      </w:r>
    </w:p>
    <w:p w14:paraId="01BE4E92">
      <w:pPr>
        <w:keepNext w:val="0"/>
        <w:keepLines w:val="0"/>
        <w:pageBreakBefore w:val="0"/>
        <w:pBdr>
          <w:bottom w:val="none" w:color="000000" w:sz="0" w:space="18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jc w:val="both"/>
        <w:textAlignment w:val="auto"/>
        <w:rPr>
          <w:sz w:val="24"/>
          <w:szCs w:val="24"/>
          <w:rtl w:val="0"/>
        </w:rPr>
      </w:pPr>
      <w:r>
        <w:rPr>
          <w:sz w:val="24"/>
          <w:szCs w:val="24"/>
          <w:rtl w:val="0"/>
        </w:rPr>
        <w:tab/>
      </w:r>
      <w:r>
        <w:rPr>
          <w:sz w:val="24"/>
          <w:szCs w:val="24"/>
          <w:rtl w:val="0"/>
        </w:rPr>
        <w:t>A amostra considerou as principais atividades econômicas e ambientais de Tomé-Açu, como o cultivo agrícola, a criação de animais</w:t>
      </w:r>
      <w:r>
        <w:rPr>
          <w:rFonts w:hint="default"/>
          <w:sz w:val="24"/>
          <w:szCs w:val="24"/>
          <w:rtl w:val="0"/>
          <w:lang w:val="pt-BR"/>
        </w:rPr>
        <w:t xml:space="preserve"> e</w:t>
      </w:r>
      <w:r>
        <w:rPr>
          <w:sz w:val="24"/>
          <w:szCs w:val="24"/>
          <w:rtl w:val="0"/>
        </w:rPr>
        <w:t xml:space="preserve"> o uso do solo</w:t>
      </w:r>
      <w:r>
        <w:rPr>
          <w:rFonts w:hint="default"/>
          <w:sz w:val="24"/>
          <w:szCs w:val="24"/>
          <w:rtl w:val="0"/>
          <w:lang w:val="pt-BR"/>
        </w:rPr>
        <w:t>, bem como, o crescimento urbano não planejado, totalizando 5 atividades e seus impactos potenciais</w:t>
      </w:r>
      <w:r>
        <w:rPr>
          <w:sz w:val="24"/>
          <w:szCs w:val="24"/>
          <w:rtl w:val="0"/>
        </w:rPr>
        <w:t xml:space="preserve">. Foram analisadas as interações entre essas atividades e os fatores ambientais, como solo, água, ar, fauna, flora, paisagem e aspectos socioeconômicos, representando os elementos mais expressivos do território municipal. Os dados foram obtidos a partir de observações diretas, levantamentos bibliográficos e informações secundárias sobre o município, incluindo relatórios ambientais, estudos técnicos e registros de órgãos públicos. As ações antrópicas e os fatores ambientais foram organizados na Matriz de Leopold, com avaliação dos parâmetros de Magnitude (M) e Importância (I). Cada critério que compunha os parâmetros Magnitude e Importância recebeu pontuação de 1 a 5, reescalada para 0 a 10. O grau de impacto ambiental (G) foi obtido pela expressão G = M × I, variando de 1 a 10, e classificado como </w:t>
      </w:r>
      <w:r>
        <w:rPr>
          <w:rFonts w:hint="default"/>
          <w:sz w:val="24"/>
          <w:szCs w:val="24"/>
          <w:rtl w:val="0"/>
          <w:lang w:val="pt-BR"/>
        </w:rPr>
        <w:t xml:space="preserve">muito baixo (0-2), baixo (&gt;2-4), </w:t>
      </w:r>
      <w:r>
        <w:rPr>
          <w:sz w:val="24"/>
          <w:szCs w:val="24"/>
          <w:rtl w:val="0"/>
        </w:rPr>
        <w:t>moderado</w:t>
      </w:r>
      <w:r>
        <w:rPr>
          <w:rFonts w:hint="default"/>
          <w:sz w:val="24"/>
          <w:szCs w:val="24"/>
          <w:rtl w:val="0"/>
          <w:lang w:val="pt-BR"/>
        </w:rPr>
        <w:t xml:space="preserve"> (&gt;4-6)</w:t>
      </w:r>
      <w:r>
        <w:rPr>
          <w:sz w:val="24"/>
          <w:szCs w:val="24"/>
          <w:rtl w:val="0"/>
        </w:rPr>
        <w:t xml:space="preserve">, </w:t>
      </w:r>
      <w:r>
        <w:rPr>
          <w:rFonts w:hint="default"/>
          <w:sz w:val="24"/>
          <w:szCs w:val="24"/>
          <w:rtl w:val="0"/>
          <w:lang w:val="pt-BR"/>
        </w:rPr>
        <w:t>alto (&gt;6-8) e muito alto (&gt;8-10)</w:t>
      </w:r>
      <w:r>
        <w:rPr>
          <w:sz w:val="24"/>
          <w:szCs w:val="24"/>
          <w:rtl w:val="0"/>
        </w:rPr>
        <w:t>. Os resultados foram interpretados através da realidade socioambiental de Tomé-Açu, permitindo identificar os principais fatores de pressão sobre o meio ambiente e propor medidas mitigadoras e estratégias de gestão sustentável adequadas à realidade local.</w:t>
      </w:r>
    </w:p>
    <w:p w14:paraId="2C97D9A1">
      <w:pPr>
        <w:keepNext w:val="0"/>
        <w:keepLines w:val="0"/>
        <w:pageBreakBefore w:val="0"/>
        <w:pBdr>
          <w:bottom w:val="none" w:color="000000" w:sz="0" w:space="18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jc w:val="both"/>
        <w:textAlignment w:val="auto"/>
        <w:rPr>
          <w:sz w:val="24"/>
          <w:szCs w:val="24"/>
          <w:rtl w:val="0"/>
        </w:rPr>
      </w:pPr>
    </w:p>
    <w:p w14:paraId="4E6BF95D">
      <w:pPr>
        <w:keepNext w:val="0"/>
        <w:keepLines w:val="0"/>
        <w:pageBreakBefore w:val="0"/>
        <w:numPr>
          <w:ilvl w:val="0"/>
          <w:numId w:val="0"/>
        </w:numPr>
        <w:pBdr>
          <w:bottom w:val="none" w:color="000000" w:sz="0" w:space="18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Chars="0"/>
        <w:jc w:val="both"/>
        <w:textAlignment w:val="auto"/>
        <w:rPr>
          <w:b/>
          <w:sz w:val="24"/>
          <w:szCs w:val="24"/>
          <w:rtl w:val="0"/>
        </w:rPr>
      </w:pPr>
      <w:r>
        <w:rPr>
          <w:rFonts w:hint="default"/>
          <w:b/>
          <w:sz w:val="24"/>
          <w:szCs w:val="24"/>
          <w:rtl w:val="0"/>
          <w:lang w:val="pt-BR"/>
        </w:rPr>
        <w:t xml:space="preserve">3. </w:t>
      </w:r>
      <w:r>
        <w:rPr>
          <w:b/>
          <w:sz w:val="24"/>
          <w:szCs w:val="24"/>
          <w:rtl w:val="0"/>
        </w:rPr>
        <w:t>RESULTADOS E DISCUSSÃO</w:t>
      </w:r>
    </w:p>
    <w:p w14:paraId="2254ACB0">
      <w:pPr>
        <w:keepNext w:val="0"/>
        <w:keepLines w:val="0"/>
        <w:pageBreakBefore w:val="0"/>
        <w:numPr>
          <w:ilvl w:val="0"/>
          <w:numId w:val="0"/>
        </w:numPr>
        <w:pBdr>
          <w:bottom w:val="none" w:color="000000" w:sz="0" w:space="18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Chars="0"/>
        <w:jc w:val="both"/>
        <w:textAlignment w:val="auto"/>
        <w:rPr>
          <w:sz w:val="24"/>
          <w:szCs w:val="24"/>
          <w:rtl w:val="0"/>
        </w:rPr>
      </w:pPr>
      <w:r>
        <w:rPr>
          <w:sz w:val="24"/>
          <w:szCs w:val="24"/>
          <w:rtl w:val="0"/>
        </w:rPr>
        <w:tab/>
      </w:r>
      <w:r>
        <w:rPr>
          <w:sz w:val="24"/>
          <w:szCs w:val="24"/>
          <w:rtl w:val="0"/>
        </w:rPr>
        <w:t>A necessidade de métodos eficazes e acessíveis para o diagnóstico e monitoramento da qualidade das águas amazônicas torna-se cada vez mais urgente diante das crescentes pressões antrópicas sobre os ecossistemas fluviais. Nesse contexto, a aplicação da Matriz de Leopold mostrou-se um instrumento de baixo custo e alta confiabilidade, permitindo avaliar transformações reais do ambiente e quantificar os impactos decorrentes das atividades humanas. Para a compreensão das pressões exercidas sobre o rio Acará-Mirim, foram selecionadas cinco atividades consideradas determinantes na modificação da paisagem e das características naturais do rio, a partir das quais se identificaram os principais efeitos negativos na zona fluvial.</w:t>
      </w:r>
    </w:p>
    <w:p w14:paraId="1414A424">
      <w:pPr>
        <w:keepNext w:val="0"/>
        <w:keepLines w:val="0"/>
        <w:pageBreakBefore w:val="0"/>
        <w:numPr>
          <w:ilvl w:val="0"/>
          <w:numId w:val="0"/>
        </w:numPr>
        <w:pBdr>
          <w:bottom w:val="none" w:color="000000" w:sz="0" w:space="18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Chars="0"/>
        <w:jc w:val="both"/>
        <w:textAlignment w:val="auto"/>
        <w:rPr>
          <w:sz w:val="24"/>
          <w:szCs w:val="24"/>
          <w:rtl w:val="0"/>
        </w:rPr>
      </w:pPr>
      <w:r>
        <w:rPr>
          <w:sz w:val="24"/>
          <w:szCs w:val="24"/>
          <w:rtl w:val="0"/>
        </w:rPr>
        <w:tab/>
      </w:r>
      <w:r>
        <w:rPr>
          <w:sz w:val="24"/>
          <w:szCs w:val="24"/>
          <w:rtl w:val="0"/>
        </w:rPr>
        <w:t>A supressão da vegetação ciliar e das áreas adjacentes ao curso d’água tem desencadeado intensos processos de erosão e assoreamento do canal fluvial. A pecuária intensiva contribui para agravar esse quadro, devido à compactação do solo e à ausência de manejo adequado das pastagens. Em contextos semelhantes, como no bioma Cerrado, a pecuária intensiva tem gerado expressivos impactos ambientais, incluindo aumento da erosão, emissões significativas de gases de efeito estufa (GEE) e uso intensivo dos recursos hídricos, configurando um passivo ambiental relevante (O</w:t>
      </w:r>
      <w:r>
        <w:rPr>
          <w:rFonts w:hint="default"/>
          <w:sz w:val="24"/>
          <w:szCs w:val="24"/>
          <w:rtl w:val="0"/>
          <w:lang w:val="pt-BR"/>
        </w:rPr>
        <w:t>liveira e Shinomiya</w:t>
      </w:r>
      <w:r>
        <w:rPr>
          <w:sz w:val="24"/>
          <w:szCs w:val="24"/>
          <w:rtl w:val="0"/>
        </w:rPr>
        <w:t xml:space="preserve">, 2020). Soma-se a isso a ocupação irregular das margens por residências em Áreas de Preservação Permanente (APPs), </w:t>
      </w:r>
      <w:r>
        <w:rPr>
          <w:sz w:val="24"/>
          <w:szCs w:val="24"/>
        </w:rPr>
        <w:t>agravando a degradação e dificultando a regeneração natural das áreas ribeirinhas</w:t>
      </w:r>
      <w:r>
        <w:rPr>
          <w:rFonts w:hint="default"/>
          <w:sz w:val="24"/>
          <w:szCs w:val="24"/>
          <w:lang w:val="pt-BR"/>
        </w:rPr>
        <w:t>.</w:t>
      </w:r>
    </w:p>
    <w:p w14:paraId="510965B5">
      <w:pPr>
        <w:keepNext w:val="0"/>
        <w:keepLines w:val="0"/>
        <w:pageBreakBefore w:val="0"/>
        <w:numPr>
          <w:ilvl w:val="0"/>
          <w:numId w:val="0"/>
        </w:numPr>
        <w:pBdr>
          <w:bottom w:val="none" w:color="000000" w:sz="0" w:space="18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Chars="0"/>
        <w:jc w:val="both"/>
        <w:textAlignment w:val="auto"/>
        <w:rPr>
          <w:sz w:val="24"/>
          <w:szCs w:val="24"/>
          <w:rtl w:val="0"/>
        </w:rPr>
      </w:pPr>
      <w:r>
        <w:rPr>
          <w:sz w:val="24"/>
          <w:szCs w:val="24"/>
          <w:rtl w:val="0"/>
        </w:rPr>
        <w:tab/>
      </w:r>
      <w:r>
        <w:rPr>
          <w:sz w:val="24"/>
          <w:szCs w:val="24"/>
          <w:rtl w:val="0"/>
        </w:rPr>
        <w:t>O município de Tomé-Açu destaca-se pelo desenvolvimento da agricultura mecanizada, especialmente voltada ao cultivo de dendê, atividade que atende empresas nacionais e transnacionais. Entretanto, a conversão de extensas áreas florestais em plantações de palma de óleo tem resultado em desmatamento expressivo e perda de biodiversidade. Estudos demonstram que a substituição em larga escala das florestas tropicais por monocultivos de dendê acarreta a redução da diversidade de espécies vegetais e animais, alterando significativamente a estrutura dos ecossistemas locais (M</w:t>
      </w:r>
      <w:r>
        <w:rPr>
          <w:rFonts w:hint="default"/>
          <w:sz w:val="24"/>
          <w:szCs w:val="24"/>
          <w:rtl w:val="0"/>
          <w:lang w:val="pt-BR"/>
        </w:rPr>
        <w:t>onteiro</w:t>
      </w:r>
      <w:r>
        <w:rPr>
          <w:sz w:val="24"/>
          <w:szCs w:val="24"/>
          <w:rtl w:val="0"/>
        </w:rPr>
        <w:t>, 2017</w:t>
      </w:r>
      <w:r>
        <w:rPr>
          <w:rFonts w:hint="default"/>
          <w:sz w:val="24"/>
          <w:szCs w:val="24"/>
          <w:rtl w:val="0"/>
          <w:lang w:val="pt-BR"/>
        </w:rPr>
        <w:t>)</w:t>
      </w:r>
      <w:r>
        <w:rPr>
          <w:sz w:val="24"/>
          <w:szCs w:val="24"/>
          <w:rtl w:val="0"/>
        </w:rPr>
        <w:t>.</w:t>
      </w:r>
      <w:r>
        <w:rPr>
          <w:sz w:val="24"/>
          <w:szCs w:val="24"/>
          <w:rtl w:val="0"/>
        </w:rPr>
        <w:tab/>
      </w:r>
      <w:r>
        <w:rPr>
          <w:sz w:val="24"/>
          <w:szCs w:val="24"/>
          <w:rtl w:val="0"/>
        </w:rPr>
        <w:t>Foi também identificado o lançamento de efluentes domésticos nas águas do rio como impacto de grau moderado. O descarte inadequado de esgoto, especialmente de águas cinzas, e as canalizações improvisadas que escoam pelas vias públicas acabam direcionando os fluidos contaminados para o leito fluvial (O</w:t>
      </w:r>
      <w:r>
        <w:rPr>
          <w:rFonts w:hint="default"/>
          <w:sz w:val="24"/>
          <w:szCs w:val="24"/>
          <w:rtl w:val="0"/>
          <w:lang w:val="pt-BR"/>
        </w:rPr>
        <w:t xml:space="preserve">liveira e </w:t>
      </w:r>
      <w:r>
        <w:rPr>
          <w:sz w:val="24"/>
          <w:szCs w:val="24"/>
          <w:rtl w:val="0"/>
        </w:rPr>
        <w:t>S</w:t>
      </w:r>
      <w:r>
        <w:rPr>
          <w:rFonts w:hint="default"/>
          <w:sz w:val="24"/>
          <w:szCs w:val="24"/>
          <w:rtl w:val="0"/>
          <w:lang w:val="pt-BR"/>
        </w:rPr>
        <w:t>hinomiya</w:t>
      </w:r>
      <w:r>
        <w:rPr>
          <w:sz w:val="24"/>
          <w:szCs w:val="24"/>
          <w:rtl w:val="0"/>
        </w:rPr>
        <w:t>, 2023). Essa prática promove a eutrofização e a proliferação de microrganismos patogênicos, comprometendo a potabilidade e o uso recreativo da água. Pesquisas recentes na região apontam altas concentrações de coliformes, evidenciando contaminação por bactérias potencialmente patogênicas, o que reforça a necessidade de controle sanitário (S</w:t>
      </w:r>
      <w:r>
        <w:rPr>
          <w:rFonts w:hint="default"/>
          <w:sz w:val="24"/>
          <w:szCs w:val="24"/>
          <w:rtl w:val="0"/>
          <w:lang w:val="pt-BR"/>
        </w:rPr>
        <w:t>ilva</w:t>
      </w:r>
      <w:r>
        <w:rPr>
          <w:sz w:val="24"/>
          <w:szCs w:val="24"/>
          <w:rtl w:val="0"/>
        </w:rPr>
        <w:t>, 2025).</w:t>
      </w:r>
    </w:p>
    <w:p w14:paraId="1A64ACBD">
      <w:pPr>
        <w:keepNext w:val="0"/>
        <w:keepLines w:val="0"/>
        <w:pageBreakBefore w:val="0"/>
        <w:numPr>
          <w:ilvl w:val="0"/>
          <w:numId w:val="0"/>
        </w:numPr>
        <w:pBdr>
          <w:bottom w:val="none" w:color="000000" w:sz="0" w:space="18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Chars="0"/>
        <w:jc w:val="both"/>
        <w:textAlignment w:val="auto"/>
        <w:rPr>
          <w:sz w:val="24"/>
          <w:szCs w:val="24"/>
          <w:rtl w:val="0"/>
        </w:rPr>
      </w:pPr>
      <w:r>
        <w:rPr>
          <w:sz w:val="24"/>
          <w:szCs w:val="24"/>
          <w:rtl w:val="0"/>
        </w:rPr>
        <w:tab/>
      </w:r>
      <w:r>
        <w:rPr>
          <w:sz w:val="24"/>
          <w:szCs w:val="24"/>
          <w:rtl w:val="0"/>
        </w:rPr>
        <w:t>Além dos efluentes domésticos, verificou-se também a entrada de fertilizantes nas águas do rio, influenciada pela forte presença da cultura do dendê. O uso intensivo de pesticidas e fertilizantes para o aumento da produtividade agrícola resulta, por lixiviação, na contaminação química dos corpos hídricos (M</w:t>
      </w:r>
      <w:r>
        <w:rPr>
          <w:rFonts w:hint="default"/>
          <w:sz w:val="24"/>
          <w:szCs w:val="24"/>
          <w:rtl w:val="0"/>
          <w:lang w:val="pt-BR"/>
        </w:rPr>
        <w:t>onteiro</w:t>
      </w:r>
      <w:r>
        <w:rPr>
          <w:sz w:val="24"/>
          <w:szCs w:val="24"/>
          <w:rtl w:val="0"/>
        </w:rPr>
        <w:t>, 2017). Contudo, o impacto mais severo identificado refere-se ao descarte inadequado de resíduos sólidos, responsável pela contaminação química e biológica das águas</w:t>
      </w:r>
      <w:r>
        <w:rPr>
          <w:rFonts w:hint="default"/>
          <w:sz w:val="24"/>
          <w:szCs w:val="24"/>
          <w:rtl w:val="0"/>
          <w:lang w:val="pt-BR"/>
        </w:rPr>
        <w:t>, devido a presença de óleos e produtos de limpeza, bem como, vírus e bactérias que são abundantes neste tipo de resíduos.</w:t>
      </w:r>
      <w:r>
        <w:rPr>
          <w:sz w:val="24"/>
          <w:szCs w:val="24"/>
          <w:rtl w:val="0"/>
        </w:rPr>
        <w:t xml:space="preserve"> Esse processo está diretamente relacionado à urbanização desordenada, à presença de palafitas e às deficiências no saneamento básico local.</w:t>
      </w:r>
    </w:p>
    <w:p w14:paraId="6CCAC5AA">
      <w:pPr>
        <w:keepNext w:val="0"/>
        <w:keepLines w:val="0"/>
        <w:pageBreakBefore w:val="0"/>
        <w:numPr>
          <w:ilvl w:val="0"/>
          <w:numId w:val="0"/>
        </w:numPr>
        <w:pBdr>
          <w:bottom w:val="none" w:color="000000" w:sz="0" w:space="18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Chars="0"/>
        <w:jc w:val="both"/>
        <w:textAlignment w:val="auto"/>
        <w:rPr>
          <w:sz w:val="24"/>
          <w:szCs w:val="24"/>
          <w:rtl w:val="0"/>
        </w:rPr>
      </w:pPr>
      <w:r>
        <w:rPr>
          <w:sz w:val="24"/>
          <w:szCs w:val="24"/>
          <w:rtl w:val="0"/>
        </w:rPr>
        <w:tab/>
      </w:r>
      <w:r>
        <w:rPr>
          <w:sz w:val="24"/>
          <w:szCs w:val="24"/>
          <w:rtl w:val="0"/>
        </w:rPr>
        <w:t>De modo geral, os resultados demonstram que os impactos mais expressivos estão associados à gestão inadequada dos resíduos sólidos e à entrada de nutrientes nos corpos hídricos</w:t>
      </w:r>
      <w:r>
        <w:rPr>
          <w:rFonts w:hint="default"/>
          <w:sz w:val="24"/>
          <w:szCs w:val="24"/>
          <w:rtl w:val="0"/>
          <w:lang w:val="pt-BR"/>
        </w:rPr>
        <w:t xml:space="preserve"> (Tabela 1)</w:t>
      </w:r>
      <w:r>
        <w:rPr>
          <w:sz w:val="24"/>
          <w:szCs w:val="24"/>
          <w:rtl w:val="0"/>
        </w:rPr>
        <w:t>, ambos de caráter cumulativo e difícil reversão. Assim, evidencia-se a necessidade urgente de ações de mitigação ambiental, como o fortalecimento de programas de educação ambiental, o reflorestamento de áreas ciliares e a implantação de sistemas eficientes de tratamento de efluentes domésticos, como medidas fundamentais para a recuperação e preservação do rio Acará-Mirim.</w:t>
      </w:r>
    </w:p>
    <w:p w14:paraId="06ABF735">
      <w:pPr>
        <w:keepNext w:val="0"/>
        <w:keepLines w:val="0"/>
        <w:pageBreakBefore w:val="0"/>
        <w:numPr>
          <w:ilvl w:val="0"/>
          <w:numId w:val="0"/>
        </w:numPr>
        <w:pBdr>
          <w:bottom w:val="none" w:color="000000" w:sz="0" w:space="18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Chars="0"/>
        <w:jc w:val="both"/>
        <w:textAlignment w:val="auto"/>
        <w:rPr>
          <w:sz w:val="24"/>
          <w:szCs w:val="24"/>
          <w:rtl w:val="0"/>
        </w:rPr>
      </w:pPr>
    </w:p>
    <w:p w14:paraId="3FA1FFCC">
      <w:pPr>
        <w:keepNext w:val="0"/>
        <w:keepLines w:val="0"/>
        <w:pageBreakBefore w:val="0"/>
        <w:numPr>
          <w:ilvl w:val="0"/>
          <w:numId w:val="0"/>
        </w:numPr>
        <w:pBdr>
          <w:bottom w:val="none" w:color="000000" w:sz="0" w:space="18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Chars="0"/>
        <w:jc w:val="both"/>
        <w:textAlignment w:val="auto"/>
        <w:rPr>
          <w:rFonts w:hint="default"/>
          <w:sz w:val="24"/>
          <w:szCs w:val="24"/>
          <w:rtl w:val="0"/>
          <w:lang w:val="pt-BR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rtl w:val="0"/>
          <w:lang w:val="pt-BR"/>
        </w:rPr>
        <w:t>Tabela 1:</w:t>
      </w:r>
      <w:r>
        <w:rPr>
          <w:rFonts w:hint="default" w:ascii="Times New Roman" w:hAnsi="Times New Roman" w:cs="Times New Roman"/>
          <w:sz w:val="24"/>
          <w:szCs w:val="24"/>
          <w:rtl w:val="0"/>
          <w:lang w:val="pt-BR"/>
        </w:rPr>
        <w:t xml:space="preserve"> </w:t>
      </w:r>
      <w:r>
        <w:rPr>
          <w:rFonts w:hint="default" w:ascii="Times New Roman" w:hAnsi="Times New Roman" w:eastAsia="SimSun" w:cs="Times New Roman"/>
          <w:sz w:val="24"/>
          <w:szCs w:val="24"/>
        </w:rPr>
        <w:t>Atividades antrópicas selecionadas e seus respectivos impactos potenciais sobre o rio Acará-Mirim, com valores de grau e classificação do impacto obtidos pela aplicação da Matriz de Leopold</w:t>
      </w:r>
      <w:r>
        <w:rPr>
          <w:rFonts w:hint="default" w:ascii="SimSun" w:hAnsi="SimSun" w:eastAsia="SimSun" w:cs="SimSun"/>
          <w:sz w:val="24"/>
          <w:szCs w:val="24"/>
          <w:lang w:val="pt-BR"/>
        </w:rPr>
        <w:t>.</w:t>
      </w:r>
    </w:p>
    <w:tbl>
      <w:tblPr>
        <w:tblStyle w:val="9"/>
        <w:tblW w:w="913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3450"/>
        <w:gridCol w:w="3179"/>
        <w:gridCol w:w="860"/>
        <w:gridCol w:w="1646"/>
      </w:tblGrid>
      <w:tr w14:paraId="7224B87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7B7B7"/>
            <w:noWrap w:val="0"/>
            <w:tcMar>
              <w:top w:w="20" w:type="dxa"/>
              <w:left w:w="30" w:type="dxa"/>
              <w:bottom w:w="20" w:type="dxa"/>
              <w:right w:w="30" w:type="dxa"/>
            </w:tcMar>
            <w:vAlign w:val="center"/>
          </w:tcPr>
          <w:p w14:paraId="60B0C4EB">
            <w:pPr>
              <w:keepNext w:val="0"/>
              <w:keepLines w:val="0"/>
              <w:widowControl/>
              <w:suppressLineNumbers w:val="0"/>
              <w:bidi w:val="0"/>
              <w:jc w:val="center"/>
              <w:textAlignment w:val="center"/>
              <w:rPr>
                <w:rFonts w:hint="default"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eastAsia="SimSun" w:cs="Times New Roman"/>
                <w:b/>
                <w:bCs/>
                <w:kern w:val="0"/>
                <w:sz w:val="24"/>
                <w:szCs w:val="24"/>
                <w:lang w:val="en-US" w:eastAsia="zh-CN" w:bidi="ar"/>
              </w:rPr>
              <w:t>Atividade Antrópica</w:t>
            </w:r>
          </w:p>
        </w:tc>
        <w:tc>
          <w:tcPr>
            <w:tcW w:w="3179" w:type="dxa"/>
            <w:tcBorders>
              <w:top w:val="single" w:color="000000" w:sz="4" w:space="0"/>
              <w:left w:val="single" w:color="CCCCCC" w:sz="4" w:space="0"/>
              <w:bottom w:val="single" w:color="000000" w:sz="4" w:space="0"/>
              <w:right w:val="single" w:color="000000" w:sz="4" w:space="0"/>
            </w:tcBorders>
            <w:shd w:val="clear" w:color="auto" w:fill="B7B7B7"/>
            <w:noWrap w:val="0"/>
            <w:tcMar>
              <w:top w:w="20" w:type="dxa"/>
              <w:left w:w="30" w:type="dxa"/>
              <w:bottom w:w="20" w:type="dxa"/>
              <w:right w:w="30" w:type="dxa"/>
            </w:tcMar>
            <w:vAlign w:val="center"/>
          </w:tcPr>
          <w:p w14:paraId="01A4C318">
            <w:pPr>
              <w:keepNext w:val="0"/>
              <w:keepLines w:val="0"/>
              <w:widowControl/>
              <w:suppressLineNumbers w:val="0"/>
              <w:bidi w:val="0"/>
              <w:jc w:val="center"/>
              <w:textAlignment w:val="center"/>
              <w:rPr>
                <w:rFonts w:hint="default"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eastAsia="SimSun" w:cs="Times New Roman"/>
                <w:b/>
                <w:bCs/>
                <w:kern w:val="0"/>
                <w:sz w:val="24"/>
                <w:szCs w:val="24"/>
                <w:lang w:val="en-US" w:eastAsia="zh-CN" w:bidi="ar"/>
              </w:rPr>
              <w:t>Impactos Potenciais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CCCCCC" w:sz="4" w:space="0"/>
              <w:bottom w:val="single" w:color="000000" w:sz="4" w:space="0"/>
              <w:right w:val="single" w:color="000000" w:sz="4" w:space="0"/>
            </w:tcBorders>
            <w:shd w:val="clear" w:color="auto" w:fill="B7B7B7"/>
            <w:noWrap w:val="0"/>
            <w:tcMar>
              <w:top w:w="20" w:type="dxa"/>
              <w:left w:w="30" w:type="dxa"/>
              <w:bottom w:w="20" w:type="dxa"/>
              <w:right w:w="30" w:type="dxa"/>
            </w:tcMar>
            <w:vAlign w:val="center"/>
          </w:tcPr>
          <w:p w14:paraId="67A9D944">
            <w:pPr>
              <w:keepNext w:val="0"/>
              <w:keepLines w:val="0"/>
              <w:widowControl/>
              <w:suppressLineNumbers w:val="0"/>
              <w:bidi w:val="0"/>
              <w:jc w:val="center"/>
              <w:textAlignment w:val="center"/>
              <w:rPr>
                <w:rFonts w:hint="default"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eastAsia="SimSun" w:cs="Times New Roman"/>
                <w:b/>
                <w:bCs/>
                <w:kern w:val="0"/>
                <w:sz w:val="24"/>
                <w:szCs w:val="24"/>
                <w:lang w:val="en-US" w:eastAsia="zh-CN" w:bidi="ar"/>
              </w:rPr>
              <w:t>Grau</w:t>
            </w:r>
          </w:p>
        </w:tc>
        <w:tc>
          <w:tcPr>
            <w:tcW w:w="1646" w:type="dxa"/>
            <w:tcBorders>
              <w:top w:val="single" w:color="000000" w:sz="4" w:space="0"/>
              <w:left w:val="single" w:color="CCCCCC" w:sz="4" w:space="0"/>
              <w:bottom w:val="single" w:color="000000" w:sz="4" w:space="0"/>
              <w:right w:val="single" w:color="000000" w:sz="4" w:space="0"/>
            </w:tcBorders>
            <w:shd w:val="clear" w:color="auto" w:fill="B7B7B7"/>
            <w:noWrap w:val="0"/>
            <w:tcMar>
              <w:top w:w="20" w:type="dxa"/>
              <w:left w:w="30" w:type="dxa"/>
              <w:bottom w:w="20" w:type="dxa"/>
              <w:right w:w="30" w:type="dxa"/>
            </w:tcMar>
            <w:vAlign w:val="center"/>
          </w:tcPr>
          <w:p w14:paraId="11B1E9DC">
            <w:pPr>
              <w:keepNext w:val="0"/>
              <w:keepLines w:val="0"/>
              <w:widowControl/>
              <w:suppressLineNumbers w:val="0"/>
              <w:bidi w:val="0"/>
              <w:jc w:val="center"/>
              <w:textAlignment w:val="center"/>
              <w:rPr>
                <w:rFonts w:hint="default"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eastAsia="SimSun" w:cs="Times New Roman"/>
                <w:b/>
                <w:bCs/>
                <w:kern w:val="0"/>
                <w:sz w:val="24"/>
                <w:szCs w:val="24"/>
                <w:lang w:val="en-US" w:eastAsia="zh-CN" w:bidi="ar"/>
              </w:rPr>
              <w:t>Classificação do Impacto</w:t>
            </w:r>
          </w:p>
        </w:tc>
      </w:tr>
      <w:tr w14:paraId="4A31D5F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0" w:hRule="atLeast"/>
        </w:trPr>
        <w:tc>
          <w:tcPr>
            <w:tcW w:w="0" w:type="auto"/>
            <w:tcBorders>
              <w:top w:val="single" w:color="CCCCCC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FEFEF"/>
            <w:noWrap w:val="0"/>
            <w:tcMar>
              <w:top w:w="20" w:type="dxa"/>
              <w:left w:w="30" w:type="dxa"/>
              <w:bottom w:w="20" w:type="dxa"/>
              <w:right w:w="30" w:type="dxa"/>
            </w:tcMar>
            <w:vAlign w:val="center"/>
          </w:tcPr>
          <w:p w14:paraId="7BC373C7">
            <w:pPr>
              <w:keepNext w:val="0"/>
              <w:keepLines w:val="0"/>
              <w:widowControl/>
              <w:suppressLineNumbers w:val="0"/>
              <w:bidi w:val="0"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hint="default" w:ascii="Times New Roman" w:hAnsi="Times New Roman" w:eastAsia="SimSun" w:cs="Times New Roman"/>
                <w:b w:val="0"/>
                <w:bCs w:val="0"/>
                <w:kern w:val="0"/>
                <w:sz w:val="24"/>
                <w:szCs w:val="24"/>
                <w:lang w:val="en-US" w:eastAsia="zh-CN" w:bidi="ar"/>
              </w:rPr>
              <w:t>Supressão da vegetação ciliar e desmatamento das margens do rio</w:t>
            </w:r>
          </w:p>
        </w:tc>
        <w:tc>
          <w:tcPr>
            <w:tcW w:w="3179" w:type="dxa"/>
            <w:tcBorders>
              <w:top w:val="single" w:color="CCCCCC" w:sz="4" w:space="0"/>
              <w:left w:val="single" w:color="CCCCCC" w:sz="4" w:space="0"/>
              <w:bottom w:val="single" w:color="000000" w:sz="4" w:space="0"/>
              <w:right w:val="single" w:color="000000" w:sz="4" w:space="0"/>
            </w:tcBorders>
            <w:shd w:val="clear" w:color="auto" w:fill="EFEFEF"/>
            <w:noWrap w:val="0"/>
            <w:tcMar>
              <w:top w:w="20" w:type="dxa"/>
              <w:left w:w="30" w:type="dxa"/>
              <w:bottom w:w="20" w:type="dxa"/>
              <w:right w:w="30" w:type="dxa"/>
            </w:tcMar>
            <w:vAlign w:val="center"/>
          </w:tcPr>
          <w:p w14:paraId="0EDE18FA">
            <w:pPr>
              <w:keepNext w:val="0"/>
              <w:keepLines w:val="0"/>
              <w:widowControl/>
              <w:suppressLineNumbers w:val="0"/>
              <w:bidi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hint="default" w:ascii="Times New Roman" w:hAnsi="Times New Roman" w:eastAsia="SimSun" w:cs="Times New Roman"/>
                <w:b w:val="0"/>
                <w:bCs w:val="0"/>
                <w:kern w:val="0"/>
                <w:sz w:val="24"/>
                <w:szCs w:val="24"/>
                <w:lang w:val="pt-BR" w:eastAsia="zh-CN" w:bidi="ar"/>
              </w:rPr>
              <w:t>E</w:t>
            </w:r>
            <w:r>
              <w:rPr>
                <w:rFonts w:hint="default" w:ascii="Times New Roman" w:hAnsi="Times New Roman" w:eastAsia="SimSun" w:cs="Times New Roman"/>
                <w:b w:val="0"/>
                <w:bCs w:val="0"/>
                <w:kern w:val="0"/>
                <w:sz w:val="24"/>
                <w:szCs w:val="24"/>
                <w:lang w:val="en-US" w:eastAsia="zh-CN" w:bidi="ar"/>
              </w:rPr>
              <w:t>rosão e assoreamento</w:t>
            </w:r>
          </w:p>
        </w:tc>
        <w:tc>
          <w:tcPr>
            <w:tcW w:w="860" w:type="dxa"/>
            <w:tcBorders>
              <w:top w:val="single" w:color="CCCCCC" w:sz="4" w:space="0"/>
              <w:left w:val="single" w:color="CCCCCC" w:sz="4" w:space="0"/>
              <w:bottom w:val="single" w:color="000000" w:sz="4" w:space="0"/>
              <w:right w:val="single" w:color="000000" w:sz="4" w:space="0"/>
            </w:tcBorders>
            <w:shd w:val="clear" w:color="auto" w:fill="EFEFEF"/>
            <w:noWrap w:val="0"/>
            <w:tcMar>
              <w:top w:w="20" w:type="dxa"/>
              <w:left w:w="30" w:type="dxa"/>
              <w:bottom w:w="20" w:type="dxa"/>
              <w:right w:w="30" w:type="dxa"/>
            </w:tcMar>
            <w:vAlign w:val="center"/>
          </w:tcPr>
          <w:p w14:paraId="3FE5EAC1">
            <w:pPr>
              <w:keepNext w:val="0"/>
              <w:keepLines w:val="0"/>
              <w:widowControl/>
              <w:suppressLineNumbers w:val="0"/>
              <w:bidi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hint="default" w:ascii="Times New Roman" w:hAnsi="Times New Roman" w:eastAsia="SimSun" w:cs="Times New Roman"/>
                <w:b w:val="0"/>
                <w:bCs w:val="0"/>
                <w:kern w:val="0"/>
                <w:sz w:val="24"/>
                <w:szCs w:val="24"/>
                <w:lang w:val="en-US" w:eastAsia="zh-CN" w:bidi="ar"/>
              </w:rPr>
              <w:t>5,7</w:t>
            </w:r>
          </w:p>
        </w:tc>
        <w:tc>
          <w:tcPr>
            <w:tcW w:w="1646" w:type="dxa"/>
            <w:tcBorders>
              <w:top w:val="single" w:color="CCCCCC" w:sz="4" w:space="0"/>
              <w:left w:val="single" w:color="CCCCCC" w:sz="4" w:space="0"/>
              <w:bottom w:val="single" w:color="000000" w:sz="4" w:space="0"/>
              <w:right w:val="single" w:color="000000" w:sz="4" w:space="0"/>
            </w:tcBorders>
            <w:shd w:val="clear" w:color="auto" w:fill="EFEFEF"/>
            <w:noWrap w:val="0"/>
            <w:tcMar>
              <w:top w:w="20" w:type="dxa"/>
              <w:left w:w="30" w:type="dxa"/>
              <w:bottom w:w="20" w:type="dxa"/>
              <w:right w:w="30" w:type="dxa"/>
            </w:tcMar>
            <w:vAlign w:val="center"/>
          </w:tcPr>
          <w:p w14:paraId="73D351E8">
            <w:pPr>
              <w:keepNext w:val="0"/>
              <w:keepLines w:val="0"/>
              <w:widowControl/>
              <w:suppressLineNumbers w:val="0"/>
              <w:bidi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hint="default" w:ascii="Times New Roman" w:hAnsi="Times New Roman" w:eastAsia="SimSun" w:cs="Times New Roman"/>
                <w:b w:val="0"/>
                <w:bCs w:val="0"/>
                <w:kern w:val="0"/>
                <w:sz w:val="24"/>
                <w:szCs w:val="24"/>
                <w:lang w:val="en-US" w:eastAsia="zh-CN" w:bidi="ar"/>
              </w:rPr>
              <w:t>Moderado</w:t>
            </w:r>
          </w:p>
        </w:tc>
      </w:tr>
      <w:tr w14:paraId="45F9728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0" w:hRule="atLeast"/>
        </w:trPr>
        <w:tc>
          <w:tcPr>
            <w:tcW w:w="0" w:type="auto"/>
            <w:tcBorders>
              <w:top w:val="single" w:color="CCCCCC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FEFEF"/>
            <w:noWrap w:val="0"/>
            <w:tcMar>
              <w:top w:w="20" w:type="dxa"/>
              <w:left w:w="30" w:type="dxa"/>
              <w:bottom w:w="20" w:type="dxa"/>
              <w:right w:w="30" w:type="dxa"/>
            </w:tcMar>
            <w:vAlign w:val="center"/>
          </w:tcPr>
          <w:p w14:paraId="36DBDA85">
            <w:pPr>
              <w:keepNext w:val="0"/>
              <w:keepLines w:val="0"/>
              <w:widowControl/>
              <w:suppressLineNumbers w:val="0"/>
              <w:bidi w:val="0"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hint="default" w:ascii="Times New Roman" w:hAnsi="Times New Roman" w:eastAsia="SimSun" w:cs="Times New Roman"/>
                <w:b w:val="0"/>
                <w:bCs w:val="0"/>
                <w:kern w:val="0"/>
                <w:sz w:val="24"/>
                <w:szCs w:val="24"/>
                <w:lang w:val="en-US" w:eastAsia="zh-CN" w:bidi="ar"/>
              </w:rPr>
              <w:t>Pecuária intensiva</w:t>
            </w:r>
          </w:p>
        </w:tc>
        <w:tc>
          <w:tcPr>
            <w:tcW w:w="3179" w:type="dxa"/>
            <w:tcBorders>
              <w:top w:val="single" w:color="CCCCCC" w:sz="4" w:space="0"/>
              <w:left w:val="single" w:color="CCCCCC" w:sz="4" w:space="0"/>
              <w:bottom w:val="single" w:color="000000" w:sz="4" w:space="0"/>
              <w:right w:val="single" w:color="000000" w:sz="4" w:space="0"/>
            </w:tcBorders>
            <w:shd w:val="clear" w:color="auto" w:fill="EFEFEF"/>
            <w:noWrap w:val="0"/>
            <w:tcMar>
              <w:top w:w="20" w:type="dxa"/>
              <w:left w:w="30" w:type="dxa"/>
              <w:bottom w:w="20" w:type="dxa"/>
              <w:right w:w="30" w:type="dxa"/>
            </w:tcMar>
            <w:vAlign w:val="center"/>
          </w:tcPr>
          <w:p w14:paraId="39D66A45">
            <w:pPr>
              <w:keepNext w:val="0"/>
              <w:keepLines w:val="0"/>
              <w:widowControl/>
              <w:suppressLineNumbers w:val="0"/>
              <w:bidi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hint="default" w:ascii="Times New Roman" w:hAnsi="Times New Roman" w:eastAsia="SimSun" w:cs="Times New Roman"/>
                <w:b w:val="0"/>
                <w:bCs w:val="0"/>
                <w:kern w:val="0"/>
                <w:sz w:val="24"/>
                <w:szCs w:val="24"/>
                <w:lang w:val="pt-BR" w:eastAsia="zh-CN" w:bidi="ar"/>
              </w:rPr>
              <w:t>E</w:t>
            </w:r>
            <w:r>
              <w:rPr>
                <w:rFonts w:hint="default" w:ascii="Times New Roman" w:hAnsi="Times New Roman" w:eastAsia="SimSun" w:cs="Times New Roman"/>
                <w:b w:val="0"/>
                <w:bCs w:val="0"/>
                <w:kern w:val="0"/>
                <w:sz w:val="24"/>
                <w:szCs w:val="24"/>
                <w:lang w:val="en-US" w:eastAsia="zh-CN" w:bidi="ar"/>
              </w:rPr>
              <w:t>rosão e assoreamento</w:t>
            </w:r>
          </w:p>
        </w:tc>
        <w:tc>
          <w:tcPr>
            <w:tcW w:w="860" w:type="dxa"/>
            <w:tcBorders>
              <w:top w:val="single" w:color="CCCCCC" w:sz="4" w:space="0"/>
              <w:left w:val="single" w:color="CCCCCC" w:sz="4" w:space="0"/>
              <w:bottom w:val="single" w:color="000000" w:sz="4" w:space="0"/>
              <w:right w:val="single" w:color="000000" w:sz="4" w:space="0"/>
            </w:tcBorders>
            <w:shd w:val="clear" w:color="auto" w:fill="EFEFEF"/>
            <w:noWrap w:val="0"/>
            <w:tcMar>
              <w:top w:w="20" w:type="dxa"/>
              <w:left w:w="30" w:type="dxa"/>
              <w:bottom w:w="20" w:type="dxa"/>
              <w:right w:w="30" w:type="dxa"/>
            </w:tcMar>
            <w:vAlign w:val="center"/>
          </w:tcPr>
          <w:p w14:paraId="7B942D33">
            <w:pPr>
              <w:keepNext w:val="0"/>
              <w:keepLines w:val="0"/>
              <w:widowControl/>
              <w:suppressLineNumbers w:val="0"/>
              <w:bidi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hint="default" w:ascii="Times New Roman" w:hAnsi="Times New Roman" w:eastAsia="SimSun" w:cs="Times New Roman"/>
                <w:b w:val="0"/>
                <w:bCs w:val="0"/>
                <w:kern w:val="0"/>
                <w:sz w:val="24"/>
                <w:szCs w:val="24"/>
                <w:lang w:val="en-US" w:eastAsia="zh-CN" w:bidi="ar"/>
              </w:rPr>
              <w:t>3,8</w:t>
            </w:r>
          </w:p>
        </w:tc>
        <w:tc>
          <w:tcPr>
            <w:tcW w:w="1646" w:type="dxa"/>
            <w:tcBorders>
              <w:top w:val="single" w:color="CCCCCC" w:sz="4" w:space="0"/>
              <w:left w:val="single" w:color="CCCCCC" w:sz="4" w:space="0"/>
              <w:bottom w:val="single" w:color="000000" w:sz="4" w:space="0"/>
              <w:right w:val="single" w:color="000000" w:sz="4" w:space="0"/>
            </w:tcBorders>
            <w:shd w:val="clear" w:color="auto" w:fill="EFEFEF"/>
            <w:noWrap w:val="0"/>
            <w:tcMar>
              <w:top w:w="20" w:type="dxa"/>
              <w:left w:w="30" w:type="dxa"/>
              <w:bottom w:w="20" w:type="dxa"/>
              <w:right w:w="30" w:type="dxa"/>
            </w:tcMar>
            <w:vAlign w:val="center"/>
          </w:tcPr>
          <w:p w14:paraId="3B9D053F">
            <w:pPr>
              <w:keepNext w:val="0"/>
              <w:keepLines w:val="0"/>
              <w:widowControl/>
              <w:suppressLineNumbers w:val="0"/>
              <w:bidi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hint="default" w:ascii="Times New Roman" w:hAnsi="Times New Roman" w:eastAsia="SimSun" w:cs="Times New Roman"/>
                <w:b w:val="0"/>
                <w:bCs w:val="0"/>
                <w:kern w:val="0"/>
                <w:sz w:val="24"/>
                <w:szCs w:val="24"/>
                <w:lang w:val="en-US" w:eastAsia="zh-CN" w:bidi="ar"/>
              </w:rPr>
              <w:t>Baixo</w:t>
            </w:r>
          </w:p>
        </w:tc>
      </w:tr>
      <w:tr w14:paraId="0A12551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0" w:hRule="atLeast"/>
        </w:trPr>
        <w:tc>
          <w:tcPr>
            <w:tcW w:w="0" w:type="auto"/>
            <w:tcBorders>
              <w:top w:val="single" w:color="CCCCCC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FEFEF"/>
            <w:noWrap w:val="0"/>
            <w:tcMar>
              <w:top w:w="20" w:type="dxa"/>
              <w:left w:w="30" w:type="dxa"/>
              <w:bottom w:w="20" w:type="dxa"/>
              <w:right w:w="30" w:type="dxa"/>
            </w:tcMar>
            <w:vAlign w:val="center"/>
          </w:tcPr>
          <w:p w14:paraId="7D23417A">
            <w:pPr>
              <w:keepNext w:val="0"/>
              <w:keepLines w:val="0"/>
              <w:widowControl/>
              <w:suppressLineNumbers w:val="0"/>
              <w:bidi w:val="0"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hint="default" w:ascii="Times New Roman" w:hAnsi="Times New Roman" w:eastAsia="SimSun" w:cs="Times New Roman"/>
                <w:b w:val="0"/>
                <w:bCs w:val="0"/>
                <w:kern w:val="0"/>
                <w:sz w:val="24"/>
                <w:szCs w:val="24"/>
                <w:lang w:val="en-US" w:eastAsia="zh-CN" w:bidi="ar"/>
              </w:rPr>
              <w:t>Lançamento de efluentes domésticos</w:t>
            </w:r>
          </w:p>
        </w:tc>
        <w:tc>
          <w:tcPr>
            <w:tcW w:w="3179" w:type="dxa"/>
            <w:tcBorders>
              <w:top w:val="single" w:color="CCCCCC" w:sz="4" w:space="0"/>
              <w:left w:val="single" w:color="CCCCCC" w:sz="4" w:space="0"/>
              <w:bottom w:val="single" w:color="000000" w:sz="4" w:space="0"/>
              <w:right w:val="single" w:color="000000" w:sz="4" w:space="0"/>
            </w:tcBorders>
            <w:shd w:val="clear" w:color="auto" w:fill="EFEFEF"/>
            <w:noWrap w:val="0"/>
            <w:tcMar>
              <w:top w:w="20" w:type="dxa"/>
              <w:left w:w="30" w:type="dxa"/>
              <w:bottom w:w="20" w:type="dxa"/>
              <w:right w:w="30" w:type="dxa"/>
            </w:tcMar>
            <w:vAlign w:val="center"/>
          </w:tcPr>
          <w:p w14:paraId="7BB1689F">
            <w:pPr>
              <w:keepNext w:val="0"/>
              <w:keepLines w:val="0"/>
              <w:widowControl/>
              <w:suppressLineNumbers w:val="0"/>
              <w:bidi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hint="default" w:ascii="Times New Roman" w:hAnsi="Times New Roman" w:eastAsia="SimSun" w:cs="Times New Roman"/>
                <w:b w:val="0"/>
                <w:bCs w:val="0"/>
                <w:kern w:val="0"/>
                <w:sz w:val="24"/>
                <w:szCs w:val="24"/>
                <w:lang w:val="pt-BR" w:eastAsia="zh-CN" w:bidi="ar"/>
              </w:rPr>
              <w:t>E</w:t>
            </w:r>
            <w:r>
              <w:rPr>
                <w:rFonts w:hint="default" w:ascii="Times New Roman" w:hAnsi="Times New Roman" w:eastAsia="SimSun" w:cs="Times New Roman"/>
                <w:b w:val="0"/>
                <w:bCs w:val="0"/>
                <w:kern w:val="0"/>
                <w:sz w:val="24"/>
                <w:szCs w:val="24"/>
                <w:lang w:val="en-US" w:eastAsia="zh-CN" w:bidi="ar"/>
              </w:rPr>
              <w:t>utrofização e proliferação de microrganismos patogênicos</w:t>
            </w:r>
          </w:p>
        </w:tc>
        <w:tc>
          <w:tcPr>
            <w:tcW w:w="860" w:type="dxa"/>
            <w:tcBorders>
              <w:top w:val="single" w:color="CCCCCC" w:sz="4" w:space="0"/>
              <w:left w:val="single" w:color="CCCCCC" w:sz="4" w:space="0"/>
              <w:bottom w:val="single" w:color="000000" w:sz="4" w:space="0"/>
              <w:right w:val="single" w:color="000000" w:sz="4" w:space="0"/>
            </w:tcBorders>
            <w:shd w:val="clear" w:color="auto" w:fill="EFEFEF"/>
            <w:noWrap w:val="0"/>
            <w:tcMar>
              <w:top w:w="20" w:type="dxa"/>
              <w:left w:w="30" w:type="dxa"/>
              <w:bottom w:w="20" w:type="dxa"/>
              <w:right w:w="30" w:type="dxa"/>
            </w:tcMar>
            <w:vAlign w:val="center"/>
          </w:tcPr>
          <w:p w14:paraId="64BE5CB6">
            <w:pPr>
              <w:keepNext w:val="0"/>
              <w:keepLines w:val="0"/>
              <w:widowControl/>
              <w:suppressLineNumbers w:val="0"/>
              <w:bidi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hint="default" w:ascii="Times New Roman" w:hAnsi="Times New Roman" w:eastAsia="SimSun" w:cs="Times New Roman"/>
                <w:b w:val="0"/>
                <w:bCs w:val="0"/>
                <w:kern w:val="0"/>
                <w:sz w:val="24"/>
                <w:szCs w:val="24"/>
                <w:lang w:val="en-US" w:eastAsia="zh-CN" w:bidi="ar"/>
              </w:rPr>
              <w:t>4,0</w:t>
            </w:r>
          </w:p>
        </w:tc>
        <w:tc>
          <w:tcPr>
            <w:tcW w:w="1646" w:type="dxa"/>
            <w:tcBorders>
              <w:top w:val="single" w:color="CCCCCC" w:sz="4" w:space="0"/>
              <w:left w:val="single" w:color="CCCCCC" w:sz="4" w:space="0"/>
              <w:bottom w:val="single" w:color="000000" w:sz="4" w:space="0"/>
              <w:right w:val="single" w:color="000000" w:sz="4" w:space="0"/>
            </w:tcBorders>
            <w:shd w:val="clear" w:color="auto" w:fill="EFEFEF"/>
            <w:noWrap w:val="0"/>
            <w:tcMar>
              <w:top w:w="20" w:type="dxa"/>
              <w:left w:w="30" w:type="dxa"/>
              <w:bottom w:w="20" w:type="dxa"/>
              <w:right w:w="30" w:type="dxa"/>
            </w:tcMar>
            <w:vAlign w:val="center"/>
          </w:tcPr>
          <w:p w14:paraId="5EB28C3A">
            <w:pPr>
              <w:keepNext w:val="0"/>
              <w:keepLines w:val="0"/>
              <w:widowControl/>
              <w:suppressLineNumbers w:val="0"/>
              <w:bidi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hint="default" w:ascii="Times New Roman" w:hAnsi="Times New Roman" w:eastAsia="SimSun" w:cs="Times New Roman"/>
                <w:b w:val="0"/>
                <w:bCs w:val="0"/>
                <w:kern w:val="0"/>
                <w:sz w:val="24"/>
                <w:szCs w:val="24"/>
                <w:lang w:val="en-US" w:eastAsia="zh-CN" w:bidi="ar"/>
              </w:rPr>
              <w:t>Moderado</w:t>
            </w:r>
          </w:p>
        </w:tc>
      </w:tr>
      <w:tr w14:paraId="01059C0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0" w:hRule="atLeast"/>
        </w:trPr>
        <w:tc>
          <w:tcPr>
            <w:tcW w:w="0" w:type="auto"/>
            <w:tcBorders>
              <w:top w:val="single" w:color="CCCCCC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FEFEF"/>
            <w:noWrap w:val="0"/>
            <w:tcMar>
              <w:top w:w="20" w:type="dxa"/>
              <w:left w:w="30" w:type="dxa"/>
              <w:bottom w:w="20" w:type="dxa"/>
              <w:right w:w="30" w:type="dxa"/>
            </w:tcMar>
            <w:vAlign w:val="center"/>
          </w:tcPr>
          <w:p w14:paraId="2D1ACB0E">
            <w:pPr>
              <w:keepNext w:val="0"/>
              <w:keepLines w:val="0"/>
              <w:widowControl/>
              <w:suppressLineNumbers w:val="0"/>
              <w:bidi w:val="0"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hint="default" w:ascii="Times New Roman" w:hAnsi="Times New Roman" w:eastAsia="SimSun" w:cs="Times New Roman"/>
                <w:b w:val="0"/>
                <w:bCs w:val="0"/>
                <w:kern w:val="0"/>
                <w:sz w:val="24"/>
                <w:szCs w:val="24"/>
                <w:lang w:val="en-US" w:eastAsia="zh-CN" w:bidi="ar"/>
              </w:rPr>
              <w:t>Uso de fertilizantes e defensivos agrícolas</w:t>
            </w:r>
          </w:p>
        </w:tc>
        <w:tc>
          <w:tcPr>
            <w:tcW w:w="3179" w:type="dxa"/>
            <w:tcBorders>
              <w:top w:val="single" w:color="CCCCCC" w:sz="4" w:space="0"/>
              <w:left w:val="single" w:color="CCCCCC" w:sz="4" w:space="0"/>
              <w:bottom w:val="single" w:color="000000" w:sz="4" w:space="0"/>
              <w:right w:val="single" w:color="000000" w:sz="4" w:space="0"/>
            </w:tcBorders>
            <w:shd w:val="clear" w:color="auto" w:fill="EFEFEF"/>
            <w:noWrap w:val="0"/>
            <w:tcMar>
              <w:top w:w="20" w:type="dxa"/>
              <w:left w:w="30" w:type="dxa"/>
              <w:bottom w:w="20" w:type="dxa"/>
              <w:right w:w="30" w:type="dxa"/>
            </w:tcMar>
            <w:vAlign w:val="center"/>
          </w:tcPr>
          <w:p w14:paraId="4FDD7FFB">
            <w:pPr>
              <w:keepNext w:val="0"/>
              <w:keepLines w:val="0"/>
              <w:widowControl/>
              <w:suppressLineNumbers w:val="0"/>
              <w:bidi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hint="default" w:ascii="Times New Roman" w:hAnsi="Times New Roman" w:eastAsia="SimSun" w:cs="Times New Roman"/>
                <w:b w:val="0"/>
                <w:bCs w:val="0"/>
                <w:kern w:val="0"/>
                <w:sz w:val="24"/>
                <w:szCs w:val="24"/>
                <w:lang w:val="pt-BR" w:eastAsia="zh-CN" w:bidi="ar"/>
              </w:rPr>
              <w:t>E</w:t>
            </w:r>
            <w:r>
              <w:rPr>
                <w:rFonts w:hint="default" w:ascii="Times New Roman" w:hAnsi="Times New Roman" w:eastAsia="SimSun" w:cs="Times New Roman"/>
                <w:b w:val="0"/>
                <w:bCs w:val="0"/>
                <w:kern w:val="0"/>
                <w:sz w:val="24"/>
                <w:szCs w:val="24"/>
                <w:lang w:val="en-US" w:eastAsia="zh-CN" w:bidi="ar"/>
              </w:rPr>
              <w:t>utrofização</w:t>
            </w:r>
          </w:p>
        </w:tc>
        <w:tc>
          <w:tcPr>
            <w:tcW w:w="860" w:type="dxa"/>
            <w:tcBorders>
              <w:top w:val="single" w:color="CCCCCC" w:sz="4" w:space="0"/>
              <w:left w:val="single" w:color="CCCCCC" w:sz="4" w:space="0"/>
              <w:bottom w:val="single" w:color="000000" w:sz="4" w:space="0"/>
              <w:right w:val="single" w:color="000000" w:sz="4" w:space="0"/>
            </w:tcBorders>
            <w:shd w:val="clear" w:color="auto" w:fill="EFEFEF"/>
            <w:noWrap w:val="0"/>
            <w:tcMar>
              <w:top w:w="20" w:type="dxa"/>
              <w:left w:w="30" w:type="dxa"/>
              <w:bottom w:w="20" w:type="dxa"/>
              <w:right w:w="30" w:type="dxa"/>
            </w:tcMar>
            <w:vAlign w:val="center"/>
          </w:tcPr>
          <w:p w14:paraId="6B7D0476">
            <w:pPr>
              <w:keepNext w:val="0"/>
              <w:keepLines w:val="0"/>
              <w:widowControl/>
              <w:suppressLineNumbers w:val="0"/>
              <w:bidi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hint="default" w:ascii="Times New Roman" w:hAnsi="Times New Roman" w:eastAsia="SimSun" w:cs="Times New Roman"/>
                <w:b w:val="0"/>
                <w:bCs w:val="0"/>
                <w:kern w:val="0"/>
                <w:sz w:val="24"/>
                <w:szCs w:val="24"/>
                <w:lang w:val="en-US" w:eastAsia="zh-CN" w:bidi="ar"/>
              </w:rPr>
              <w:t>5,4</w:t>
            </w:r>
          </w:p>
        </w:tc>
        <w:tc>
          <w:tcPr>
            <w:tcW w:w="1646" w:type="dxa"/>
            <w:tcBorders>
              <w:top w:val="single" w:color="CCCCCC" w:sz="4" w:space="0"/>
              <w:left w:val="single" w:color="CCCCCC" w:sz="4" w:space="0"/>
              <w:bottom w:val="single" w:color="000000" w:sz="4" w:space="0"/>
              <w:right w:val="single" w:color="000000" w:sz="4" w:space="0"/>
            </w:tcBorders>
            <w:shd w:val="clear" w:color="auto" w:fill="EFEFEF"/>
            <w:noWrap w:val="0"/>
            <w:tcMar>
              <w:top w:w="20" w:type="dxa"/>
              <w:left w:w="30" w:type="dxa"/>
              <w:bottom w:w="20" w:type="dxa"/>
              <w:right w:w="30" w:type="dxa"/>
            </w:tcMar>
            <w:vAlign w:val="center"/>
          </w:tcPr>
          <w:p w14:paraId="476E63F0">
            <w:pPr>
              <w:keepNext w:val="0"/>
              <w:keepLines w:val="0"/>
              <w:widowControl/>
              <w:suppressLineNumbers w:val="0"/>
              <w:bidi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hint="default" w:ascii="Times New Roman" w:hAnsi="Times New Roman" w:eastAsia="SimSun" w:cs="Times New Roman"/>
                <w:b w:val="0"/>
                <w:bCs w:val="0"/>
                <w:kern w:val="0"/>
                <w:sz w:val="24"/>
                <w:szCs w:val="24"/>
                <w:lang w:val="en-US" w:eastAsia="zh-CN" w:bidi="ar"/>
              </w:rPr>
              <w:t>Moderado</w:t>
            </w:r>
          </w:p>
        </w:tc>
      </w:tr>
      <w:tr w14:paraId="475E4E6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0" w:hRule="atLeast"/>
        </w:trPr>
        <w:tc>
          <w:tcPr>
            <w:tcW w:w="0" w:type="auto"/>
            <w:tcBorders>
              <w:top w:val="single" w:color="CCCCCC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FEFEF"/>
            <w:noWrap w:val="0"/>
            <w:tcMar>
              <w:top w:w="20" w:type="dxa"/>
              <w:left w:w="30" w:type="dxa"/>
              <w:bottom w:w="20" w:type="dxa"/>
              <w:right w:w="30" w:type="dxa"/>
            </w:tcMar>
            <w:vAlign w:val="center"/>
          </w:tcPr>
          <w:p w14:paraId="512ADE36">
            <w:pPr>
              <w:keepNext w:val="0"/>
              <w:keepLines w:val="0"/>
              <w:widowControl/>
              <w:suppressLineNumbers w:val="0"/>
              <w:bidi w:val="0"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hint="default" w:ascii="Times New Roman" w:hAnsi="Times New Roman" w:eastAsia="SimSun" w:cs="Times New Roman"/>
                <w:b w:val="0"/>
                <w:bCs w:val="0"/>
                <w:kern w:val="0"/>
                <w:sz w:val="24"/>
                <w:szCs w:val="24"/>
                <w:lang w:val="en-US" w:eastAsia="zh-CN" w:bidi="ar"/>
              </w:rPr>
              <w:t>Disposição inadequada de resíduos sólidos urbanos</w:t>
            </w:r>
          </w:p>
        </w:tc>
        <w:tc>
          <w:tcPr>
            <w:tcW w:w="3179" w:type="dxa"/>
            <w:tcBorders>
              <w:top w:val="single" w:color="CCCCCC" w:sz="4" w:space="0"/>
              <w:left w:val="single" w:color="CCCCCC" w:sz="4" w:space="0"/>
              <w:bottom w:val="single" w:color="000000" w:sz="4" w:space="0"/>
              <w:right w:val="single" w:color="000000" w:sz="4" w:space="0"/>
            </w:tcBorders>
            <w:shd w:val="clear" w:color="auto" w:fill="EFEFEF"/>
            <w:noWrap w:val="0"/>
            <w:tcMar>
              <w:top w:w="20" w:type="dxa"/>
              <w:left w:w="30" w:type="dxa"/>
              <w:bottom w:w="20" w:type="dxa"/>
              <w:right w:w="30" w:type="dxa"/>
            </w:tcMar>
            <w:vAlign w:val="center"/>
          </w:tcPr>
          <w:p w14:paraId="6E1C3C65">
            <w:pPr>
              <w:keepNext w:val="0"/>
              <w:keepLines w:val="0"/>
              <w:widowControl/>
              <w:suppressLineNumbers w:val="0"/>
              <w:bidi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hint="default" w:ascii="Times New Roman" w:hAnsi="Times New Roman" w:eastAsia="SimSun" w:cs="Times New Roman"/>
                <w:b w:val="0"/>
                <w:bCs w:val="0"/>
                <w:kern w:val="0"/>
                <w:sz w:val="24"/>
                <w:szCs w:val="24"/>
                <w:lang w:val="pt-BR" w:eastAsia="zh-CN" w:bidi="ar"/>
              </w:rPr>
              <w:t>C</w:t>
            </w:r>
            <w:r>
              <w:rPr>
                <w:rFonts w:hint="default" w:ascii="Times New Roman" w:hAnsi="Times New Roman" w:eastAsia="SimSun" w:cs="Times New Roman"/>
                <w:b w:val="0"/>
                <w:bCs w:val="0"/>
                <w:kern w:val="0"/>
                <w:sz w:val="24"/>
                <w:szCs w:val="24"/>
                <w:lang w:val="en-US" w:eastAsia="zh-CN" w:bidi="ar"/>
              </w:rPr>
              <w:t>ontaminação química e biológica</w:t>
            </w:r>
          </w:p>
        </w:tc>
        <w:tc>
          <w:tcPr>
            <w:tcW w:w="860" w:type="dxa"/>
            <w:tcBorders>
              <w:top w:val="single" w:color="CCCCCC" w:sz="4" w:space="0"/>
              <w:left w:val="single" w:color="CCCCCC" w:sz="4" w:space="0"/>
              <w:bottom w:val="single" w:color="000000" w:sz="4" w:space="0"/>
              <w:right w:val="single" w:color="000000" w:sz="4" w:space="0"/>
            </w:tcBorders>
            <w:shd w:val="clear" w:color="auto" w:fill="EFEFEF"/>
            <w:noWrap w:val="0"/>
            <w:tcMar>
              <w:top w:w="20" w:type="dxa"/>
              <w:left w:w="30" w:type="dxa"/>
              <w:bottom w:w="20" w:type="dxa"/>
              <w:right w:w="30" w:type="dxa"/>
            </w:tcMar>
            <w:vAlign w:val="center"/>
          </w:tcPr>
          <w:p w14:paraId="27DEDE73">
            <w:pPr>
              <w:keepNext w:val="0"/>
              <w:keepLines w:val="0"/>
              <w:widowControl/>
              <w:suppressLineNumbers w:val="0"/>
              <w:bidi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hint="default" w:ascii="Times New Roman" w:hAnsi="Times New Roman" w:eastAsia="SimSun" w:cs="Times New Roman"/>
                <w:b w:val="0"/>
                <w:bCs w:val="0"/>
                <w:kern w:val="0"/>
                <w:sz w:val="24"/>
                <w:szCs w:val="24"/>
                <w:lang w:val="en-US" w:eastAsia="zh-CN" w:bidi="ar"/>
              </w:rPr>
              <w:t>6,3</w:t>
            </w:r>
          </w:p>
        </w:tc>
        <w:tc>
          <w:tcPr>
            <w:tcW w:w="1646" w:type="dxa"/>
            <w:tcBorders>
              <w:top w:val="single" w:color="CCCCCC" w:sz="4" w:space="0"/>
              <w:left w:val="single" w:color="CCCCCC" w:sz="4" w:space="0"/>
              <w:bottom w:val="single" w:color="000000" w:sz="4" w:space="0"/>
              <w:right w:val="single" w:color="000000" w:sz="4" w:space="0"/>
            </w:tcBorders>
            <w:shd w:val="clear" w:color="auto" w:fill="EFEFEF"/>
            <w:noWrap w:val="0"/>
            <w:tcMar>
              <w:top w:w="20" w:type="dxa"/>
              <w:left w:w="30" w:type="dxa"/>
              <w:bottom w:w="20" w:type="dxa"/>
              <w:right w:w="30" w:type="dxa"/>
            </w:tcMar>
            <w:vAlign w:val="center"/>
          </w:tcPr>
          <w:p w14:paraId="77A1E832">
            <w:pPr>
              <w:keepNext w:val="0"/>
              <w:keepLines w:val="0"/>
              <w:widowControl/>
              <w:suppressLineNumbers w:val="0"/>
              <w:bidi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hint="default" w:ascii="Times New Roman" w:hAnsi="Times New Roman" w:eastAsia="SimSun" w:cs="Times New Roman"/>
                <w:b w:val="0"/>
                <w:bCs w:val="0"/>
                <w:kern w:val="0"/>
                <w:sz w:val="24"/>
                <w:szCs w:val="24"/>
                <w:lang w:val="en-US" w:eastAsia="zh-CN" w:bidi="ar"/>
              </w:rPr>
              <w:t>Alto</w:t>
            </w:r>
          </w:p>
        </w:tc>
      </w:tr>
    </w:tbl>
    <w:p w14:paraId="3783F3BD">
      <w:pPr>
        <w:keepNext w:val="0"/>
        <w:keepLines w:val="0"/>
        <w:pageBreakBefore w:val="0"/>
        <w:pBdr>
          <w:bottom w:val="none" w:color="000000" w:sz="0" w:space="8"/>
        </w:pBdr>
        <w:shd w:val="clear" w:color="auto" w:fill="FFFFFF"/>
        <w:tabs>
          <w:tab w:val="left" w:pos="-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jc w:val="both"/>
        <w:textAlignment w:val="auto"/>
        <w:rPr>
          <w:rFonts w:hint="default"/>
          <w:sz w:val="24"/>
          <w:szCs w:val="24"/>
          <w:rtl w:val="0"/>
          <w:lang w:val="pt-BR"/>
        </w:rPr>
      </w:pPr>
      <w:r>
        <w:rPr>
          <w:rFonts w:hint="default"/>
          <w:sz w:val="24"/>
          <w:szCs w:val="24"/>
          <w:rtl w:val="0"/>
          <w:lang w:val="pt-BR"/>
        </w:rPr>
        <w:t>Fonte: Autores, 2025</w:t>
      </w:r>
    </w:p>
    <w:p w14:paraId="1245864A">
      <w:pPr>
        <w:keepNext w:val="0"/>
        <w:keepLines w:val="0"/>
        <w:pageBreakBefore w:val="0"/>
        <w:widowControl/>
        <w:tabs>
          <w:tab w:val="left" w:pos="129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jc w:val="both"/>
        <w:textAlignment w:val="auto"/>
        <w:rPr>
          <w:b/>
          <w:sz w:val="24"/>
          <w:szCs w:val="24"/>
        </w:rPr>
      </w:pPr>
      <w:r>
        <w:rPr>
          <w:b/>
          <w:sz w:val="24"/>
          <w:szCs w:val="24"/>
          <w:rtl w:val="0"/>
        </w:rPr>
        <w:t>4. CONCLUSÃO</w:t>
      </w:r>
    </w:p>
    <w:p w14:paraId="0299087E">
      <w:pPr>
        <w:pStyle w:val="13"/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right="0" w:firstLine="0"/>
        <w:jc w:val="both"/>
        <w:rPr>
          <w:sz w:val="24"/>
          <w:szCs w:val="24"/>
        </w:rPr>
      </w:pPr>
      <w:r>
        <w:rPr>
          <w:b w:val="0"/>
          <w:bCs w:val="0"/>
          <w:sz w:val="24"/>
          <w:szCs w:val="24"/>
          <w:rtl w:val="0"/>
        </w:rPr>
        <w:tab/>
      </w:r>
      <w:r>
        <w:rPr>
          <w:b w:val="0"/>
          <w:bCs w:val="0"/>
          <w:sz w:val="24"/>
          <w:szCs w:val="24"/>
        </w:rPr>
        <w:t xml:space="preserve">Os resultados obtidos apontam que os impactos de maior magnitude e importância estão associados à </w:t>
      </w:r>
      <w:r>
        <w:rPr>
          <w:rStyle w:val="10"/>
          <w:b w:val="0"/>
          <w:bCs w:val="0"/>
          <w:sz w:val="24"/>
          <w:szCs w:val="24"/>
        </w:rPr>
        <w:t>gestão inadequada de resíduos sólidos</w:t>
      </w:r>
      <w:r>
        <w:rPr>
          <w:b w:val="0"/>
          <w:bCs w:val="0"/>
          <w:sz w:val="24"/>
          <w:szCs w:val="24"/>
        </w:rPr>
        <w:t xml:space="preserve"> e ao </w:t>
      </w:r>
      <w:r>
        <w:rPr>
          <w:rStyle w:val="10"/>
          <w:b w:val="0"/>
          <w:bCs w:val="0"/>
          <w:sz w:val="24"/>
          <w:szCs w:val="24"/>
        </w:rPr>
        <w:t>lançamento de efluentes domésticos sem tratamento</w:t>
      </w:r>
      <w:r>
        <w:rPr>
          <w:b w:val="0"/>
          <w:bCs w:val="0"/>
          <w:sz w:val="24"/>
          <w:szCs w:val="24"/>
        </w:rPr>
        <w:t xml:space="preserve">, responsáveis pela </w:t>
      </w:r>
      <w:r>
        <w:rPr>
          <w:rStyle w:val="10"/>
          <w:b w:val="0"/>
          <w:bCs w:val="0"/>
          <w:sz w:val="24"/>
          <w:szCs w:val="24"/>
        </w:rPr>
        <w:t>contaminação química e biológica das águas</w:t>
      </w:r>
      <w:r>
        <w:rPr>
          <w:b w:val="0"/>
          <w:bCs w:val="0"/>
          <w:sz w:val="24"/>
          <w:szCs w:val="24"/>
        </w:rPr>
        <w:t xml:space="preserve"> e pela </w:t>
      </w:r>
      <w:r>
        <w:rPr>
          <w:rStyle w:val="10"/>
          <w:b w:val="0"/>
          <w:bCs w:val="0"/>
          <w:sz w:val="24"/>
          <w:szCs w:val="24"/>
        </w:rPr>
        <w:t>proliferação de microrganismos patogênicos</w:t>
      </w:r>
      <w:r>
        <w:rPr>
          <w:b w:val="0"/>
          <w:bCs w:val="0"/>
          <w:sz w:val="24"/>
          <w:szCs w:val="24"/>
        </w:rPr>
        <w:t xml:space="preserve">. Já o uso intensivo de fertilizantes e defensivos agrícolas, aliado à supressão da vegetação ciliar, contribui para processos de </w:t>
      </w:r>
      <w:r>
        <w:rPr>
          <w:rStyle w:val="10"/>
          <w:b w:val="0"/>
          <w:bCs w:val="0"/>
          <w:sz w:val="24"/>
          <w:szCs w:val="24"/>
        </w:rPr>
        <w:t>eutrofização, erosão e assoreamento</w:t>
      </w:r>
      <w:r>
        <w:rPr>
          <w:b w:val="0"/>
          <w:bCs w:val="0"/>
          <w:sz w:val="24"/>
          <w:szCs w:val="24"/>
        </w:rPr>
        <w:t xml:space="preserve"> do canal fluvial. Tais efeitos, de caráter cumulativo e persistente, comprometem a qualidade da água, a biodiversidade e os usos múltiplos do rio, como </w:t>
      </w:r>
      <w:r>
        <w:rPr>
          <w:sz w:val="24"/>
          <w:szCs w:val="24"/>
        </w:rPr>
        <w:t>como abastecimento humano, atividades recreativas e irrigação agrícola.</w:t>
      </w:r>
    </w:p>
    <w:p w14:paraId="0E51C9CF">
      <w:pPr>
        <w:pStyle w:val="1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firstLine="720" w:firstLineChars="0"/>
        <w:jc w:val="both"/>
        <w:textAlignment w:val="auto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 xml:space="preserve">A substituição das florestas nativas por monocultivos de dendê representa uma ameaça adicional, com </w:t>
      </w:r>
      <w:r>
        <w:rPr>
          <w:rStyle w:val="10"/>
          <w:b w:val="0"/>
          <w:bCs w:val="0"/>
          <w:sz w:val="24"/>
          <w:szCs w:val="24"/>
        </w:rPr>
        <w:t>perda expressiva de biodiversidade e desequilíbrio nos ecossistemas locais</w:t>
      </w:r>
      <w:r>
        <w:rPr>
          <w:b w:val="0"/>
          <w:bCs w:val="0"/>
          <w:sz w:val="24"/>
          <w:szCs w:val="24"/>
        </w:rPr>
        <w:t>. Esse processo, somado à ocupação irregular de Áreas de Preservação Permanente, reforça a necessidade de medidas urgentes de mitigação e restauração ambiental.</w:t>
      </w:r>
      <w:r>
        <w:rPr>
          <w:rFonts w:hint="default"/>
          <w:b w:val="0"/>
          <w:bCs w:val="0"/>
          <w:sz w:val="24"/>
          <w:szCs w:val="24"/>
          <w:lang w:val="pt-BR"/>
        </w:rPr>
        <w:t xml:space="preserve"> </w:t>
      </w:r>
      <w:r>
        <w:rPr>
          <w:b w:val="0"/>
          <w:bCs w:val="0"/>
          <w:sz w:val="24"/>
          <w:szCs w:val="24"/>
        </w:rPr>
        <w:t xml:space="preserve">Recomenda-se, portanto, o </w:t>
      </w:r>
      <w:r>
        <w:rPr>
          <w:rStyle w:val="10"/>
          <w:b w:val="0"/>
          <w:bCs w:val="0"/>
          <w:sz w:val="24"/>
          <w:szCs w:val="24"/>
        </w:rPr>
        <w:t>reflorestamento das margens degradadas</w:t>
      </w:r>
      <w:r>
        <w:rPr>
          <w:b w:val="0"/>
          <w:bCs w:val="0"/>
          <w:sz w:val="24"/>
          <w:szCs w:val="24"/>
        </w:rPr>
        <w:t xml:space="preserve">, a </w:t>
      </w:r>
      <w:r>
        <w:rPr>
          <w:rStyle w:val="10"/>
          <w:b w:val="0"/>
          <w:bCs w:val="0"/>
          <w:sz w:val="24"/>
          <w:szCs w:val="24"/>
        </w:rPr>
        <w:t>implantação de sistemas de tratamento de efluentes domésticos</w:t>
      </w:r>
      <w:r>
        <w:rPr>
          <w:b w:val="0"/>
          <w:bCs w:val="0"/>
          <w:sz w:val="24"/>
          <w:szCs w:val="24"/>
        </w:rPr>
        <w:t xml:space="preserve">, o </w:t>
      </w:r>
      <w:r>
        <w:rPr>
          <w:rStyle w:val="10"/>
          <w:b w:val="0"/>
          <w:bCs w:val="0"/>
          <w:sz w:val="24"/>
          <w:szCs w:val="24"/>
        </w:rPr>
        <w:t>fortalecimento da gestão municipal de resíduos sólidos</w:t>
      </w:r>
      <w:r>
        <w:rPr>
          <w:b w:val="0"/>
          <w:bCs w:val="0"/>
          <w:sz w:val="24"/>
          <w:szCs w:val="24"/>
        </w:rPr>
        <w:t xml:space="preserve"> e o </w:t>
      </w:r>
      <w:r>
        <w:rPr>
          <w:rStyle w:val="10"/>
          <w:b w:val="0"/>
          <w:bCs w:val="0"/>
          <w:sz w:val="24"/>
          <w:szCs w:val="24"/>
        </w:rPr>
        <w:t>incentivo à educação ambiental comunitária</w:t>
      </w:r>
      <w:r>
        <w:rPr>
          <w:b w:val="0"/>
          <w:bCs w:val="0"/>
          <w:sz w:val="24"/>
          <w:szCs w:val="24"/>
        </w:rPr>
        <w:t>. Tais ações devem ser integradas a uma política pública de planejamento territorial e de gestão participativa, envolvendo poder público, instituições de pesquisa e comunidades locais.</w:t>
      </w:r>
    </w:p>
    <w:p w14:paraId="349C7653">
      <w:pPr>
        <w:pStyle w:val="1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firstLine="720" w:firstLineChars="0"/>
        <w:jc w:val="both"/>
        <w:textAlignment w:val="auto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 xml:space="preserve">Conclui-se que o uso da Matriz de Leopold constitui um instrumento valioso para subsidiar o </w:t>
      </w:r>
      <w:r>
        <w:rPr>
          <w:rStyle w:val="10"/>
          <w:b w:val="0"/>
          <w:bCs w:val="0"/>
          <w:sz w:val="24"/>
          <w:szCs w:val="24"/>
        </w:rPr>
        <w:t>monitoramento contínuo da qualidade ambiental</w:t>
      </w:r>
      <w:r>
        <w:rPr>
          <w:b w:val="0"/>
          <w:bCs w:val="0"/>
          <w:sz w:val="24"/>
          <w:szCs w:val="24"/>
        </w:rPr>
        <w:t xml:space="preserve"> e orientar </w:t>
      </w:r>
      <w:r>
        <w:rPr>
          <w:rStyle w:val="10"/>
          <w:b w:val="0"/>
          <w:bCs w:val="0"/>
          <w:sz w:val="24"/>
          <w:szCs w:val="24"/>
        </w:rPr>
        <w:t>estratégias de desenvolvimento sustentável</w:t>
      </w:r>
      <w:r>
        <w:rPr>
          <w:b w:val="0"/>
          <w:bCs w:val="0"/>
          <w:sz w:val="24"/>
          <w:szCs w:val="24"/>
        </w:rPr>
        <w:t xml:space="preserve"> no município de Tomé-Açu. A adoção de medidas preventivas e corretivas baseadas em diagnósticos ambientais participativos é essencial para garantir a </w:t>
      </w:r>
      <w:r>
        <w:rPr>
          <w:rStyle w:val="10"/>
          <w:b w:val="0"/>
          <w:bCs w:val="0"/>
          <w:sz w:val="24"/>
          <w:szCs w:val="24"/>
        </w:rPr>
        <w:t>preservação dos recursos hídricos amazônicos</w:t>
      </w:r>
      <w:r>
        <w:rPr>
          <w:b w:val="0"/>
          <w:bCs w:val="0"/>
          <w:sz w:val="24"/>
          <w:szCs w:val="24"/>
        </w:rPr>
        <w:t xml:space="preserve"> e a </w:t>
      </w:r>
      <w:r>
        <w:rPr>
          <w:rStyle w:val="10"/>
          <w:b w:val="0"/>
          <w:bCs w:val="0"/>
          <w:sz w:val="24"/>
          <w:szCs w:val="24"/>
        </w:rPr>
        <w:t>manutenção dos serviços ecossistêmicos</w:t>
      </w:r>
      <w:r>
        <w:rPr>
          <w:b w:val="0"/>
          <w:bCs w:val="0"/>
          <w:sz w:val="24"/>
          <w:szCs w:val="24"/>
        </w:rPr>
        <w:t xml:space="preserve"> que sustentam a vida e a economia regional.</w:t>
      </w:r>
    </w:p>
    <w:p w14:paraId="6D388228">
      <w:pPr>
        <w:widowControl/>
        <w:tabs>
          <w:tab w:val="left" w:pos="1290"/>
        </w:tabs>
        <w:spacing w:after="160" w:line="259" w:lineRule="auto"/>
        <w:jc w:val="both"/>
        <w:rPr>
          <w:b/>
          <w:sz w:val="24"/>
          <w:szCs w:val="24"/>
        </w:rPr>
      </w:pPr>
    </w:p>
    <w:p w14:paraId="602C04C8">
      <w:pPr>
        <w:widowControl/>
        <w:tabs>
          <w:tab w:val="left" w:pos="1290"/>
        </w:tabs>
        <w:spacing w:after="160" w:line="259" w:lineRule="auto"/>
        <w:jc w:val="both"/>
        <w:rPr>
          <w:color w:val="FF0000"/>
          <w:sz w:val="24"/>
          <w:szCs w:val="24"/>
        </w:rPr>
      </w:pPr>
      <w:r>
        <w:rPr>
          <w:b/>
          <w:sz w:val="24"/>
          <w:szCs w:val="24"/>
          <w:rtl w:val="0"/>
        </w:rPr>
        <w:t xml:space="preserve">REFERÊNCIAS </w:t>
      </w:r>
    </w:p>
    <w:p w14:paraId="18AFF21D">
      <w:pPr>
        <w:pStyle w:val="13"/>
        <w:keepNext w:val="0"/>
        <w:keepLines w:val="0"/>
        <w:widowControl/>
        <w:suppressLineNumbers w:val="0"/>
        <w:jc w:val="both"/>
        <w:rPr>
          <w:sz w:val="24"/>
          <w:szCs w:val="24"/>
        </w:rPr>
      </w:pPr>
      <w:r>
        <w:rPr>
          <w:sz w:val="24"/>
          <w:szCs w:val="24"/>
        </w:rPr>
        <w:t>BARBIERI, J</w:t>
      </w:r>
      <w:r>
        <w:rPr>
          <w:rFonts w:hint="default"/>
          <w:sz w:val="24"/>
          <w:szCs w:val="24"/>
          <w:lang w:val="pt-BR"/>
        </w:rPr>
        <w:t>osé</w:t>
      </w:r>
      <w:r>
        <w:rPr>
          <w:sz w:val="24"/>
          <w:szCs w:val="24"/>
        </w:rPr>
        <w:t xml:space="preserve"> C</w:t>
      </w:r>
      <w:r>
        <w:rPr>
          <w:rFonts w:hint="default"/>
          <w:sz w:val="24"/>
          <w:szCs w:val="24"/>
          <w:lang w:val="pt-BR"/>
        </w:rPr>
        <w:t>arlos</w:t>
      </w:r>
      <w:r>
        <w:rPr>
          <w:sz w:val="24"/>
          <w:szCs w:val="24"/>
        </w:rPr>
        <w:t xml:space="preserve">. </w:t>
      </w:r>
      <w:r>
        <w:rPr>
          <w:rStyle w:val="11"/>
          <w:sz w:val="24"/>
          <w:szCs w:val="24"/>
        </w:rPr>
        <w:t>Gestão ambiental empresarial: conceitos, modelos e instrumentos</w:t>
      </w:r>
      <w:r>
        <w:rPr>
          <w:sz w:val="24"/>
          <w:szCs w:val="24"/>
        </w:rPr>
        <w:t>. 3. ed. São Paulo: Saraiva, 2011.</w:t>
      </w:r>
    </w:p>
    <w:p w14:paraId="7A97A93B">
      <w:pPr>
        <w:pStyle w:val="13"/>
        <w:keepNext w:val="0"/>
        <w:keepLines w:val="0"/>
        <w:widowControl/>
        <w:suppressLineNumbers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LEOPOLD, L. B.; CLARKE, F. E.; HANSHAW, B. B.; BALSLEY, J. R. </w:t>
      </w:r>
      <w:r>
        <w:rPr>
          <w:rStyle w:val="11"/>
          <w:sz w:val="24"/>
          <w:szCs w:val="24"/>
        </w:rPr>
        <w:t>A procedure for evaluating environmental impact</w:t>
      </w:r>
      <w:r>
        <w:rPr>
          <w:sz w:val="24"/>
          <w:szCs w:val="24"/>
        </w:rPr>
        <w:t>. Geological Survey Circular 645. Washington, D.C.: U.S. Department of the Interior, 1971. 13 p.</w:t>
      </w:r>
    </w:p>
    <w:p w14:paraId="4BCF1A26">
      <w:pPr>
        <w:pStyle w:val="13"/>
        <w:keepNext w:val="0"/>
        <w:keepLines w:val="0"/>
        <w:widowControl/>
        <w:suppressLineNumbers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MONTEIRO, Marcílio de Abreu. </w:t>
      </w:r>
      <w:r>
        <w:rPr>
          <w:rStyle w:val="11"/>
          <w:sz w:val="24"/>
          <w:szCs w:val="24"/>
        </w:rPr>
        <w:t>Habitus, governanças institucionais e trajetórias tecnológicas: uma análise sociológica do espaço, o caso da expansão do óleo de palma (dendê) no Vale do Acará, Pará</w:t>
      </w:r>
      <w:r>
        <w:rPr>
          <w:sz w:val="24"/>
          <w:szCs w:val="24"/>
        </w:rPr>
        <w:t>. 2017. 294 f. Tese (Doutorado em Ciências do Desenvolvimento Socioambiental) – Universidade Federal do Pará, Núcleo de Altos Estudos Amazônicos, Belém, 2017.</w:t>
      </w:r>
    </w:p>
    <w:p w14:paraId="7CCFC937">
      <w:pPr>
        <w:pStyle w:val="13"/>
        <w:keepNext w:val="0"/>
        <w:keepLines w:val="0"/>
        <w:widowControl/>
        <w:suppressLineNumbers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OLIVEIRA, Elizandra Veiga de; SHINOMIYA, Isabel Cristina Artner. </w:t>
      </w:r>
      <w:r>
        <w:rPr>
          <w:rStyle w:val="11"/>
          <w:sz w:val="24"/>
          <w:szCs w:val="24"/>
        </w:rPr>
        <w:t>Diagnóstico participativo do esgotamento sanitário às margens do rio Acará-Mirim no perímetro urbano de Tomé-Açu, Pará</w:t>
      </w:r>
      <w:r>
        <w:rPr>
          <w:sz w:val="24"/>
          <w:szCs w:val="24"/>
        </w:rPr>
        <w:t>. 2023. 43 f. Trabalho de Conclusão de Curso (Licenciatura em Ciências Biológicas) – Universidade Federal Rural da Amazônia, Tomé-Açu, 2023.</w:t>
      </w:r>
    </w:p>
    <w:p w14:paraId="34B3A933">
      <w:pPr>
        <w:pStyle w:val="13"/>
        <w:keepNext w:val="0"/>
        <w:keepLines w:val="0"/>
        <w:widowControl/>
        <w:suppressLineNumbers w:val="0"/>
        <w:jc w:val="both"/>
        <w:rPr>
          <w:sz w:val="24"/>
          <w:szCs w:val="24"/>
        </w:rPr>
      </w:pPr>
      <w:r>
        <w:rPr>
          <w:sz w:val="24"/>
          <w:szCs w:val="24"/>
        </w:rPr>
        <w:t>SÁNCHEZ, L</w:t>
      </w:r>
      <w:r>
        <w:rPr>
          <w:rFonts w:hint="default"/>
          <w:sz w:val="24"/>
          <w:szCs w:val="24"/>
          <w:lang w:val="pt-BR"/>
        </w:rPr>
        <w:t>uiz</w:t>
      </w:r>
      <w:r>
        <w:rPr>
          <w:sz w:val="24"/>
          <w:szCs w:val="24"/>
        </w:rPr>
        <w:t>. E</w:t>
      </w:r>
      <w:r>
        <w:rPr>
          <w:rFonts w:hint="default"/>
          <w:sz w:val="24"/>
          <w:szCs w:val="24"/>
          <w:lang w:val="pt-BR"/>
        </w:rPr>
        <w:t>nrique</w:t>
      </w:r>
      <w:r>
        <w:rPr>
          <w:sz w:val="24"/>
          <w:szCs w:val="24"/>
        </w:rPr>
        <w:t xml:space="preserve">. </w:t>
      </w:r>
      <w:r>
        <w:rPr>
          <w:rStyle w:val="11"/>
          <w:sz w:val="24"/>
          <w:szCs w:val="24"/>
        </w:rPr>
        <w:t>Avaliação de impacto ambiental: conceitos e métodos</w:t>
      </w:r>
      <w:r>
        <w:rPr>
          <w:sz w:val="24"/>
          <w:szCs w:val="24"/>
        </w:rPr>
        <w:t>. 2. ed. São Paulo: Oficina de Textos, 2008.</w:t>
      </w:r>
    </w:p>
    <w:p w14:paraId="55126E0D">
      <w:pPr>
        <w:pStyle w:val="13"/>
        <w:keepNext w:val="0"/>
        <w:keepLines w:val="0"/>
        <w:widowControl/>
        <w:suppressLineNumbers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SILVA, Robert Soares da. </w:t>
      </w:r>
      <w:r>
        <w:rPr>
          <w:rStyle w:val="11"/>
          <w:sz w:val="24"/>
          <w:szCs w:val="24"/>
        </w:rPr>
        <w:t>Análise da qualidade das águas superficiais do rio Acará-Mirim, Tomé-Açu/PA</w:t>
      </w:r>
      <w:r>
        <w:rPr>
          <w:sz w:val="24"/>
          <w:szCs w:val="24"/>
        </w:rPr>
        <w:t>. 2025. Trabalho de Conclusão de Curso (Licenciatura em Ciências Biológicas) – Universidade Federal Rural da Amazônia, Tomé-Açu, 2025.</w:t>
      </w:r>
    </w:p>
    <w:p w14:paraId="778003EC">
      <w:pPr>
        <w:pStyle w:val="13"/>
        <w:keepNext w:val="0"/>
        <w:keepLines w:val="0"/>
        <w:widowControl/>
        <w:suppressLineNumbers w:val="0"/>
        <w:jc w:val="both"/>
        <w:rPr>
          <w:sz w:val="24"/>
          <w:szCs w:val="24"/>
        </w:rPr>
      </w:pPr>
      <w:r>
        <w:rPr>
          <w:sz w:val="24"/>
          <w:szCs w:val="24"/>
        </w:rPr>
        <w:t>TUCCI, C</w:t>
      </w:r>
      <w:r>
        <w:rPr>
          <w:rFonts w:hint="default"/>
          <w:sz w:val="24"/>
          <w:szCs w:val="24"/>
          <w:lang w:val="pt-BR"/>
        </w:rPr>
        <w:t>arlos Eduardo Morelli.</w:t>
      </w:r>
      <w:bookmarkStart w:id="0" w:name="_GoBack"/>
      <w:bookmarkEnd w:id="0"/>
      <w:r>
        <w:rPr>
          <w:sz w:val="24"/>
          <w:szCs w:val="24"/>
        </w:rPr>
        <w:t xml:space="preserve"> </w:t>
      </w:r>
      <w:r>
        <w:rPr>
          <w:rStyle w:val="11"/>
          <w:sz w:val="24"/>
          <w:szCs w:val="24"/>
        </w:rPr>
        <w:t>Gestão da drenagem urbana</w:t>
      </w:r>
      <w:r>
        <w:rPr>
          <w:sz w:val="24"/>
          <w:szCs w:val="24"/>
        </w:rPr>
        <w:t>. Brasília: Agência Nacional de Águas, 2008. 194 p.</w:t>
      </w:r>
    </w:p>
    <w:p w14:paraId="30A77E7B">
      <w:pPr>
        <w:widowControl/>
        <w:tabs>
          <w:tab w:val="left" w:pos="709"/>
        </w:tabs>
        <w:spacing w:after="160" w:line="360" w:lineRule="auto"/>
        <w:ind w:firstLine="709"/>
        <w:jc w:val="both"/>
        <w:rPr>
          <w:sz w:val="24"/>
          <w:szCs w:val="24"/>
        </w:rPr>
      </w:pPr>
    </w:p>
    <w:p w14:paraId="641A873C">
      <w:pPr>
        <w:jc w:val="both"/>
        <w:rPr>
          <w:sz w:val="24"/>
          <w:szCs w:val="24"/>
        </w:rPr>
      </w:pPr>
    </w:p>
    <w:sectPr>
      <w:headerReference r:id="rId3" w:type="default"/>
      <w:footerReference r:id="rId4" w:type="default"/>
      <w:pgSz w:w="11910" w:h="16840"/>
      <w:pgMar w:top="1701" w:right="1134" w:bottom="1134" w:left="1701" w:header="720" w:footer="720" w:gutter="0"/>
      <w:pgNumType w:start="1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script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1" w:fontKey="{FBD6994C-BC4C-4F3C-8413-5AB2D8C2E208}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  <w:embedRegular r:id="rId2" w:fontKey="{B769DB85-DFC5-4FC8-A49E-D08C0B7537DB}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  <w:embedRegular r:id="rId3" w:fontKey="{ED54C3DB-1E09-48D9-8F23-4BCFE3C82422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06C13917-A336-4D4F-AB9F-5F819FBC47A3}"/>
  </w:font>
  <w:font w:name="SimHei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5" w:fontKey="{D1CFF53D-9CFF-4CCD-A271-29192188241E}"/>
  </w:font>
  <w:font w:name="Georgia">
    <w:panose1 w:val="02040502050405020303"/>
    <w:charset w:val="00"/>
    <w:family w:val="auto"/>
    <w:pitch w:val="default"/>
    <w:sig w:usb0="00000287" w:usb1="00000000" w:usb2="00000000" w:usb3="00000000" w:csb0="2000009F" w:csb1="00000000"/>
    <w:embedRegular r:id="rId6" w:fontKey="{A9D7617E-DB72-49EF-87E6-A97B410EF6A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8C23086">
    <w:pPr>
      <w:keepNext w:val="0"/>
      <w:keepLines w:val="0"/>
      <w:pageBreakBefore w:val="0"/>
      <w:widowControl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color="auto" w:fill="auto"/>
      <w:tabs>
        <w:tab w:val="center" w:pos="4252"/>
        <w:tab w:val="right" w:pos="8504"/>
      </w:tabs>
      <w:spacing w:before="0" w:after="0" w:line="240" w:lineRule="auto"/>
      <w:ind w:left="0" w:right="0" w:firstLine="0"/>
      <w:jc w:val="left"/>
      <w:rPr>
        <w:rFonts w:ascii="Times New Roman" w:hAnsi="Times New Roman" w:eastAsia="Times New Roman" w:cs="Times New Roman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pPr>
    <w: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6350</wp:posOffset>
          </wp:positionV>
          <wp:extent cx="600075" cy="191770"/>
          <wp:effectExtent l="0" t="0" r="0" b="12065"/>
          <wp:wrapSquare wrapText="bothSides"/>
          <wp:docPr id="2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5.png"/>
                  <pic:cNvPicPr preferRelativeResize="0"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0075" cy="191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850900</wp:posOffset>
          </wp:positionH>
          <wp:positionV relativeFrom="paragraph">
            <wp:posOffset>164465</wp:posOffset>
          </wp:positionV>
          <wp:extent cx="1231265" cy="384175"/>
          <wp:effectExtent l="0" t="0" r="635" b="9525"/>
          <wp:wrapSquare wrapText="bothSides"/>
          <wp:docPr id="3" name="image7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7.png"/>
                  <pic:cNvPicPr preferRelativeResize="0"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31265" cy="384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2644140</wp:posOffset>
          </wp:positionH>
          <wp:positionV relativeFrom="paragraph">
            <wp:posOffset>0</wp:posOffset>
          </wp:positionV>
          <wp:extent cx="419100" cy="241935"/>
          <wp:effectExtent l="0" t="0" r="0" b="0"/>
          <wp:wrapSquare wrapText="bothSides"/>
          <wp:docPr id="4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4.png"/>
                  <pic:cNvPicPr preferRelativeResize="0"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419100" cy="241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3139440</wp:posOffset>
          </wp:positionH>
          <wp:positionV relativeFrom="paragraph">
            <wp:posOffset>184785</wp:posOffset>
          </wp:positionV>
          <wp:extent cx="542290" cy="384175"/>
          <wp:effectExtent l="0" t="0" r="0" b="9525"/>
          <wp:wrapSquare wrapText="bothSides"/>
          <wp:docPr id="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1.png"/>
                  <pic:cNvPicPr preferRelativeResize="0"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542290" cy="384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3910965</wp:posOffset>
          </wp:positionH>
          <wp:positionV relativeFrom="paragraph">
            <wp:posOffset>188595</wp:posOffset>
          </wp:positionV>
          <wp:extent cx="914400" cy="353695"/>
          <wp:effectExtent l="0" t="0" r="0" b="1905"/>
          <wp:wrapSquare wrapText="bothSides"/>
          <wp:docPr id="6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2.png"/>
                  <pic:cNvPicPr preferRelativeResize="0"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914400" cy="353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5006340</wp:posOffset>
          </wp:positionH>
          <wp:positionV relativeFrom="paragraph">
            <wp:posOffset>194310</wp:posOffset>
          </wp:positionV>
          <wp:extent cx="756285" cy="335280"/>
          <wp:effectExtent l="0" t="0" r="5715" b="7620"/>
          <wp:wrapSquare wrapText="bothSides"/>
          <wp:docPr id="7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6.png"/>
                  <pic:cNvPicPr preferRelativeResize="0"/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756285" cy="335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711DDE8">
    <w:pPr>
      <w:keepNext w:val="0"/>
      <w:keepLines w:val="0"/>
      <w:pageBreakBefore w:val="0"/>
      <w:widowControl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color="auto" w:fill="auto"/>
      <w:tabs>
        <w:tab w:val="center" w:pos="4252"/>
        <w:tab w:val="right" w:pos="8504"/>
      </w:tabs>
      <w:spacing w:before="0" w:after="0" w:line="240" w:lineRule="auto"/>
      <w:ind w:left="0" w:right="0" w:firstLine="0"/>
      <w:jc w:val="center"/>
      <w:rPr>
        <w:rFonts w:ascii="Times New Roman" w:hAnsi="Times New Roman" w:eastAsia="Times New Roman" w:cs="Times New Roman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pPr>
    <w:r>
      <w:rPr>
        <w:rFonts w:ascii="Times New Roman" w:hAnsi="Times New Roman" w:eastAsia="Times New Roman" w:cs="Times New Roman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  <w:drawing>
        <wp:inline distT="0" distB="0" distL="114300" distR="114300">
          <wp:extent cx="3253105" cy="1610360"/>
          <wp:effectExtent l="0" t="0" r="0" b="0"/>
          <wp:docPr id="8" name="image3.png" descr="Logotipo, nome da empresa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3.png" descr="Logotipo, nome da empresa&#10;&#10;O conteúdo gerado por IA pode estar incorreto."/>
                  <pic:cNvPicPr preferRelativeResize="0"/>
                </pic:nvPicPr>
                <pic:blipFill>
                  <a:blip r:embed="rId1"/>
                  <a:srcRect l="2866" t="33994" r="-2171" b="26666"/>
                  <a:stretch>
                    <a:fillRect/>
                  </a:stretch>
                </pic:blipFill>
                <pic:spPr>
                  <a:xfrm>
                    <a:off x="0" y="0"/>
                    <a:ext cx="3253105" cy="1610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A801CC3"/>
    <w:multiLevelType w:val="singleLevel"/>
    <w:tmpl w:val="DA801CC3"/>
    <w:lvl w:ilvl="0" w:tentative="0">
      <w:start w:val="1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bordersDoNotSurroundHeader w:val="0"/>
  <w:bordersDoNotSurroundFooter w:val="0"/>
  <w:documentProtection w:enforcement="0"/>
  <w:defaultTabStop w:val="720"/>
  <w:hyphenationZone w:val="360"/>
  <w:displayHorizontalDrawingGridEvery w:val="1"/>
  <w:displayVerticalDrawingGridEvery w:val="1"/>
  <w:noPunctuationKerning w:val="1"/>
  <w:characterSpacingControl w:val="doNotCompress"/>
  <w:hdrShapeDefaults>
    <o:shapelayout v:ext="edit">
      <o:idmap v:ext="edit" data="2"/>
    </o:shapelayout>
  </w:hdrShapeDefaults>
  <w:compat>
    <w:doNotLeaveBackslashAlone/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B0E31EC"/>
    <w:rsid w:val="1DAE5596"/>
    <w:rsid w:val="20147B51"/>
    <w:rsid w:val="25593C99"/>
    <w:rsid w:val="29B2670F"/>
    <w:rsid w:val="49305AAB"/>
    <w:rsid w:val="4A081496"/>
    <w:rsid w:val="4CE05D86"/>
    <w:rsid w:val="52294D2A"/>
    <w:rsid w:val="5C455ACB"/>
    <w:rsid w:val="5CAF3FD3"/>
    <w:rsid w:val="6CB51B99"/>
    <w:rsid w:val="6E1A465A"/>
    <w:rsid w:val="7647297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uiPriority w:val="0"/>
    <w:pPr>
      <w:widowControl w:val="0"/>
    </w:pPr>
    <w:rPr>
      <w:rFonts w:ascii="Times New Roman" w:hAnsi="Times New Roman" w:eastAsia="SimSun" w:cs="Times New Roman"/>
      <w:sz w:val="22"/>
      <w:szCs w:val="22"/>
      <w:lang w:val="zh-CN"/>
    </w:rPr>
  </w:style>
  <w:style w:type="paragraph" w:styleId="2">
    <w:name w:val="heading 1"/>
    <w:basedOn w:val="1"/>
    <w:next w:val="1"/>
    <w:qFormat/>
    <w:uiPriority w:val="0"/>
    <w:pPr>
      <w:keepNext/>
      <w:keepLines/>
      <w:pageBreakBefore w:val="0"/>
      <w:spacing w:before="480" w:after="120"/>
      <w:outlineLvl w:val="0"/>
    </w:pPr>
    <w:rPr>
      <w:b/>
      <w:sz w:val="48"/>
      <w:szCs w:val="48"/>
    </w:rPr>
  </w:style>
  <w:style w:type="paragraph" w:styleId="3">
    <w:name w:val="heading 2"/>
    <w:basedOn w:val="1"/>
    <w:next w:val="1"/>
    <w:qFormat/>
    <w:uiPriority w:val="0"/>
    <w:pPr>
      <w:keepNext/>
      <w:keepLines/>
      <w:pageBreakBefore w:val="0"/>
      <w:spacing w:before="360" w:after="80"/>
      <w:outlineLvl w:val="1"/>
    </w:pPr>
    <w:rPr>
      <w:b/>
      <w:sz w:val="36"/>
      <w:szCs w:val="36"/>
    </w:rPr>
  </w:style>
  <w:style w:type="paragraph" w:styleId="4">
    <w:name w:val="heading 3"/>
    <w:basedOn w:val="1"/>
    <w:next w:val="1"/>
    <w:qFormat/>
    <w:uiPriority w:val="0"/>
    <w:pPr>
      <w:keepNext/>
      <w:keepLines/>
      <w:pageBreakBefore w:val="0"/>
      <w:spacing w:before="280" w:after="80"/>
      <w:outlineLvl w:val="2"/>
    </w:pPr>
    <w:rPr>
      <w:b/>
      <w:sz w:val="28"/>
      <w:szCs w:val="28"/>
    </w:rPr>
  </w:style>
  <w:style w:type="paragraph" w:styleId="5">
    <w:name w:val="heading 4"/>
    <w:basedOn w:val="1"/>
    <w:next w:val="1"/>
    <w:qFormat/>
    <w:uiPriority w:val="0"/>
    <w:pPr>
      <w:keepNext/>
      <w:keepLines/>
      <w:pageBreakBefore w:val="0"/>
      <w:spacing w:before="240" w:after="40"/>
      <w:outlineLvl w:val="3"/>
    </w:pPr>
    <w:rPr>
      <w:b/>
      <w:sz w:val="24"/>
      <w:szCs w:val="24"/>
    </w:rPr>
  </w:style>
  <w:style w:type="paragraph" w:styleId="6">
    <w:name w:val="heading 5"/>
    <w:basedOn w:val="1"/>
    <w:next w:val="1"/>
    <w:qFormat/>
    <w:uiPriority w:val="0"/>
    <w:pPr>
      <w:keepNext/>
      <w:keepLines/>
      <w:pageBreakBefore w:val="0"/>
      <w:spacing w:before="220" w:after="40"/>
      <w:outlineLvl w:val="4"/>
    </w:pPr>
    <w:rPr>
      <w:b/>
      <w:sz w:val="22"/>
      <w:szCs w:val="22"/>
    </w:rPr>
  </w:style>
  <w:style w:type="paragraph" w:styleId="7">
    <w:name w:val="heading 6"/>
    <w:basedOn w:val="1"/>
    <w:next w:val="1"/>
    <w:qFormat/>
    <w:uiPriority w:val="0"/>
    <w:pPr>
      <w:keepNext/>
      <w:keepLines/>
      <w:pageBreakBefore w:val="0"/>
      <w:spacing w:before="200" w:after="40"/>
      <w:outlineLvl w:val="5"/>
    </w:pPr>
    <w:rPr>
      <w:b/>
      <w:sz w:val="20"/>
      <w:szCs w:val="20"/>
    </w:rPr>
  </w:style>
  <w:style w:type="character" w:default="1" w:styleId="8">
    <w:name w:val="Default Paragraph Font"/>
    <w:semiHidden/>
    <w:uiPriority w:val="0"/>
  </w:style>
  <w:style w:type="table" w:default="1" w:styleId="9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Strong"/>
    <w:basedOn w:val="8"/>
    <w:qFormat/>
    <w:uiPriority w:val="0"/>
    <w:rPr>
      <w:b/>
      <w:bCs/>
    </w:rPr>
  </w:style>
  <w:style w:type="character" w:styleId="11">
    <w:name w:val="Emphasis"/>
    <w:basedOn w:val="8"/>
    <w:qFormat/>
    <w:uiPriority w:val="0"/>
    <w:rPr>
      <w:i/>
      <w:iCs/>
    </w:rPr>
  </w:style>
  <w:style w:type="paragraph" w:styleId="12">
    <w:name w:val="Title"/>
    <w:basedOn w:val="1"/>
    <w:next w:val="1"/>
    <w:qFormat/>
    <w:uiPriority w:val="0"/>
    <w:pPr>
      <w:keepNext/>
      <w:keepLines/>
      <w:pageBreakBefore w:val="0"/>
      <w:spacing w:before="480" w:after="120"/>
    </w:pPr>
    <w:rPr>
      <w:b/>
      <w:sz w:val="72"/>
      <w:szCs w:val="72"/>
    </w:rPr>
  </w:style>
  <w:style w:type="paragraph" w:styleId="13">
    <w:name w:val="Normal (Web)"/>
    <w:uiPriority w:val="0"/>
    <w:pPr>
      <w:spacing w:before="100" w:beforeAutospacing="1" w:after="100" w:afterAutospacing="1"/>
      <w:ind w:left="0" w:right="0"/>
      <w:jc w:val="left"/>
    </w:pPr>
    <w:rPr>
      <w:rFonts w:ascii="Times New Roman" w:hAnsi="Times New Roman" w:eastAsia="SimSun" w:cs="Times New Roman"/>
      <w:kern w:val="0"/>
      <w:szCs w:val="24"/>
      <w:lang w:val="en-US" w:eastAsia="zh-CN" w:bidi="ar"/>
    </w:rPr>
  </w:style>
  <w:style w:type="paragraph" w:styleId="14">
    <w:name w:val="Subtitle"/>
    <w:basedOn w:val="1"/>
    <w:next w:val="1"/>
    <w:qFormat/>
    <w:uiPriority w:val="0"/>
    <w:pPr>
      <w:keepNext/>
      <w:keepLines/>
      <w:pageBreakBefore w:val="0"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table" w:customStyle="1" w:styleId="15">
    <w:name w:val="TableNormal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image" Target="media/image8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8</Pages>
  <TotalTime>24</TotalTime>
  <ScaleCrop>false</ScaleCrop>
  <LinksUpToDate>false</LinksUpToDate>
  <Application>WPS Office_12.2.0.23155_F1E327BC-269C-435d-A152-05C5408002CA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2025-10-31T13:51:00Z</dcterms:created>
  <dc:creator>marce</dc:creator>
  <cp:lastModifiedBy>marce</cp:lastModifiedBy>
  <dcterms:modified xsi:type="dcterms:W3CDTF">2025-11-27T12:17:49Z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2022-08-23T00:00:00Z</vt:lpwstr>
  </property>
  <property fmtid="{D5CDD505-2E9C-101B-9397-08002B2CF9AE}" pid="3" name="Creator">
    <vt:lpwstr>Microsoft® Word para Microsoft 365</vt:lpwstr>
  </property>
  <property fmtid="{D5CDD505-2E9C-101B-9397-08002B2CF9AE}" pid="4" name="LastSaved">
    <vt:lpwstr>2023-08-30T00:00:00Z</vt:lpwstr>
  </property>
  <property fmtid="{D5CDD505-2E9C-101B-9397-08002B2CF9AE}" pid="5" name="KSOProductBuildVer">
    <vt:lpwstr>1046-12.2.0.23155</vt:lpwstr>
  </property>
  <property fmtid="{D5CDD505-2E9C-101B-9397-08002B2CF9AE}" pid="6" name="ICV">
    <vt:lpwstr>916D23FD878149A38B694B344A9475A2_13</vt:lpwstr>
  </property>
</Properties>
</file>