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F4978B" w14:textId="77777777" w:rsidR="00F232B6" w:rsidRDefault="00000000">
      <w:pPr>
        <w:shd w:val="clear" w:color="auto" w:fill="FFFFFF"/>
        <w:tabs>
          <w:tab w:val="left" w:pos="2500"/>
        </w:tabs>
        <w:jc w:val="center"/>
        <w:rPr>
          <w:b/>
          <w:bCs/>
          <w:color w:val="000000"/>
          <w:sz w:val="24"/>
          <w:szCs w:val="24"/>
        </w:rPr>
      </w:pPr>
      <w:r>
        <w:rPr>
          <w:b/>
          <w:bCs/>
          <w:color w:val="000000"/>
          <w:sz w:val="24"/>
          <w:szCs w:val="24"/>
        </w:rPr>
        <w:t>ESTUDO ETNOFARMACOLÓGICO E CORRELAÇÃO QUÍMICA DE PLANTAS MEDICINAIS USADAS PELA COMUNIDADE QUILOMBOLA DE ITACURUÇÁ (ABAETETUBA/PA)</w:t>
      </w:r>
    </w:p>
    <w:p w14:paraId="49668836" w14:textId="77777777" w:rsidR="00F232B6" w:rsidRDefault="00F232B6">
      <w:pPr>
        <w:shd w:val="clear" w:color="auto" w:fill="FFFFFF"/>
        <w:tabs>
          <w:tab w:val="left" w:pos="2500"/>
        </w:tabs>
        <w:jc w:val="center"/>
        <w:rPr>
          <w:b/>
          <w:bCs/>
          <w:color w:val="000000"/>
          <w:sz w:val="24"/>
          <w:szCs w:val="24"/>
        </w:rPr>
      </w:pPr>
    </w:p>
    <w:p w14:paraId="7D845BDA" w14:textId="77777777" w:rsidR="00F232B6" w:rsidRDefault="00000000">
      <w:pPr>
        <w:shd w:val="clear" w:color="auto" w:fill="FFFFFF"/>
        <w:tabs>
          <w:tab w:val="left" w:pos="2500"/>
        </w:tabs>
        <w:jc w:val="center"/>
        <w:rPr>
          <w:color w:val="FF0000"/>
          <w:sz w:val="24"/>
          <w:szCs w:val="24"/>
        </w:rPr>
      </w:pPr>
      <w:r>
        <w:rPr>
          <w:sz w:val="24"/>
          <w:szCs w:val="24"/>
        </w:rPr>
        <w:t>Cristiano de Vilhena Oliveira</w:t>
      </w:r>
      <w:r>
        <w:rPr>
          <w:sz w:val="24"/>
          <w:szCs w:val="24"/>
          <w:vertAlign w:val="superscript"/>
        </w:rPr>
        <w:t>1</w:t>
      </w:r>
      <w:r>
        <w:rPr>
          <w:sz w:val="24"/>
          <w:szCs w:val="24"/>
        </w:rPr>
        <w:t>; Rosiellen Lobato Pereira</w:t>
      </w:r>
      <w:r>
        <w:rPr>
          <w:sz w:val="24"/>
          <w:szCs w:val="24"/>
          <w:vertAlign w:val="superscript"/>
        </w:rPr>
        <w:t>2</w:t>
      </w:r>
      <w:r>
        <w:rPr>
          <w:sz w:val="24"/>
          <w:szCs w:val="24"/>
        </w:rPr>
        <w:t>; Larissa dos Santos Moura Cardoso</w:t>
      </w:r>
      <w:r>
        <w:rPr>
          <w:sz w:val="24"/>
          <w:szCs w:val="24"/>
          <w:vertAlign w:val="superscript"/>
        </w:rPr>
        <w:t>2</w:t>
      </w:r>
      <w:r>
        <w:rPr>
          <w:sz w:val="24"/>
          <w:szCs w:val="24"/>
        </w:rPr>
        <w:t xml:space="preserve">; </w:t>
      </w:r>
      <w:r>
        <w:rPr>
          <w:sz w:val="24"/>
          <w:szCs w:val="24"/>
          <w:u w:val="single"/>
        </w:rPr>
        <w:t>Johan Carlos Costa Santiago</w:t>
      </w:r>
      <w:r>
        <w:rPr>
          <w:sz w:val="24"/>
          <w:szCs w:val="24"/>
          <w:vertAlign w:val="superscript"/>
        </w:rPr>
        <w:t>3</w:t>
      </w:r>
    </w:p>
    <w:p w14:paraId="59C4AB09" w14:textId="77777777" w:rsidR="00F232B6" w:rsidRDefault="00F232B6">
      <w:pPr>
        <w:shd w:val="clear" w:color="auto" w:fill="FFFFFF"/>
        <w:tabs>
          <w:tab w:val="left" w:pos="2500"/>
        </w:tabs>
        <w:jc w:val="center"/>
        <w:rPr>
          <w:color w:val="FF0000"/>
          <w:sz w:val="24"/>
          <w:szCs w:val="24"/>
        </w:rPr>
      </w:pPr>
    </w:p>
    <w:p w14:paraId="68E26763" w14:textId="77777777" w:rsidR="00F232B6" w:rsidRDefault="00000000">
      <w:pPr>
        <w:keepLines/>
        <w:shd w:val="clear" w:color="auto" w:fill="FFFFFF"/>
        <w:tabs>
          <w:tab w:val="left" w:pos="2500"/>
        </w:tabs>
        <w:jc w:val="center"/>
        <w:rPr>
          <w:sz w:val="24"/>
          <w:szCs w:val="24"/>
        </w:rPr>
      </w:pPr>
      <w:r>
        <w:rPr>
          <w:sz w:val="24"/>
          <w:szCs w:val="24"/>
          <w:vertAlign w:val="superscript"/>
        </w:rPr>
        <w:t xml:space="preserve">1 </w:t>
      </w:r>
      <w:r>
        <w:rPr>
          <w:sz w:val="24"/>
          <w:szCs w:val="24"/>
        </w:rPr>
        <w:t>Graduando em Licenciatura Plena em Química. Universidade do Estado do Pará. E-mail: cristiano.oliveira@aluno.uepa.br</w:t>
      </w:r>
    </w:p>
    <w:p w14:paraId="50A5291D" w14:textId="77777777" w:rsidR="00F232B6" w:rsidRDefault="00000000">
      <w:pPr>
        <w:keepLines/>
        <w:shd w:val="clear" w:color="auto" w:fill="FFFFFF"/>
        <w:tabs>
          <w:tab w:val="left" w:pos="2500"/>
        </w:tabs>
        <w:jc w:val="center"/>
        <w:rPr>
          <w:b/>
          <w:bCs/>
          <w:sz w:val="24"/>
          <w:szCs w:val="24"/>
        </w:rPr>
      </w:pPr>
      <w:r>
        <w:rPr>
          <w:sz w:val="24"/>
          <w:szCs w:val="24"/>
          <w:vertAlign w:val="superscript"/>
        </w:rPr>
        <w:t xml:space="preserve">2 </w:t>
      </w:r>
      <w:r>
        <w:rPr>
          <w:sz w:val="24"/>
          <w:szCs w:val="24"/>
        </w:rPr>
        <w:t>Graduanda em Licenciatura em Química. Universidade do Estado do Pará.</w:t>
      </w:r>
    </w:p>
    <w:p w14:paraId="6B2729CE" w14:textId="77777777" w:rsidR="00F232B6" w:rsidRDefault="00000000">
      <w:pPr>
        <w:keepLines/>
        <w:shd w:val="clear" w:color="auto" w:fill="FFFFFF"/>
        <w:tabs>
          <w:tab w:val="left" w:pos="2500"/>
        </w:tabs>
        <w:jc w:val="center"/>
        <w:rPr>
          <w:sz w:val="24"/>
          <w:szCs w:val="24"/>
        </w:rPr>
      </w:pPr>
      <w:r>
        <w:rPr>
          <w:sz w:val="24"/>
          <w:szCs w:val="24"/>
          <w:vertAlign w:val="superscript"/>
        </w:rPr>
        <w:t>3</w:t>
      </w:r>
      <w:r>
        <w:rPr>
          <w:sz w:val="24"/>
          <w:szCs w:val="24"/>
        </w:rPr>
        <w:t xml:space="preserve"> Doutor em Química. Universidade do Estado do Pará.</w:t>
      </w:r>
    </w:p>
    <w:p w14:paraId="587BAFBB" w14:textId="77777777" w:rsidR="00F232B6" w:rsidRDefault="00F232B6">
      <w:pPr>
        <w:keepLines/>
        <w:pBdr>
          <w:bottom w:val="none" w:sz="0" w:space="8" w:color="000000"/>
        </w:pBdr>
        <w:shd w:val="clear" w:color="auto" w:fill="FFFFFF"/>
        <w:tabs>
          <w:tab w:val="left" w:pos="2500"/>
        </w:tabs>
        <w:spacing w:line="310" w:lineRule="auto"/>
        <w:jc w:val="center"/>
        <w:rPr>
          <w:sz w:val="24"/>
          <w:szCs w:val="24"/>
        </w:rPr>
      </w:pPr>
    </w:p>
    <w:p w14:paraId="1C11885B" w14:textId="77777777" w:rsidR="00F232B6" w:rsidRDefault="00000000">
      <w:pPr>
        <w:pBdr>
          <w:bottom w:val="none" w:sz="0" w:space="8" w:color="000000"/>
        </w:pBdr>
        <w:shd w:val="clear" w:color="auto" w:fill="FFFFFF"/>
        <w:tabs>
          <w:tab w:val="left" w:pos="2500"/>
        </w:tabs>
        <w:jc w:val="center"/>
        <w:rPr>
          <w:b/>
          <w:bCs/>
          <w:sz w:val="24"/>
          <w:szCs w:val="24"/>
          <w:u w:val="single"/>
        </w:rPr>
      </w:pPr>
      <w:r>
        <w:rPr>
          <w:b/>
          <w:bCs/>
          <w:sz w:val="24"/>
          <w:szCs w:val="24"/>
          <w:u w:val="single"/>
        </w:rPr>
        <w:t>RESUMO</w:t>
      </w:r>
    </w:p>
    <w:p w14:paraId="67A8C25B" w14:textId="77777777" w:rsidR="00F232B6" w:rsidRDefault="00F232B6">
      <w:pPr>
        <w:pBdr>
          <w:bottom w:val="none" w:sz="0" w:space="8" w:color="000000"/>
        </w:pBdr>
        <w:shd w:val="clear" w:color="auto" w:fill="FFFFFF"/>
        <w:tabs>
          <w:tab w:val="left" w:pos="2500"/>
        </w:tabs>
        <w:jc w:val="center"/>
        <w:rPr>
          <w:b/>
          <w:bCs/>
          <w:sz w:val="24"/>
          <w:szCs w:val="24"/>
          <w:u w:val="single"/>
        </w:rPr>
      </w:pPr>
    </w:p>
    <w:p w14:paraId="5034F8D8" w14:textId="7FDCF3DC" w:rsidR="00F232B6" w:rsidRDefault="00000000">
      <w:pPr>
        <w:pBdr>
          <w:bottom w:val="none" w:sz="0" w:space="8" w:color="000000"/>
        </w:pBdr>
        <w:shd w:val="clear" w:color="auto" w:fill="FFFFFF"/>
        <w:tabs>
          <w:tab w:val="left" w:pos="2500"/>
        </w:tabs>
        <w:jc w:val="both"/>
        <w:rPr>
          <w:sz w:val="24"/>
          <w:szCs w:val="24"/>
        </w:rPr>
      </w:pPr>
      <w:r>
        <w:rPr>
          <w:sz w:val="24"/>
          <w:szCs w:val="24"/>
        </w:rPr>
        <w:t>O presente estudo teve como objetivo compreender e registrar o conhecimento etnofarmacológico da comunidade quilombola de Itacuruçá, localizada em Abaetetuba/PA, identificando as plantas medicinais empregadas em práticas de saúde e correlacionando esses saberes tradicionais com informações químicas disponíveis na literatura científica. A investigação buscou valorizar os conhecimentos ancestrais, documentando espécies utilizadas tanto no tratamento de diversas enfermidades quanto em contextos ritualísticos, com vistas à preservação desse patrimônio cultural e ao fortalecimento do diálogo entre tradição e ciência. A metodologia incluiu entrevistas com moradores, caminhadas guiadas para coleta das plantas, registro fotográfico e subsequente identificação botânica das espécies no herbário da Universidade do Estado do Pará. Ao todo, seis</w:t>
      </w:r>
      <w:r w:rsidR="00BD757F">
        <w:rPr>
          <w:sz w:val="24"/>
          <w:szCs w:val="24"/>
        </w:rPr>
        <w:t xml:space="preserve"> espécies</w:t>
      </w:r>
      <w:r>
        <w:rPr>
          <w:sz w:val="24"/>
          <w:szCs w:val="24"/>
        </w:rPr>
        <w:t xml:space="preserve"> tiveram a identificação confirmada</w:t>
      </w:r>
      <w:r w:rsidR="00BD757F">
        <w:rPr>
          <w:sz w:val="24"/>
          <w:szCs w:val="24"/>
        </w:rPr>
        <w:t xml:space="preserve">, sendo elas: </w:t>
      </w:r>
      <w:r>
        <w:rPr>
          <w:i/>
          <w:iCs/>
          <w:sz w:val="24"/>
          <w:szCs w:val="24"/>
        </w:rPr>
        <w:t>Alpinia zerumbet</w:t>
      </w:r>
      <w:r>
        <w:rPr>
          <w:sz w:val="24"/>
          <w:szCs w:val="24"/>
        </w:rPr>
        <w:t xml:space="preserve"> (utilizada contra inchaços, rica em monoterpenos de ação anti-inflamatória), </w:t>
      </w:r>
      <w:r>
        <w:rPr>
          <w:i/>
          <w:iCs/>
          <w:sz w:val="24"/>
          <w:szCs w:val="24"/>
        </w:rPr>
        <w:t>Lippia alba</w:t>
      </w:r>
      <w:r>
        <w:rPr>
          <w:sz w:val="24"/>
          <w:szCs w:val="24"/>
        </w:rPr>
        <w:t xml:space="preserve"> (com propriedades ansiolíticas e anti-hipertensivas, contendo monoterpenos como carvona e citronelol), </w:t>
      </w:r>
      <w:r>
        <w:rPr>
          <w:i/>
          <w:iCs/>
          <w:sz w:val="24"/>
          <w:szCs w:val="24"/>
        </w:rPr>
        <w:t>Costus spicatus</w:t>
      </w:r>
      <w:r>
        <w:rPr>
          <w:sz w:val="24"/>
          <w:szCs w:val="24"/>
        </w:rPr>
        <w:t xml:space="preserve"> (empregada em infecções urinárias, com presença de ácidos fenólicos, flavonoides e saponinas), </w:t>
      </w:r>
      <w:r>
        <w:rPr>
          <w:i/>
          <w:iCs/>
          <w:sz w:val="24"/>
          <w:szCs w:val="24"/>
        </w:rPr>
        <w:t>Justicia secunda</w:t>
      </w:r>
      <w:r>
        <w:rPr>
          <w:sz w:val="24"/>
          <w:szCs w:val="24"/>
        </w:rPr>
        <w:t xml:space="preserve"> e </w:t>
      </w:r>
      <w:r>
        <w:rPr>
          <w:i/>
          <w:iCs/>
          <w:sz w:val="24"/>
          <w:szCs w:val="24"/>
        </w:rPr>
        <w:t>Fridericia chica</w:t>
      </w:r>
      <w:r>
        <w:rPr>
          <w:sz w:val="24"/>
          <w:szCs w:val="24"/>
        </w:rPr>
        <w:t xml:space="preserve"> (associadas ao tratamento de anemias, devido ao teor de ferro e compostos fenólicos antioxidantes), além de </w:t>
      </w:r>
      <w:r>
        <w:rPr>
          <w:i/>
          <w:iCs/>
          <w:sz w:val="24"/>
          <w:szCs w:val="24"/>
        </w:rPr>
        <w:t>Pogostemon heyneanus</w:t>
      </w:r>
      <w:r>
        <w:rPr>
          <w:sz w:val="24"/>
          <w:szCs w:val="24"/>
        </w:rPr>
        <w:t>, cujo uso é predominantemente ritualístico, mas que apresenta o terpeno patchoulol, de reconhecido potencial antimicrobiano e antioxidante. Os resultados demonstram que as espécies utilizadas pela comunidade apresentam compostos bioativos que corroboram atividades farmacológicas previamente descritas na literatura científica. Evidencia-se, assim, que o saber tradicional não apenas oferece alternativas terapêuticas, mas também constitui um patrimônio coletivo que integra cultura, saúde e meio ambiente. A valorização e preservação desse conhecimento revelam-se fundamentais para estimular novas pesquisas e fortalecer a cooperação entre comunidades tradicionais e pesquisadores.</w:t>
      </w:r>
    </w:p>
    <w:p w14:paraId="1B3B63DE" w14:textId="77777777" w:rsidR="00F232B6" w:rsidRDefault="00000000">
      <w:pPr>
        <w:shd w:val="clear" w:color="auto" w:fill="FFFFFF"/>
        <w:tabs>
          <w:tab w:val="left" w:pos="2500"/>
        </w:tabs>
        <w:rPr>
          <w:color w:val="FF0000"/>
          <w:sz w:val="24"/>
          <w:szCs w:val="24"/>
        </w:rPr>
      </w:pPr>
      <w:r>
        <w:rPr>
          <w:b/>
          <w:bCs/>
          <w:sz w:val="24"/>
          <w:szCs w:val="24"/>
        </w:rPr>
        <w:t xml:space="preserve">Palavras-chave: </w:t>
      </w:r>
      <w:r>
        <w:rPr>
          <w:color w:val="000000"/>
          <w:sz w:val="24"/>
          <w:szCs w:val="24"/>
        </w:rPr>
        <w:t>Etnofarmacologia. constituintes químicos. comunidade tradicional.</w:t>
      </w:r>
    </w:p>
    <w:p w14:paraId="5072F69E" w14:textId="77777777" w:rsidR="00F232B6" w:rsidRDefault="00F232B6">
      <w:pPr>
        <w:shd w:val="clear" w:color="auto" w:fill="FFFFFF"/>
        <w:tabs>
          <w:tab w:val="left" w:pos="2500"/>
        </w:tabs>
        <w:jc w:val="center"/>
        <w:rPr>
          <w:sz w:val="24"/>
          <w:szCs w:val="24"/>
        </w:rPr>
      </w:pPr>
    </w:p>
    <w:p w14:paraId="656BE35D" w14:textId="77777777" w:rsidR="00F232B6" w:rsidRDefault="00000000">
      <w:pPr>
        <w:shd w:val="clear" w:color="auto" w:fill="FFFFFF"/>
        <w:tabs>
          <w:tab w:val="left" w:pos="2500"/>
        </w:tabs>
        <w:rPr>
          <w:b/>
          <w:bCs/>
          <w:color w:val="0000FF"/>
          <w:sz w:val="24"/>
          <w:szCs w:val="24"/>
          <w:u w:val="single"/>
        </w:rPr>
      </w:pPr>
      <w:r>
        <w:rPr>
          <w:b/>
          <w:bCs/>
          <w:sz w:val="24"/>
          <w:szCs w:val="24"/>
        </w:rPr>
        <w:t>Área de Interesse do Simpósio</w:t>
      </w:r>
      <w:r>
        <w:rPr>
          <w:sz w:val="24"/>
          <w:szCs w:val="24"/>
        </w:rPr>
        <w:t>: Ciências Exatas e da Terra.</w:t>
      </w:r>
    </w:p>
    <w:p w14:paraId="76FE4A10" w14:textId="77777777" w:rsidR="00F232B6" w:rsidRDefault="00000000">
      <w:pPr>
        <w:pBdr>
          <w:bottom w:val="none" w:sz="0" w:space="8" w:color="000000"/>
        </w:pBdr>
        <w:shd w:val="clear" w:color="auto" w:fill="FFFFFF"/>
        <w:tabs>
          <w:tab w:val="left" w:pos="2500"/>
        </w:tabs>
        <w:rPr>
          <w:sz w:val="24"/>
          <w:szCs w:val="24"/>
        </w:rPr>
      </w:pPr>
      <w:r>
        <w:br w:type="page"/>
      </w:r>
    </w:p>
    <w:p w14:paraId="146C3B81" w14:textId="77777777" w:rsidR="00F232B6" w:rsidRDefault="00F232B6">
      <w:pPr>
        <w:pBdr>
          <w:bottom w:val="none" w:sz="0" w:space="8" w:color="000000"/>
        </w:pBdr>
        <w:shd w:val="clear" w:color="auto" w:fill="FFFFFF"/>
        <w:tabs>
          <w:tab w:val="left" w:pos="2500"/>
        </w:tabs>
        <w:rPr>
          <w:sz w:val="24"/>
          <w:szCs w:val="24"/>
        </w:rPr>
      </w:pPr>
    </w:p>
    <w:p w14:paraId="173388BA" w14:textId="77777777" w:rsidR="00F232B6" w:rsidRDefault="00000000">
      <w:pPr>
        <w:pBdr>
          <w:bottom w:val="none" w:sz="0" w:space="18" w:color="000000"/>
        </w:pBdr>
        <w:shd w:val="clear" w:color="auto" w:fill="FFFFFF"/>
        <w:tabs>
          <w:tab w:val="left" w:pos="2500"/>
        </w:tabs>
        <w:spacing w:line="360" w:lineRule="auto"/>
        <w:jc w:val="both"/>
        <w:rPr>
          <w:color w:val="FF0000"/>
          <w:sz w:val="24"/>
          <w:szCs w:val="24"/>
        </w:rPr>
      </w:pPr>
      <w:r>
        <w:rPr>
          <w:b/>
          <w:bCs/>
          <w:sz w:val="24"/>
          <w:szCs w:val="24"/>
        </w:rPr>
        <w:t>1. INTRODUÇÃO</w:t>
      </w:r>
    </w:p>
    <w:p w14:paraId="2F10F846" w14:textId="77777777" w:rsidR="00F232B6" w:rsidRDefault="00000000">
      <w:pPr>
        <w:pBdr>
          <w:bottom w:val="none" w:sz="0" w:space="8" w:color="000000"/>
        </w:pBdr>
        <w:shd w:val="clear" w:color="auto" w:fill="FFFFFF"/>
        <w:tabs>
          <w:tab w:val="left" w:pos="699"/>
        </w:tabs>
        <w:spacing w:line="360" w:lineRule="auto"/>
        <w:ind w:firstLine="709"/>
        <w:jc w:val="both"/>
        <w:rPr>
          <w:sz w:val="24"/>
          <w:szCs w:val="24"/>
        </w:rPr>
      </w:pPr>
      <w:r>
        <w:rPr>
          <w:sz w:val="24"/>
          <w:szCs w:val="24"/>
        </w:rPr>
        <w:tab/>
        <w:t>Ao longo do tempo, o conhecimento sobre o uso terapêutico de plantas tem sido transmitido de geração em geração, representando uma prática contínua na busca pela saúde. Mesmo em tempos modernos, esse saber ancestral continua sendo uma importante forma de tratamento para muitas pessoas, tanto em áreas urbanas quanto rurais (Fischer; Stumpf; Mariot, 2019).</w:t>
      </w:r>
    </w:p>
    <w:p w14:paraId="391171D1" w14:textId="77777777" w:rsidR="00F232B6" w:rsidRDefault="00000000">
      <w:pPr>
        <w:pBdr>
          <w:bottom w:val="none" w:sz="0" w:space="8" w:color="000000"/>
        </w:pBdr>
        <w:shd w:val="clear" w:color="auto" w:fill="FFFFFF"/>
        <w:tabs>
          <w:tab w:val="left" w:pos="699"/>
        </w:tabs>
        <w:spacing w:line="360" w:lineRule="auto"/>
        <w:ind w:firstLine="709"/>
        <w:jc w:val="both"/>
        <w:rPr>
          <w:sz w:val="24"/>
          <w:szCs w:val="24"/>
        </w:rPr>
      </w:pPr>
      <w:r>
        <w:rPr>
          <w:sz w:val="24"/>
          <w:szCs w:val="24"/>
        </w:rPr>
        <w:t>A etnofarmacologia, como campo de estudo multidisciplinar, investiga o uso tradicional de plantas medicinais por diferentes culturas em todo o mundo. Seu objetivo é compreender como as comunidades utilizam o conhecimento tradicional para o manejo de recursos naturais, visando à promoção da saúde e do bem-estar. Nesse contexto, a etnofarmacologia desempenha um papel fundamental na preservação do patrimônio cultural e na valorização dos saberes ancestrais das comunidades (Rodrigues; Oliveira, 2020).</w:t>
      </w:r>
    </w:p>
    <w:p w14:paraId="6D483757" w14:textId="77777777" w:rsidR="00F232B6" w:rsidRDefault="00000000">
      <w:pPr>
        <w:pBdr>
          <w:bottom w:val="none" w:sz="0" w:space="8" w:color="000000"/>
        </w:pBdr>
        <w:shd w:val="clear" w:color="auto" w:fill="FFFFFF"/>
        <w:tabs>
          <w:tab w:val="left" w:pos="699"/>
        </w:tabs>
        <w:spacing w:line="360" w:lineRule="auto"/>
        <w:ind w:firstLine="709"/>
        <w:jc w:val="both"/>
        <w:rPr>
          <w:sz w:val="24"/>
          <w:szCs w:val="24"/>
        </w:rPr>
      </w:pPr>
      <w:r>
        <w:rPr>
          <w:sz w:val="24"/>
          <w:szCs w:val="24"/>
        </w:rPr>
        <w:t>Sob essa ótica, diversos estudos destacam que na Amazônia o uso de plantas medicinais é uma prática comum, devido à vasta gama de recursos naturais que a floresta oferece, servindo como matéria-prima base para a medicina tradicional. Vários grupos interétnicos, incluindo os quilombolas, utilizam diferentes plantas para fins curativos. Nessas comunidades, o conhecimento e o uso de plantas medicinais desempenham um papel significativo nas relações socioculturais (Silva; Lobato; Ravena-Canete, 2019).</w:t>
      </w:r>
    </w:p>
    <w:p w14:paraId="067FEB56" w14:textId="77777777" w:rsidR="00F232B6" w:rsidRDefault="00000000">
      <w:pPr>
        <w:pBdr>
          <w:bottom w:val="none" w:sz="0" w:space="8" w:color="000000"/>
        </w:pBdr>
        <w:shd w:val="clear" w:color="auto" w:fill="FFFFFF"/>
        <w:tabs>
          <w:tab w:val="left" w:pos="699"/>
        </w:tabs>
        <w:spacing w:line="360" w:lineRule="auto"/>
        <w:ind w:firstLine="709"/>
        <w:jc w:val="both"/>
        <w:rPr>
          <w:sz w:val="24"/>
          <w:szCs w:val="24"/>
        </w:rPr>
      </w:pPr>
      <w:r>
        <w:rPr>
          <w:sz w:val="24"/>
          <w:szCs w:val="24"/>
        </w:rPr>
        <w:t>Considerando a riqueza do conhecimento tradicional das comunidades quilombolas e a importância das plantas medicinais em suas práticas de saúde, surge a necessidade de compreender de forma mais aprofundada o uso etnofarmacológico dessas plantas. Nesse contexto, o problema de pesquisa que orientou este estudo foi: Como estudar o conhecimento etnofarmacológico da comunidade quilombola de Itacuruçá e correlacioná-lo com informações químicas e farmacológicas disponíveis na literatura para identificar e registrar as plantas medicinais utilizadas?</w:t>
      </w:r>
    </w:p>
    <w:p w14:paraId="7473F6EA" w14:textId="40AFD046" w:rsidR="00F232B6" w:rsidRDefault="00000000">
      <w:pPr>
        <w:pBdr>
          <w:bottom w:val="none" w:sz="0" w:space="8" w:color="000000"/>
        </w:pBdr>
        <w:shd w:val="clear" w:color="auto" w:fill="FFFFFF"/>
        <w:tabs>
          <w:tab w:val="left" w:pos="699"/>
        </w:tabs>
        <w:spacing w:line="360" w:lineRule="auto"/>
        <w:ind w:firstLine="709"/>
        <w:jc w:val="both"/>
        <w:rPr>
          <w:sz w:val="24"/>
          <w:szCs w:val="24"/>
        </w:rPr>
      </w:pPr>
      <w:r>
        <w:rPr>
          <w:sz w:val="24"/>
          <w:szCs w:val="24"/>
        </w:rPr>
        <w:t xml:space="preserve">Com base no exposto, esta pesquisa visou analisar e compreender o conhecimento etnofarmacológico da comunidade quilombola de Itacuruçá, identificando as plantas medicinais utilizadas na região e, a partir da literatura, estabelecer correspondências entre os sintomas </w:t>
      </w:r>
      <w:r>
        <w:rPr>
          <w:sz w:val="24"/>
          <w:szCs w:val="24"/>
        </w:rPr>
        <w:lastRenderedPageBreak/>
        <w:t xml:space="preserve">relatados pelos moradores, seus possíveis usos </w:t>
      </w:r>
      <w:r w:rsidR="00EE0C62">
        <w:rPr>
          <w:sz w:val="24"/>
          <w:szCs w:val="24"/>
        </w:rPr>
        <w:t>terapêuticos</w:t>
      </w:r>
      <w:r>
        <w:rPr>
          <w:sz w:val="24"/>
          <w:szCs w:val="24"/>
        </w:rPr>
        <w:t xml:space="preserve"> e os constituintes químicos de espécies com estudos fitoquímicos disponíveis. Dessa forma, buscou-se ampliar o diálogo entre o saber tradicional e a ciência.</w:t>
      </w:r>
    </w:p>
    <w:p w14:paraId="1FD46373" w14:textId="77777777" w:rsidR="00F232B6" w:rsidRDefault="00F232B6">
      <w:pPr>
        <w:pBdr>
          <w:bottom w:val="none" w:sz="0" w:space="8" w:color="000000"/>
        </w:pBdr>
        <w:shd w:val="clear" w:color="auto" w:fill="FFFFFF"/>
        <w:tabs>
          <w:tab w:val="left" w:pos="699"/>
        </w:tabs>
        <w:spacing w:line="360" w:lineRule="auto"/>
        <w:ind w:firstLine="709"/>
        <w:jc w:val="both"/>
        <w:rPr>
          <w:b/>
          <w:bCs/>
          <w:sz w:val="24"/>
          <w:szCs w:val="24"/>
        </w:rPr>
      </w:pPr>
    </w:p>
    <w:p w14:paraId="31F7F0BF" w14:textId="77777777" w:rsidR="00F232B6" w:rsidRDefault="00000000">
      <w:pPr>
        <w:pBdr>
          <w:bottom w:val="none" w:sz="0" w:space="18" w:color="000000"/>
        </w:pBdr>
        <w:shd w:val="clear" w:color="auto" w:fill="FFFFFF"/>
        <w:tabs>
          <w:tab w:val="left" w:pos="2500"/>
        </w:tabs>
        <w:spacing w:line="310" w:lineRule="auto"/>
        <w:jc w:val="both"/>
        <w:rPr>
          <w:color w:val="FF0000"/>
          <w:sz w:val="24"/>
          <w:szCs w:val="24"/>
        </w:rPr>
      </w:pPr>
      <w:r>
        <w:rPr>
          <w:b/>
          <w:bCs/>
          <w:sz w:val="24"/>
          <w:szCs w:val="24"/>
        </w:rPr>
        <w:t>2. METODOLOGIA</w:t>
      </w:r>
    </w:p>
    <w:p w14:paraId="0FDB8B2F" w14:textId="77777777" w:rsidR="00F232B6" w:rsidRDefault="00000000">
      <w:pPr>
        <w:widowControl/>
        <w:pBdr>
          <w:top w:val="nil"/>
          <w:left w:val="nil"/>
          <w:bottom w:val="nil"/>
          <w:right w:val="nil"/>
          <w:between w:val="nil"/>
        </w:pBdr>
        <w:spacing w:line="360" w:lineRule="auto"/>
        <w:jc w:val="both"/>
        <w:rPr>
          <w:color w:val="000000"/>
          <w:sz w:val="24"/>
          <w:szCs w:val="24"/>
        </w:rPr>
      </w:pPr>
      <w:r>
        <w:rPr>
          <w:color w:val="000000"/>
          <w:sz w:val="24"/>
          <w:szCs w:val="24"/>
        </w:rPr>
        <w:t>2.1 LOCAL DO ESTUDO</w:t>
      </w:r>
    </w:p>
    <w:p w14:paraId="74773B99" w14:textId="77777777" w:rsidR="00F232B6" w:rsidRDefault="00000000">
      <w:pPr>
        <w:spacing w:line="360" w:lineRule="auto"/>
        <w:ind w:firstLine="709"/>
        <w:jc w:val="both"/>
        <w:rPr>
          <w:color w:val="000000"/>
          <w:sz w:val="24"/>
          <w:szCs w:val="24"/>
        </w:rPr>
      </w:pPr>
      <w:r>
        <w:rPr>
          <w:color w:val="000000"/>
          <w:sz w:val="24"/>
          <w:szCs w:val="24"/>
        </w:rPr>
        <w:t xml:space="preserve">O presente estudo foi realizado na comunidade quilombola de Itacuruçá, situada no município de Abaetetuba-PA. Habitada por pessoas de diferentes faixas etárias, a comunidade mantém uma forte conexão com a mata e os rios locais. Essas conexões desempenham um papel significativo no estilo de vida dos moradores, influenciando suas práticas sociais, econômicas e culturais no dia a dia (Nascimento </w:t>
      </w:r>
      <w:r>
        <w:rPr>
          <w:i/>
          <w:iCs/>
          <w:color w:val="000000"/>
          <w:sz w:val="24"/>
          <w:szCs w:val="24"/>
        </w:rPr>
        <w:t>et al</w:t>
      </w:r>
      <w:r>
        <w:rPr>
          <w:color w:val="000000"/>
          <w:sz w:val="24"/>
          <w:szCs w:val="24"/>
        </w:rPr>
        <w:t>., 2023).</w:t>
      </w:r>
    </w:p>
    <w:p w14:paraId="1D365F42" w14:textId="77777777" w:rsidR="00F232B6" w:rsidRDefault="00F232B6">
      <w:pPr>
        <w:spacing w:line="360" w:lineRule="auto"/>
        <w:jc w:val="both"/>
        <w:rPr>
          <w:color w:val="000000"/>
          <w:sz w:val="24"/>
          <w:szCs w:val="24"/>
        </w:rPr>
      </w:pPr>
    </w:p>
    <w:p w14:paraId="49F1386C" w14:textId="77777777" w:rsidR="00F232B6" w:rsidRDefault="00000000">
      <w:pPr>
        <w:spacing w:line="360" w:lineRule="auto"/>
        <w:jc w:val="both"/>
        <w:rPr>
          <w:color w:val="000000"/>
          <w:sz w:val="24"/>
          <w:szCs w:val="24"/>
        </w:rPr>
      </w:pPr>
      <w:r>
        <w:rPr>
          <w:color w:val="000000"/>
          <w:sz w:val="24"/>
          <w:szCs w:val="24"/>
        </w:rPr>
        <w:t>2.2 POPULAÇÃO ALVO E ESCOLHA DOS ENTREVISTADOS</w:t>
      </w:r>
    </w:p>
    <w:p w14:paraId="460E7215" w14:textId="77777777" w:rsidR="00F232B6" w:rsidRDefault="00000000">
      <w:pPr>
        <w:spacing w:line="360" w:lineRule="auto"/>
        <w:ind w:firstLine="709"/>
        <w:jc w:val="both"/>
        <w:rPr>
          <w:sz w:val="24"/>
          <w:szCs w:val="24"/>
        </w:rPr>
      </w:pPr>
      <w:r>
        <w:rPr>
          <w:color w:val="000000"/>
          <w:sz w:val="24"/>
          <w:szCs w:val="24"/>
        </w:rPr>
        <w:t>A população alvo foi composta por moradores da comunidade quilombola de Itacuruçá. Os informantes foram selecionados através da técnica “bola de neve” (Vinuto, 2014) e, após concordarem em participar do estudo, seguiram para uma entrevista individual para evitar vieses.</w:t>
      </w:r>
    </w:p>
    <w:p w14:paraId="333B6A38" w14:textId="77777777" w:rsidR="00F232B6" w:rsidRDefault="00F232B6">
      <w:pPr>
        <w:spacing w:line="360" w:lineRule="auto"/>
        <w:ind w:firstLine="709"/>
        <w:jc w:val="both"/>
        <w:rPr>
          <w:sz w:val="24"/>
          <w:szCs w:val="24"/>
        </w:rPr>
      </w:pPr>
    </w:p>
    <w:p w14:paraId="0966B0FA" w14:textId="77777777" w:rsidR="00F232B6" w:rsidRDefault="00000000">
      <w:pPr>
        <w:spacing w:line="360" w:lineRule="auto"/>
        <w:jc w:val="both"/>
        <w:rPr>
          <w:color w:val="000000"/>
          <w:sz w:val="24"/>
          <w:szCs w:val="24"/>
        </w:rPr>
      </w:pPr>
      <w:r>
        <w:rPr>
          <w:color w:val="000000"/>
          <w:sz w:val="24"/>
          <w:szCs w:val="24"/>
        </w:rPr>
        <w:t>2.3 COLETA DE DADOS ETNOMEDICINAIS</w:t>
      </w:r>
    </w:p>
    <w:p w14:paraId="43A01700" w14:textId="77777777" w:rsidR="00F232B6" w:rsidRDefault="00000000">
      <w:pPr>
        <w:spacing w:line="360" w:lineRule="auto"/>
        <w:ind w:firstLine="709"/>
        <w:jc w:val="both"/>
        <w:rPr>
          <w:sz w:val="24"/>
          <w:szCs w:val="24"/>
        </w:rPr>
      </w:pPr>
      <w:r>
        <w:rPr>
          <w:color w:val="000000"/>
          <w:sz w:val="24"/>
          <w:szCs w:val="24"/>
        </w:rPr>
        <w:t xml:space="preserve">Os dados etnobotânicos foram coletados por meio de entrevistas semiestruturadas e abertas para preservar a espontaneidade das informações. Essas entrevistas seguiram uma lista de perguntas elaboradas para coletar dados sobre </w:t>
      </w:r>
      <w:r>
        <w:rPr>
          <w:i/>
          <w:iCs/>
          <w:color w:val="000000"/>
          <w:sz w:val="24"/>
          <w:szCs w:val="24"/>
        </w:rPr>
        <w:t xml:space="preserve">(i) </w:t>
      </w:r>
      <w:r>
        <w:rPr>
          <w:color w:val="000000"/>
          <w:sz w:val="24"/>
          <w:szCs w:val="24"/>
        </w:rPr>
        <w:t xml:space="preserve">nomes populares das plantas, </w:t>
      </w:r>
      <w:r>
        <w:rPr>
          <w:i/>
          <w:iCs/>
          <w:color w:val="000000"/>
          <w:sz w:val="24"/>
          <w:szCs w:val="24"/>
        </w:rPr>
        <w:t xml:space="preserve">(ii) </w:t>
      </w:r>
      <w:r>
        <w:rPr>
          <w:color w:val="000000"/>
          <w:sz w:val="24"/>
          <w:szCs w:val="24"/>
        </w:rPr>
        <w:t xml:space="preserve">doenças tratadas pelas plantas, </w:t>
      </w:r>
      <w:r>
        <w:rPr>
          <w:i/>
          <w:iCs/>
          <w:color w:val="000000"/>
          <w:sz w:val="24"/>
          <w:szCs w:val="24"/>
        </w:rPr>
        <w:t xml:space="preserve">(iii) </w:t>
      </w:r>
      <w:r>
        <w:rPr>
          <w:color w:val="000000"/>
          <w:sz w:val="24"/>
          <w:szCs w:val="24"/>
        </w:rPr>
        <w:t xml:space="preserve">parte(s) da planta utilizada(s) e </w:t>
      </w:r>
      <w:r>
        <w:rPr>
          <w:i/>
          <w:iCs/>
          <w:color w:val="000000"/>
          <w:sz w:val="24"/>
          <w:szCs w:val="24"/>
        </w:rPr>
        <w:t>(</w:t>
      </w:r>
      <w:proofErr w:type="spellStart"/>
      <w:r>
        <w:rPr>
          <w:i/>
          <w:iCs/>
          <w:color w:val="000000"/>
          <w:sz w:val="24"/>
          <w:szCs w:val="24"/>
        </w:rPr>
        <w:t>iv</w:t>
      </w:r>
      <w:proofErr w:type="spellEnd"/>
      <w:r>
        <w:rPr>
          <w:i/>
          <w:iCs/>
          <w:color w:val="000000"/>
          <w:sz w:val="24"/>
          <w:szCs w:val="24"/>
        </w:rPr>
        <w:t xml:space="preserve">) </w:t>
      </w:r>
      <w:r>
        <w:rPr>
          <w:color w:val="000000"/>
          <w:sz w:val="24"/>
          <w:szCs w:val="24"/>
        </w:rPr>
        <w:t xml:space="preserve">métodos de preparação. Todas as espécies mencionadas para fins terapêuticos e ritualísticos foram consideradas no estudo. Durante a caminhada de campo guiada, foram feitos registros fotográficos para documentar os locais de campo, as plantas e outras informações relevantes. Além disso, os moradores tomaram </w:t>
      </w:r>
      <w:proofErr w:type="spellStart"/>
      <w:r>
        <w:rPr>
          <w:color w:val="000000"/>
          <w:sz w:val="24"/>
          <w:szCs w:val="24"/>
        </w:rPr>
        <w:t>ciencia</w:t>
      </w:r>
      <w:proofErr w:type="spellEnd"/>
      <w:r>
        <w:rPr>
          <w:color w:val="000000"/>
          <w:sz w:val="24"/>
          <w:szCs w:val="24"/>
        </w:rPr>
        <w:t xml:space="preserve"> de que os objetivos da pesquisa são de natureza acadêmica, não comercial.</w:t>
      </w:r>
    </w:p>
    <w:p w14:paraId="6F9F2CF8" w14:textId="77777777" w:rsidR="00F232B6" w:rsidRDefault="00F232B6">
      <w:pPr>
        <w:spacing w:line="360" w:lineRule="auto"/>
        <w:jc w:val="both"/>
        <w:rPr>
          <w:color w:val="000000"/>
          <w:sz w:val="24"/>
          <w:szCs w:val="24"/>
        </w:rPr>
      </w:pPr>
    </w:p>
    <w:p w14:paraId="488D1B5B" w14:textId="77777777" w:rsidR="00F232B6" w:rsidRDefault="00000000">
      <w:pPr>
        <w:spacing w:line="360" w:lineRule="auto"/>
        <w:jc w:val="both"/>
        <w:rPr>
          <w:color w:val="000000"/>
          <w:sz w:val="24"/>
          <w:szCs w:val="24"/>
        </w:rPr>
      </w:pPr>
      <w:r>
        <w:rPr>
          <w:color w:val="000000"/>
          <w:sz w:val="24"/>
          <w:szCs w:val="24"/>
        </w:rPr>
        <w:t>2.4 COLETA E IDENTIFICAÇÃO BOTÂNICA</w:t>
      </w:r>
    </w:p>
    <w:p w14:paraId="685F563C" w14:textId="77777777" w:rsidR="00F232B6" w:rsidRDefault="00000000">
      <w:pPr>
        <w:spacing w:line="360" w:lineRule="auto"/>
        <w:ind w:firstLine="709"/>
        <w:jc w:val="both"/>
        <w:rPr>
          <w:color w:val="000000"/>
          <w:sz w:val="24"/>
          <w:szCs w:val="24"/>
        </w:rPr>
      </w:pPr>
      <w:r>
        <w:rPr>
          <w:color w:val="000000"/>
          <w:sz w:val="24"/>
          <w:szCs w:val="24"/>
        </w:rPr>
        <w:lastRenderedPageBreak/>
        <w:t>Para registrar o nome das plantas medicinais, o entrevistado foi solicitado a repetir o nome popular da planta utilizada, o qual foi transcrito conforme sua pronúncia fonética. Em seguida, o nome foi pronunciado em voz alta e clara para que o entrevistado pudesse confirmar ou corrigir possíveis equívocos. Posteriormente, foi solicitada a assinatura de um termo de consentimento onde o morador participante afirmava estar de acordo com a coleta de uma parte das plantas apresentadas. Diante disso, o morador foi convidado a guiar os pesquisadores até o local de obtenção.</w:t>
      </w:r>
    </w:p>
    <w:p w14:paraId="2C7C3662" w14:textId="77777777" w:rsidR="00F232B6" w:rsidRDefault="00000000">
      <w:pPr>
        <w:spacing w:line="360" w:lineRule="auto"/>
        <w:ind w:firstLine="709"/>
        <w:jc w:val="both"/>
        <w:rPr>
          <w:sz w:val="24"/>
          <w:szCs w:val="24"/>
        </w:rPr>
      </w:pPr>
      <w:r>
        <w:rPr>
          <w:color w:val="000000"/>
          <w:sz w:val="24"/>
          <w:szCs w:val="24"/>
        </w:rPr>
        <w:t>As plantas medicinais mencionadas foram coletadas e prensadas em jornal e papelão, onde cada amostra foi identificada com um número de coleta, o nome do coletor, nome popular, e localização geográfica da planta. Em seguida, as amostras foram pulverizadas com etanol 70% (v/v) para evitar a proliferação de micro-organismos e o comprometimento das espécies coletadas. As amostras obtidas seguiram para o Herbário “Profa. Dra. Marlene Freitas da Silva” da Universidade do Estado do Pará, onde foi feita a identificação botânica e registro como exsicata na coleção biocultural.</w:t>
      </w:r>
    </w:p>
    <w:p w14:paraId="343F075F" w14:textId="77777777" w:rsidR="00F232B6" w:rsidRDefault="00F232B6">
      <w:pPr>
        <w:spacing w:line="360" w:lineRule="auto"/>
        <w:ind w:firstLine="709"/>
        <w:jc w:val="both"/>
        <w:rPr>
          <w:sz w:val="24"/>
          <w:szCs w:val="24"/>
        </w:rPr>
      </w:pPr>
    </w:p>
    <w:p w14:paraId="710AA312" w14:textId="77777777" w:rsidR="00F232B6" w:rsidRDefault="00000000">
      <w:pPr>
        <w:spacing w:line="360" w:lineRule="auto"/>
        <w:jc w:val="both"/>
        <w:rPr>
          <w:color w:val="000000"/>
          <w:sz w:val="24"/>
          <w:szCs w:val="24"/>
        </w:rPr>
      </w:pPr>
      <w:r>
        <w:rPr>
          <w:color w:val="000000"/>
          <w:sz w:val="24"/>
          <w:szCs w:val="24"/>
        </w:rPr>
        <w:t>2.5 ANÁLISE DOS DADOS COLETADOS</w:t>
      </w:r>
    </w:p>
    <w:p w14:paraId="401EE865" w14:textId="73F7563A" w:rsidR="00F232B6" w:rsidRDefault="00000000">
      <w:pPr>
        <w:spacing w:line="360" w:lineRule="auto"/>
        <w:ind w:firstLine="709"/>
        <w:jc w:val="both"/>
        <w:rPr>
          <w:color w:val="000000"/>
          <w:sz w:val="24"/>
          <w:szCs w:val="24"/>
        </w:rPr>
      </w:pPr>
      <w:r>
        <w:rPr>
          <w:color w:val="000000"/>
          <w:sz w:val="24"/>
          <w:szCs w:val="24"/>
        </w:rPr>
        <w:t xml:space="preserve">Para as plantas cuja espécie foi identificada e registrada como exsicata, foi realizada uma revisão de literatura para verificar a existência de estudos sobre suas atividades biológicas e perfil fitoquímico. O objetivo foi estabelecer uma correlação entre seus constituintes químicos e as atividades biológicas </w:t>
      </w:r>
      <w:r w:rsidR="00FF12C0">
        <w:rPr>
          <w:color w:val="000000"/>
          <w:sz w:val="24"/>
          <w:szCs w:val="24"/>
        </w:rPr>
        <w:t>descritas pelos moradores</w:t>
      </w:r>
      <w:r>
        <w:rPr>
          <w:color w:val="000000"/>
          <w:sz w:val="24"/>
          <w:szCs w:val="24"/>
        </w:rPr>
        <w:t>. Para isso, foram consultados os principais bancos de dados (Periódicos Capes, SciELO, Science Direct, PubMed e Google Scholar). As esp</w:t>
      </w:r>
      <w:r w:rsidR="00FF12C0">
        <w:rPr>
          <w:color w:val="000000"/>
          <w:sz w:val="24"/>
          <w:szCs w:val="24"/>
        </w:rPr>
        <w:t>é</w:t>
      </w:r>
      <w:r>
        <w:rPr>
          <w:color w:val="000000"/>
          <w:sz w:val="24"/>
          <w:szCs w:val="24"/>
        </w:rPr>
        <w:t>cies que possu</w:t>
      </w:r>
      <w:r w:rsidR="00FF12C0">
        <w:rPr>
          <w:color w:val="000000"/>
          <w:sz w:val="24"/>
          <w:szCs w:val="24"/>
        </w:rPr>
        <w:t>í</w:t>
      </w:r>
      <w:r>
        <w:rPr>
          <w:color w:val="000000"/>
          <w:sz w:val="24"/>
          <w:szCs w:val="24"/>
        </w:rPr>
        <w:t xml:space="preserve">am estudos parciais foram consideradas para futuras pesquisas na área. </w:t>
      </w:r>
    </w:p>
    <w:p w14:paraId="7CC63218" w14:textId="77777777" w:rsidR="00F232B6" w:rsidRDefault="00F232B6">
      <w:pPr>
        <w:pBdr>
          <w:bottom w:val="none" w:sz="0" w:space="8" w:color="000000"/>
        </w:pBdr>
        <w:shd w:val="clear" w:color="auto" w:fill="FFFFFF"/>
        <w:tabs>
          <w:tab w:val="left" w:pos="2500"/>
        </w:tabs>
        <w:spacing w:line="310" w:lineRule="auto"/>
        <w:jc w:val="both"/>
        <w:rPr>
          <w:b/>
          <w:bCs/>
          <w:sz w:val="24"/>
          <w:szCs w:val="24"/>
        </w:rPr>
      </w:pPr>
    </w:p>
    <w:p w14:paraId="5A7CC6E4" w14:textId="77777777" w:rsidR="00F232B6" w:rsidRDefault="00000000">
      <w:pPr>
        <w:pBdr>
          <w:bottom w:val="none" w:sz="0" w:space="8" w:color="000000"/>
        </w:pBdr>
        <w:shd w:val="clear" w:color="auto" w:fill="FFFFFF"/>
        <w:tabs>
          <w:tab w:val="left" w:pos="2500"/>
        </w:tabs>
        <w:spacing w:line="310" w:lineRule="auto"/>
        <w:jc w:val="both"/>
        <w:rPr>
          <w:sz w:val="24"/>
          <w:szCs w:val="24"/>
        </w:rPr>
      </w:pPr>
      <w:r>
        <w:rPr>
          <w:b/>
          <w:bCs/>
          <w:sz w:val="24"/>
          <w:szCs w:val="24"/>
        </w:rPr>
        <w:t>3. RESULTADOS E DISCUSSÃO</w:t>
      </w:r>
      <w:r>
        <w:rPr>
          <w:b/>
          <w:bCs/>
          <w:sz w:val="28"/>
          <w:szCs w:val="28"/>
        </w:rPr>
        <w:t xml:space="preserve"> </w:t>
      </w:r>
    </w:p>
    <w:p w14:paraId="7FE7028C" w14:textId="77777777" w:rsidR="00F232B6" w:rsidRDefault="00000000">
      <w:pPr>
        <w:widowControl/>
        <w:pBdr>
          <w:top w:val="nil"/>
          <w:left w:val="nil"/>
          <w:bottom w:val="nil"/>
          <w:right w:val="nil"/>
          <w:between w:val="nil"/>
        </w:pBdr>
        <w:spacing w:line="360" w:lineRule="auto"/>
        <w:ind w:firstLine="709"/>
        <w:jc w:val="both"/>
        <w:rPr>
          <w:color w:val="000000"/>
          <w:sz w:val="24"/>
          <w:szCs w:val="24"/>
        </w:rPr>
      </w:pPr>
      <w:r>
        <w:rPr>
          <w:color w:val="000000"/>
          <w:sz w:val="24"/>
          <w:szCs w:val="24"/>
        </w:rPr>
        <w:t xml:space="preserve">Após a execução dos procedimentos metodológicos descritos anteriormente, seis espécies coletadas foram devidamente identificadas e catalogadas no Herbário “Profa. Dra. Marlene Freitas da Silva”. Esses exemplares foram incorporados ao acervo biocultural da instituição, recebendo número de tombamento que possibilita sua consulta por outros pesquisadores e interessados na área. As informações cadastradas para a incorporação das amostras no acervo podem ser analisadas no Quadro 1. Na Figura 1 é possível observar as </w:t>
      </w:r>
      <w:r>
        <w:rPr>
          <w:color w:val="000000"/>
          <w:sz w:val="24"/>
          <w:szCs w:val="24"/>
        </w:rPr>
        <w:lastRenderedPageBreak/>
        <w:t xml:space="preserve">imagens das espécies no seu ambiente </w:t>
      </w:r>
      <w:r>
        <w:rPr>
          <w:i/>
          <w:iCs/>
          <w:color w:val="000000"/>
          <w:sz w:val="24"/>
          <w:szCs w:val="24"/>
        </w:rPr>
        <w:t>In natura</w:t>
      </w:r>
      <w:r>
        <w:rPr>
          <w:color w:val="000000"/>
          <w:sz w:val="24"/>
          <w:szCs w:val="24"/>
        </w:rPr>
        <w:t>, durante o momento de coleta, direcionada pelos moradores da comunidade de Itacuruça.</w:t>
      </w:r>
    </w:p>
    <w:p w14:paraId="5C59C060" w14:textId="77777777" w:rsidR="00F232B6" w:rsidRDefault="00F232B6">
      <w:pPr>
        <w:widowControl/>
        <w:pBdr>
          <w:top w:val="nil"/>
          <w:left w:val="nil"/>
          <w:bottom w:val="nil"/>
          <w:right w:val="nil"/>
          <w:between w:val="nil"/>
        </w:pBdr>
        <w:spacing w:line="360" w:lineRule="auto"/>
        <w:ind w:firstLine="709"/>
        <w:jc w:val="both"/>
        <w:rPr>
          <w:color w:val="000000"/>
          <w:sz w:val="24"/>
          <w:szCs w:val="24"/>
        </w:rPr>
      </w:pPr>
    </w:p>
    <w:p w14:paraId="7A36051A" w14:textId="77777777" w:rsidR="00F232B6" w:rsidRDefault="00000000">
      <w:pPr>
        <w:widowControl/>
        <w:pBdr>
          <w:top w:val="nil"/>
          <w:left w:val="nil"/>
          <w:bottom w:val="nil"/>
          <w:right w:val="nil"/>
          <w:between w:val="nil"/>
        </w:pBdr>
        <w:spacing w:line="360" w:lineRule="auto"/>
        <w:jc w:val="both"/>
        <w:rPr>
          <w:color w:val="000000"/>
        </w:rPr>
      </w:pPr>
      <w:r>
        <w:rPr>
          <w:b/>
          <w:bCs/>
          <w:color w:val="000000"/>
        </w:rPr>
        <w:t xml:space="preserve">Quadro 1 - </w:t>
      </w:r>
      <w:r>
        <w:rPr>
          <w:color w:val="000000"/>
        </w:rPr>
        <w:t>Dados de incorporação das amostras registradas no Herbário</w:t>
      </w:r>
    </w:p>
    <w:tbl>
      <w:tblPr>
        <w:tblStyle w:val="a"/>
        <w:tblW w:w="90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3260"/>
        <w:gridCol w:w="3116"/>
      </w:tblGrid>
      <w:tr w:rsidR="00F232B6" w14:paraId="7C604E35" w14:textId="77777777">
        <w:trPr>
          <w:trHeight w:val="425"/>
        </w:trPr>
        <w:tc>
          <w:tcPr>
            <w:tcW w:w="2689" w:type="dxa"/>
            <w:vAlign w:val="center"/>
          </w:tcPr>
          <w:p w14:paraId="056EBBAC" w14:textId="77777777" w:rsidR="00F232B6" w:rsidRDefault="00000000">
            <w:pPr>
              <w:widowControl/>
              <w:pBdr>
                <w:top w:val="nil"/>
                <w:left w:val="nil"/>
                <w:bottom w:val="nil"/>
                <w:right w:val="nil"/>
                <w:between w:val="nil"/>
              </w:pBdr>
              <w:spacing w:line="360" w:lineRule="auto"/>
              <w:jc w:val="center"/>
              <w:rPr>
                <w:b/>
                <w:bCs/>
                <w:color w:val="000000"/>
              </w:rPr>
            </w:pPr>
            <w:r>
              <w:rPr>
                <w:b/>
                <w:bCs/>
                <w:color w:val="000000"/>
              </w:rPr>
              <w:t>Nome Científico</w:t>
            </w:r>
          </w:p>
        </w:tc>
        <w:tc>
          <w:tcPr>
            <w:tcW w:w="3260" w:type="dxa"/>
            <w:vAlign w:val="center"/>
          </w:tcPr>
          <w:p w14:paraId="04226777" w14:textId="77777777" w:rsidR="00F232B6" w:rsidRDefault="00000000">
            <w:pPr>
              <w:widowControl/>
              <w:pBdr>
                <w:top w:val="nil"/>
                <w:left w:val="nil"/>
                <w:bottom w:val="nil"/>
                <w:right w:val="nil"/>
                <w:between w:val="nil"/>
              </w:pBdr>
              <w:spacing w:line="360" w:lineRule="auto"/>
              <w:jc w:val="center"/>
              <w:rPr>
                <w:b/>
                <w:bCs/>
                <w:color w:val="000000"/>
              </w:rPr>
            </w:pPr>
            <w:r>
              <w:rPr>
                <w:b/>
                <w:bCs/>
                <w:color w:val="000000"/>
              </w:rPr>
              <w:t>Coordenadas geográficas</w:t>
            </w:r>
          </w:p>
        </w:tc>
        <w:tc>
          <w:tcPr>
            <w:tcW w:w="3116" w:type="dxa"/>
            <w:vAlign w:val="center"/>
          </w:tcPr>
          <w:p w14:paraId="36E7F9A0" w14:textId="77777777" w:rsidR="00F232B6" w:rsidRDefault="00000000">
            <w:pPr>
              <w:widowControl/>
              <w:pBdr>
                <w:top w:val="nil"/>
                <w:left w:val="nil"/>
                <w:bottom w:val="nil"/>
                <w:right w:val="nil"/>
                <w:between w:val="nil"/>
              </w:pBdr>
              <w:spacing w:line="360" w:lineRule="auto"/>
              <w:jc w:val="center"/>
              <w:rPr>
                <w:b/>
                <w:bCs/>
                <w:color w:val="000000"/>
              </w:rPr>
            </w:pPr>
            <w:r>
              <w:rPr>
                <w:b/>
                <w:bCs/>
                <w:color w:val="000000"/>
              </w:rPr>
              <w:t>Número de Tombamento MFS</w:t>
            </w:r>
          </w:p>
        </w:tc>
      </w:tr>
      <w:tr w:rsidR="00F232B6" w14:paraId="7AA62554" w14:textId="77777777">
        <w:tc>
          <w:tcPr>
            <w:tcW w:w="2689" w:type="dxa"/>
            <w:vAlign w:val="center"/>
          </w:tcPr>
          <w:p w14:paraId="15A5345A" w14:textId="77777777" w:rsidR="00F232B6" w:rsidRDefault="00000000">
            <w:pPr>
              <w:widowControl/>
              <w:pBdr>
                <w:top w:val="nil"/>
                <w:left w:val="nil"/>
                <w:bottom w:val="nil"/>
                <w:right w:val="nil"/>
                <w:between w:val="nil"/>
              </w:pBdr>
              <w:spacing w:line="360" w:lineRule="auto"/>
              <w:jc w:val="center"/>
              <w:rPr>
                <w:i/>
                <w:iCs/>
                <w:color w:val="000000"/>
              </w:rPr>
            </w:pPr>
            <w:r>
              <w:rPr>
                <w:i/>
                <w:iCs/>
                <w:color w:val="000000"/>
              </w:rPr>
              <w:t>Alpinia zerumbet</w:t>
            </w:r>
          </w:p>
        </w:tc>
        <w:tc>
          <w:tcPr>
            <w:tcW w:w="3260" w:type="dxa"/>
            <w:vAlign w:val="center"/>
          </w:tcPr>
          <w:p w14:paraId="7DD62627" w14:textId="77777777" w:rsidR="00F232B6" w:rsidRDefault="00000000">
            <w:pPr>
              <w:widowControl/>
              <w:pBdr>
                <w:top w:val="nil"/>
                <w:left w:val="nil"/>
                <w:bottom w:val="nil"/>
                <w:right w:val="nil"/>
                <w:between w:val="nil"/>
              </w:pBdr>
              <w:spacing w:line="360" w:lineRule="auto"/>
              <w:jc w:val="both"/>
              <w:rPr>
                <w:color w:val="000000"/>
              </w:rPr>
            </w:pPr>
            <w:r>
              <w:rPr>
                <w:color w:val="000000"/>
              </w:rPr>
              <w:t>lon: 48</w:t>
            </w:r>
            <w:r>
              <w:rPr>
                <w:color w:val="000000"/>
                <w:vertAlign w:val="superscript"/>
              </w:rPr>
              <w:t>o</w:t>
            </w:r>
            <w:r>
              <w:rPr>
                <w:color w:val="000000"/>
              </w:rPr>
              <w:t xml:space="preserve"> 56’ 17” / lat: 1</w:t>
            </w:r>
            <w:r>
              <w:rPr>
                <w:color w:val="000000"/>
                <w:vertAlign w:val="superscript"/>
              </w:rPr>
              <w:t>o</w:t>
            </w:r>
            <w:r>
              <w:rPr>
                <w:color w:val="000000"/>
              </w:rPr>
              <w:t xml:space="preserve"> 50’ 47”</w:t>
            </w:r>
          </w:p>
        </w:tc>
        <w:tc>
          <w:tcPr>
            <w:tcW w:w="3116" w:type="dxa"/>
            <w:vAlign w:val="center"/>
          </w:tcPr>
          <w:p w14:paraId="1B828E9F" w14:textId="77777777" w:rsidR="00F232B6" w:rsidRDefault="00000000">
            <w:pPr>
              <w:widowControl/>
              <w:pBdr>
                <w:top w:val="nil"/>
                <w:left w:val="nil"/>
                <w:bottom w:val="nil"/>
                <w:right w:val="nil"/>
                <w:between w:val="nil"/>
              </w:pBdr>
              <w:spacing w:line="360" w:lineRule="auto"/>
              <w:jc w:val="center"/>
              <w:rPr>
                <w:color w:val="000000"/>
              </w:rPr>
            </w:pPr>
            <w:r>
              <w:rPr>
                <w:color w:val="000000"/>
              </w:rPr>
              <w:t>MFS011488</w:t>
            </w:r>
          </w:p>
        </w:tc>
      </w:tr>
      <w:tr w:rsidR="00F232B6" w14:paraId="3E3D6822" w14:textId="77777777">
        <w:tc>
          <w:tcPr>
            <w:tcW w:w="2689" w:type="dxa"/>
            <w:vAlign w:val="center"/>
          </w:tcPr>
          <w:p w14:paraId="52F2F0DD" w14:textId="77777777" w:rsidR="00F232B6" w:rsidRDefault="00000000">
            <w:pPr>
              <w:widowControl/>
              <w:pBdr>
                <w:top w:val="nil"/>
                <w:left w:val="nil"/>
                <w:bottom w:val="nil"/>
                <w:right w:val="nil"/>
                <w:between w:val="nil"/>
              </w:pBdr>
              <w:spacing w:line="360" w:lineRule="auto"/>
              <w:jc w:val="center"/>
              <w:rPr>
                <w:i/>
                <w:iCs/>
                <w:color w:val="000000"/>
              </w:rPr>
            </w:pPr>
            <w:r>
              <w:rPr>
                <w:i/>
                <w:iCs/>
                <w:color w:val="000000"/>
              </w:rPr>
              <w:t>Lippia alba</w:t>
            </w:r>
          </w:p>
        </w:tc>
        <w:tc>
          <w:tcPr>
            <w:tcW w:w="3260" w:type="dxa"/>
            <w:vAlign w:val="center"/>
          </w:tcPr>
          <w:p w14:paraId="4D0F371C" w14:textId="77777777" w:rsidR="00F232B6" w:rsidRDefault="00000000">
            <w:pPr>
              <w:widowControl/>
              <w:pBdr>
                <w:top w:val="nil"/>
                <w:left w:val="nil"/>
                <w:bottom w:val="nil"/>
                <w:right w:val="nil"/>
                <w:between w:val="nil"/>
              </w:pBdr>
              <w:spacing w:line="360" w:lineRule="auto"/>
              <w:jc w:val="both"/>
              <w:rPr>
                <w:color w:val="000000"/>
              </w:rPr>
            </w:pPr>
            <w:r>
              <w:rPr>
                <w:color w:val="000000"/>
              </w:rPr>
              <w:t>lon: 48</w:t>
            </w:r>
            <w:r>
              <w:rPr>
                <w:color w:val="000000"/>
                <w:vertAlign w:val="superscript"/>
              </w:rPr>
              <w:t>o</w:t>
            </w:r>
            <w:r>
              <w:rPr>
                <w:color w:val="000000"/>
              </w:rPr>
              <w:t xml:space="preserve"> 55’ 59” / lat: 1</w:t>
            </w:r>
            <w:r>
              <w:rPr>
                <w:color w:val="000000"/>
                <w:vertAlign w:val="superscript"/>
              </w:rPr>
              <w:t>o</w:t>
            </w:r>
            <w:r>
              <w:rPr>
                <w:color w:val="000000"/>
              </w:rPr>
              <w:t xml:space="preserve"> 50’ 51”</w:t>
            </w:r>
          </w:p>
        </w:tc>
        <w:tc>
          <w:tcPr>
            <w:tcW w:w="3116" w:type="dxa"/>
            <w:vAlign w:val="center"/>
          </w:tcPr>
          <w:p w14:paraId="5BC20B6E" w14:textId="77777777" w:rsidR="00F232B6" w:rsidRDefault="00000000">
            <w:pPr>
              <w:widowControl/>
              <w:pBdr>
                <w:top w:val="nil"/>
                <w:left w:val="nil"/>
                <w:bottom w:val="nil"/>
                <w:right w:val="nil"/>
                <w:between w:val="nil"/>
              </w:pBdr>
              <w:spacing w:line="360" w:lineRule="auto"/>
              <w:jc w:val="center"/>
              <w:rPr>
                <w:color w:val="000000"/>
              </w:rPr>
            </w:pPr>
            <w:r>
              <w:rPr>
                <w:color w:val="000000"/>
              </w:rPr>
              <w:t>MFS011484</w:t>
            </w:r>
          </w:p>
        </w:tc>
      </w:tr>
      <w:tr w:rsidR="00F232B6" w14:paraId="03BE1244" w14:textId="77777777">
        <w:tc>
          <w:tcPr>
            <w:tcW w:w="2689" w:type="dxa"/>
            <w:vAlign w:val="center"/>
          </w:tcPr>
          <w:p w14:paraId="54D0ACC7" w14:textId="77777777" w:rsidR="00F232B6" w:rsidRDefault="00000000">
            <w:pPr>
              <w:widowControl/>
              <w:pBdr>
                <w:top w:val="nil"/>
                <w:left w:val="nil"/>
                <w:bottom w:val="nil"/>
                <w:right w:val="nil"/>
                <w:between w:val="nil"/>
              </w:pBdr>
              <w:spacing w:line="360" w:lineRule="auto"/>
              <w:jc w:val="center"/>
              <w:rPr>
                <w:i/>
                <w:iCs/>
                <w:color w:val="000000"/>
              </w:rPr>
            </w:pPr>
            <w:r>
              <w:rPr>
                <w:i/>
                <w:iCs/>
                <w:color w:val="000000"/>
              </w:rPr>
              <w:t>Costus spicatus</w:t>
            </w:r>
          </w:p>
        </w:tc>
        <w:tc>
          <w:tcPr>
            <w:tcW w:w="3260" w:type="dxa"/>
            <w:vAlign w:val="center"/>
          </w:tcPr>
          <w:p w14:paraId="6481329F" w14:textId="77777777" w:rsidR="00F232B6" w:rsidRDefault="00000000">
            <w:pPr>
              <w:widowControl/>
              <w:pBdr>
                <w:top w:val="nil"/>
                <w:left w:val="nil"/>
                <w:bottom w:val="nil"/>
                <w:right w:val="nil"/>
                <w:between w:val="nil"/>
              </w:pBdr>
              <w:spacing w:line="360" w:lineRule="auto"/>
              <w:jc w:val="both"/>
              <w:rPr>
                <w:color w:val="000000"/>
              </w:rPr>
            </w:pPr>
            <w:r>
              <w:rPr>
                <w:color w:val="000000"/>
              </w:rPr>
              <w:t>lon: 48</w:t>
            </w:r>
            <w:r>
              <w:rPr>
                <w:color w:val="000000"/>
                <w:vertAlign w:val="superscript"/>
              </w:rPr>
              <w:t>o</w:t>
            </w:r>
            <w:r>
              <w:rPr>
                <w:color w:val="000000"/>
              </w:rPr>
              <w:t xml:space="preserve"> 56’ 7” / lat: 1</w:t>
            </w:r>
            <w:r>
              <w:rPr>
                <w:color w:val="000000"/>
                <w:vertAlign w:val="superscript"/>
              </w:rPr>
              <w:t>o</w:t>
            </w:r>
            <w:r>
              <w:rPr>
                <w:color w:val="000000"/>
              </w:rPr>
              <w:t xml:space="preserve"> 50’ 50”</w:t>
            </w:r>
          </w:p>
        </w:tc>
        <w:tc>
          <w:tcPr>
            <w:tcW w:w="3116" w:type="dxa"/>
            <w:vAlign w:val="center"/>
          </w:tcPr>
          <w:p w14:paraId="4B7FDFEB" w14:textId="77777777" w:rsidR="00F232B6" w:rsidRDefault="00000000">
            <w:pPr>
              <w:widowControl/>
              <w:pBdr>
                <w:top w:val="nil"/>
                <w:left w:val="nil"/>
                <w:bottom w:val="nil"/>
                <w:right w:val="nil"/>
                <w:between w:val="nil"/>
              </w:pBdr>
              <w:spacing w:line="360" w:lineRule="auto"/>
              <w:jc w:val="center"/>
              <w:rPr>
                <w:color w:val="000000"/>
              </w:rPr>
            </w:pPr>
            <w:r>
              <w:rPr>
                <w:color w:val="000000"/>
              </w:rPr>
              <w:t>MFS011487</w:t>
            </w:r>
          </w:p>
        </w:tc>
      </w:tr>
      <w:tr w:rsidR="00F232B6" w14:paraId="2E0EA931" w14:textId="77777777">
        <w:tc>
          <w:tcPr>
            <w:tcW w:w="2689" w:type="dxa"/>
            <w:vAlign w:val="center"/>
          </w:tcPr>
          <w:p w14:paraId="2DCF70A7" w14:textId="77777777" w:rsidR="00F232B6" w:rsidRDefault="00000000">
            <w:pPr>
              <w:widowControl/>
              <w:pBdr>
                <w:top w:val="nil"/>
                <w:left w:val="nil"/>
                <w:bottom w:val="nil"/>
                <w:right w:val="nil"/>
                <w:between w:val="nil"/>
              </w:pBdr>
              <w:spacing w:line="360" w:lineRule="auto"/>
              <w:jc w:val="center"/>
              <w:rPr>
                <w:i/>
                <w:iCs/>
                <w:color w:val="000000"/>
              </w:rPr>
            </w:pPr>
            <w:r>
              <w:rPr>
                <w:i/>
                <w:iCs/>
                <w:color w:val="000000"/>
              </w:rPr>
              <w:t>Justicia secunda</w:t>
            </w:r>
          </w:p>
        </w:tc>
        <w:tc>
          <w:tcPr>
            <w:tcW w:w="3260" w:type="dxa"/>
            <w:vAlign w:val="center"/>
          </w:tcPr>
          <w:p w14:paraId="0A21881E" w14:textId="77777777" w:rsidR="00F232B6" w:rsidRDefault="00000000">
            <w:pPr>
              <w:widowControl/>
              <w:pBdr>
                <w:top w:val="nil"/>
                <w:left w:val="nil"/>
                <w:bottom w:val="nil"/>
                <w:right w:val="nil"/>
                <w:between w:val="nil"/>
              </w:pBdr>
              <w:spacing w:line="360" w:lineRule="auto"/>
              <w:jc w:val="both"/>
              <w:rPr>
                <w:color w:val="000000"/>
              </w:rPr>
            </w:pPr>
            <w:r>
              <w:rPr>
                <w:color w:val="000000"/>
              </w:rPr>
              <w:t>lon: 48</w:t>
            </w:r>
            <w:r>
              <w:rPr>
                <w:color w:val="000000"/>
                <w:vertAlign w:val="superscript"/>
              </w:rPr>
              <w:t>o</w:t>
            </w:r>
            <w:r>
              <w:rPr>
                <w:color w:val="000000"/>
              </w:rPr>
              <w:t xml:space="preserve"> 56’ 25” / lat: 1</w:t>
            </w:r>
            <w:r>
              <w:rPr>
                <w:color w:val="000000"/>
                <w:vertAlign w:val="superscript"/>
              </w:rPr>
              <w:t>o</w:t>
            </w:r>
            <w:r>
              <w:rPr>
                <w:color w:val="000000"/>
              </w:rPr>
              <w:t xml:space="preserve"> 50’ 43”</w:t>
            </w:r>
          </w:p>
        </w:tc>
        <w:tc>
          <w:tcPr>
            <w:tcW w:w="3116" w:type="dxa"/>
            <w:vAlign w:val="center"/>
          </w:tcPr>
          <w:p w14:paraId="436FAB62" w14:textId="77777777" w:rsidR="00F232B6" w:rsidRDefault="00000000">
            <w:pPr>
              <w:widowControl/>
              <w:pBdr>
                <w:top w:val="nil"/>
                <w:left w:val="nil"/>
                <w:bottom w:val="nil"/>
                <w:right w:val="nil"/>
                <w:between w:val="nil"/>
              </w:pBdr>
              <w:spacing w:line="360" w:lineRule="auto"/>
              <w:jc w:val="center"/>
              <w:rPr>
                <w:color w:val="000000"/>
              </w:rPr>
            </w:pPr>
            <w:r>
              <w:rPr>
                <w:color w:val="000000"/>
              </w:rPr>
              <w:t>MFS011489</w:t>
            </w:r>
          </w:p>
        </w:tc>
      </w:tr>
      <w:tr w:rsidR="00F232B6" w14:paraId="40F9B3A5" w14:textId="77777777">
        <w:tc>
          <w:tcPr>
            <w:tcW w:w="2689" w:type="dxa"/>
            <w:vAlign w:val="center"/>
          </w:tcPr>
          <w:p w14:paraId="037D876F" w14:textId="77777777" w:rsidR="00F232B6" w:rsidRDefault="00000000">
            <w:pPr>
              <w:widowControl/>
              <w:pBdr>
                <w:top w:val="nil"/>
                <w:left w:val="nil"/>
                <w:bottom w:val="nil"/>
                <w:right w:val="nil"/>
                <w:between w:val="nil"/>
              </w:pBdr>
              <w:spacing w:line="360" w:lineRule="auto"/>
              <w:jc w:val="center"/>
              <w:rPr>
                <w:i/>
                <w:iCs/>
                <w:color w:val="000000"/>
              </w:rPr>
            </w:pPr>
            <w:r>
              <w:rPr>
                <w:i/>
                <w:iCs/>
                <w:color w:val="000000"/>
              </w:rPr>
              <w:t>Fridericia chica</w:t>
            </w:r>
          </w:p>
        </w:tc>
        <w:tc>
          <w:tcPr>
            <w:tcW w:w="3260" w:type="dxa"/>
            <w:vAlign w:val="center"/>
          </w:tcPr>
          <w:p w14:paraId="01C15D82" w14:textId="77777777" w:rsidR="00F232B6" w:rsidRDefault="00000000">
            <w:pPr>
              <w:widowControl/>
              <w:pBdr>
                <w:top w:val="nil"/>
                <w:left w:val="nil"/>
                <w:bottom w:val="nil"/>
                <w:right w:val="nil"/>
                <w:between w:val="nil"/>
              </w:pBdr>
              <w:spacing w:line="360" w:lineRule="auto"/>
              <w:jc w:val="both"/>
              <w:rPr>
                <w:color w:val="000000"/>
              </w:rPr>
            </w:pPr>
            <w:r>
              <w:rPr>
                <w:color w:val="000000"/>
              </w:rPr>
              <w:t>lon: 48</w:t>
            </w:r>
            <w:r>
              <w:rPr>
                <w:color w:val="000000"/>
                <w:vertAlign w:val="superscript"/>
              </w:rPr>
              <w:t>o</w:t>
            </w:r>
            <w:r>
              <w:rPr>
                <w:color w:val="000000"/>
              </w:rPr>
              <w:t xml:space="preserve"> 56’ 26” / lat: 1</w:t>
            </w:r>
            <w:r>
              <w:rPr>
                <w:color w:val="000000"/>
                <w:vertAlign w:val="superscript"/>
              </w:rPr>
              <w:t>o</w:t>
            </w:r>
            <w:r>
              <w:rPr>
                <w:color w:val="000000"/>
              </w:rPr>
              <w:t xml:space="preserve"> 50’ 42”</w:t>
            </w:r>
          </w:p>
        </w:tc>
        <w:tc>
          <w:tcPr>
            <w:tcW w:w="3116" w:type="dxa"/>
            <w:vAlign w:val="center"/>
          </w:tcPr>
          <w:p w14:paraId="722CEFD5" w14:textId="77777777" w:rsidR="00F232B6" w:rsidRDefault="00000000">
            <w:pPr>
              <w:widowControl/>
              <w:pBdr>
                <w:top w:val="nil"/>
                <w:left w:val="nil"/>
                <w:bottom w:val="nil"/>
                <w:right w:val="nil"/>
                <w:between w:val="nil"/>
              </w:pBdr>
              <w:spacing w:line="360" w:lineRule="auto"/>
              <w:jc w:val="center"/>
              <w:rPr>
                <w:color w:val="000000"/>
              </w:rPr>
            </w:pPr>
            <w:r>
              <w:rPr>
                <w:color w:val="000000"/>
              </w:rPr>
              <w:t>MFS011490</w:t>
            </w:r>
          </w:p>
        </w:tc>
      </w:tr>
      <w:tr w:rsidR="00F232B6" w14:paraId="69D033CA" w14:textId="77777777">
        <w:tc>
          <w:tcPr>
            <w:tcW w:w="2689" w:type="dxa"/>
            <w:vAlign w:val="center"/>
          </w:tcPr>
          <w:p w14:paraId="466D95AF" w14:textId="77777777" w:rsidR="00F232B6" w:rsidRDefault="00000000">
            <w:pPr>
              <w:widowControl/>
              <w:pBdr>
                <w:top w:val="nil"/>
                <w:left w:val="nil"/>
                <w:bottom w:val="nil"/>
                <w:right w:val="nil"/>
                <w:between w:val="nil"/>
              </w:pBdr>
              <w:spacing w:line="360" w:lineRule="auto"/>
              <w:jc w:val="center"/>
              <w:rPr>
                <w:i/>
                <w:iCs/>
                <w:color w:val="000000"/>
              </w:rPr>
            </w:pPr>
            <w:r>
              <w:rPr>
                <w:i/>
                <w:iCs/>
                <w:color w:val="000000"/>
              </w:rPr>
              <w:t>Pogostemon heyneanus</w:t>
            </w:r>
          </w:p>
        </w:tc>
        <w:tc>
          <w:tcPr>
            <w:tcW w:w="3260" w:type="dxa"/>
            <w:vAlign w:val="center"/>
          </w:tcPr>
          <w:p w14:paraId="7514451F" w14:textId="77777777" w:rsidR="00F232B6" w:rsidRDefault="00000000">
            <w:pPr>
              <w:widowControl/>
              <w:pBdr>
                <w:top w:val="nil"/>
                <w:left w:val="nil"/>
                <w:bottom w:val="nil"/>
                <w:right w:val="nil"/>
                <w:between w:val="nil"/>
              </w:pBdr>
              <w:spacing w:line="360" w:lineRule="auto"/>
              <w:jc w:val="both"/>
              <w:rPr>
                <w:color w:val="000000"/>
              </w:rPr>
            </w:pPr>
            <w:r>
              <w:rPr>
                <w:color w:val="000000"/>
              </w:rPr>
              <w:t>lon: 48</w:t>
            </w:r>
            <w:r>
              <w:rPr>
                <w:color w:val="000000"/>
                <w:vertAlign w:val="superscript"/>
              </w:rPr>
              <w:t>o</w:t>
            </w:r>
            <w:r>
              <w:rPr>
                <w:color w:val="000000"/>
              </w:rPr>
              <w:t xml:space="preserve"> 55’ 59” / lat: 1</w:t>
            </w:r>
            <w:r>
              <w:rPr>
                <w:color w:val="000000"/>
                <w:vertAlign w:val="superscript"/>
              </w:rPr>
              <w:t xml:space="preserve">o </w:t>
            </w:r>
            <w:r>
              <w:rPr>
                <w:color w:val="000000"/>
              </w:rPr>
              <w:t>50’ 51”</w:t>
            </w:r>
          </w:p>
        </w:tc>
        <w:tc>
          <w:tcPr>
            <w:tcW w:w="3116" w:type="dxa"/>
            <w:vAlign w:val="center"/>
          </w:tcPr>
          <w:p w14:paraId="25AC9B58" w14:textId="77777777" w:rsidR="00F232B6" w:rsidRDefault="00000000">
            <w:pPr>
              <w:widowControl/>
              <w:pBdr>
                <w:top w:val="nil"/>
                <w:left w:val="nil"/>
                <w:bottom w:val="nil"/>
                <w:right w:val="nil"/>
                <w:between w:val="nil"/>
              </w:pBdr>
              <w:spacing w:line="360" w:lineRule="auto"/>
              <w:jc w:val="center"/>
              <w:rPr>
                <w:color w:val="000000"/>
              </w:rPr>
            </w:pPr>
            <w:r>
              <w:rPr>
                <w:color w:val="000000"/>
              </w:rPr>
              <w:t>MFS011486</w:t>
            </w:r>
          </w:p>
        </w:tc>
      </w:tr>
    </w:tbl>
    <w:p w14:paraId="735FCEC1" w14:textId="77777777" w:rsidR="00F232B6" w:rsidRDefault="00000000">
      <w:pPr>
        <w:widowControl/>
        <w:pBdr>
          <w:top w:val="nil"/>
          <w:left w:val="nil"/>
          <w:bottom w:val="nil"/>
          <w:right w:val="nil"/>
          <w:between w:val="nil"/>
        </w:pBdr>
        <w:spacing w:line="360" w:lineRule="auto"/>
        <w:jc w:val="both"/>
        <w:rPr>
          <w:color w:val="000000"/>
        </w:rPr>
      </w:pPr>
      <w:r>
        <w:rPr>
          <w:color w:val="000000"/>
        </w:rPr>
        <w:t>Fonte: Autores da Pesquisa (2025).</w:t>
      </w:r>
    </w:p>
    <w:p w14:paraId="3D8BC46A" w14:textId="77777777" w:rsidR="00F232B6" w:rsidRDefault="00F232B6">
      <w:pPr>
        <w:widowControl/>
        <w:pBdr>
          <w:top w:val="nil"/>
          <w:left w:val="nil"/>
          <w:bottom w:val="nil"/>
          <w:right w:val="nil"/>
          <w:between w:val="nil"/>
        </w:pBdr>
        <w:spacing w:line="360" w:lineRule="auto"/>
        <w:jc w:val="both"/>
        <w:rPr>
          <w:color w:val="000000"/>
        </w:rPr>
      </w:pPr>
    </w:p>
    <w:p w14:paraId="35FAEB8D" w14:textId="77777777" w:rsidR="00F232B6" w:rsidRDefault="00000000">
      <w:pPr>
        <w:widowControl/>
        <w:pBdr>
          <w:top w:val="nil"/>
          <w:left w:val="nil"/>
          <w:bottom w:val="nil"/>
          <w:right w:val="nil"/>
          <w:between w:val="nil"/>
        </w:pBdr>
        <w:spacing w:line="360" w:lineRule="auto"/>
        <w:jc w:val="both"/>
        <w:rPr>
          <w:color w:val="000000"/>
        </w:rPr>
      </w:pPr>
      <w:r>
        <w:rPr>
          <w:b/>
          <w:bCs/>
          <w:color w:val="000000"/>
        </w:rPr>
        <w:t xml:space="preserve">Figura 1. </w:t>
      </w:r>
      <w:r>
        <w:rPr>
          <w:color w:val="000000"/>
        </w:rPr>
        <w:t>Espécies com potencial farmacológico catalogadas durante a pesquisa</w:t>
      </w:r>
    </w:p>
    <w:p w14:paraId="762B6047" w14:textId="77777777" w:rsidR="00F232B6" w:rsidRDefault="00000000">
      <w:pPr>
        <w:widowControl/>
        <w:pBdr>
          <w:top w:val="nil"/>
          <w:left w:val="nil"/>
          <w:bottom w:val="nil"/>
          <w:right w:val="nil"/>
          <w:between w:val="nil"/>
        </w:pBdr>
        <w:spacing w:line="360" w:lineRule="auto"/>
        <w:jc w:val="center"/>
        <w:rPr>
          <w:b/>
          <w:bCs/>
          <w:color w:val="000000"/>
        </w:rPr>
      </w:pPr>
      <w:r>
        <w:rPr>
          <w:b/>
          <w:bCs/>
          <w:noProof/>
          <w:color w:val="000000"/>
        </w:rPr>
        <w:drawing>
          <wp:inline distT="0" distB="0" distL="0" distR="0" wp14:anchorId="517AB5C3" wp14:editId="6B9BCA16">
            <wp:extent cx="3654392" cy="2966591"/>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3654392" cy="2966591"/>
                    </a:xfrm>
                    <a:prstGeom prst="rect">
                      <a:avLst/>
                    </a:prstGeom>
                    <a:ln/>
                  </pic:spPr>
                </pic:pic>
              </a:graphicData>
            </a:graphic>
          </wp:inline>
        </w:drawing>
      </w:r>
    </w:p>
    <w:p w14:paraId="79197EBF" w14:textId="77777777" w:rsidR="00F232B6" w:rsidRDefault="00000000">
      <w:pPr>
        <w:widowControl/>
        <w:pBdr>
          <w:top w:val="nil"/>
          <w:left w:val="nil"/>
          <w:bottom w:val="nil"/>
          <w:right w:val="nil"/>
          <w:between w:val="nil"/>
        </w:pBdr>
        <w:spacing w:line="360" w:lineRule="auto"/>
        <w:jc w:val="both"/>
        <w:rPr>
          <w:i/>
          <w:iCs/>
          <w:color w:val="000000"/>
        </w:rPr>
      </w:pPr>
      <w:r>
        <w:rPr>
          <w:color w:val="000000"/>
        </w:rPr>
        <w:t xml:space="preserve">Legenda: (A) </w:t>
      </w:r>
      <w:r>
        <w:rPr>
          <w:i/>
          <w:iCs/>
          <w:color w:val="000000"/>
        </w:rPr>
        <w:t>Alpinia zerumbet</w:t>
      </w:r>
      <w:r>
        <w:rPr>
          <w:color w:val="000000"/>
        </w:rPr>
        <w:t xml:space="preserve">; (B) </w:t>
      </w:r>
      <w:r>
        <w:rPr>
          <w:i/>
          <w:iCs/>
          <w:color w:val="000000"/>
        </w:rPr>
        <w:t>Lippia alba</w:t>
      </w:r>
      <w:r>
        <w:rPr>
          <w:color w:val="000000"/>
        </w:rPr>
        <w:t xml:space="preserve">; (C) </w:t>
      </w:r>
      <w:r>
        <w:rPr>
          <w:i/>
          <w:iCs/>
          <w:color w:val="000000"/>
        </w:rPr>
        <w:t>Costus spicatus</w:t>
      </w:r>
      <w:r>
        <w:rPr>
          <w:color w:val="000000"/>
        </w:rPr>
        <w:t xml:space="preserve">; (D) </w:t>
      </w:r>
      <w:r>
        <w:rPr>
          <w:i/>
          <w:iCs/>
          <w:color w:val="000000"/>
        </w:rPr>
        <w:t>Justicia secunda vahl</w:t>
      </w:r>
      <w:r>
        <w:rPr>
          <w:color w:val="000000"/>
        </w:rPr>
        <w:t>; (E) </w:t>
      </w:r>
      <w:r>
        <w:rPr>
          <w:i/>
          <w:iCs/>
          <w:color w:val="000000"/>
        </w:rPr>
        <w:t>Fridericia chica</w:t>
      </w:r>
      <w:r>
        <w:rPr>
          <w:color w:val="000000"/>
        </w:rPr>
        <w:t xml:space="preserve">; (F) </w:t>
      </w:r>
      <w:r>
        <w:rPr>
          <w:i/>
          <w:iCs/>
          <w:color w:val="000000"/>
        </w:rPr>
        <w:t>Pogostemon heyneanus.</w:t>
      </w:r>
    </w:p>
    <w:p w14:paraId="6220686F" w14:textId="77777777" w:rsidR="00F232B6" w:rsidRDefault="00000000">
      <w:pPr>
        <w:widowControl/>
        <w:pBdr>
          <w:top w:val="nil"/>
          <w:left w:val="nil"/>
          <w:bottom w:val="nil"/>
          <w:right w:val="nil"/>
          <w:between w:val="nil"/>
        </w:pBdr>
        <w:spacing w:line="360" w:lineRule="auto"/>
        <w:jc w:val="both"/>
        <w:rPr>
          <w:color w:val="000000"/>
        </w:rPr>
      </w:pPr>
      <w:r>
        <w:rPr>
          <w:color w:val="000000"/>
        </w:rPr>
        <w:t>Fonte: Autores da pesquisa (2025).</w:t>
      </w:r>
    </w:p>
    <w:p w14:paraId="10535EB1" w14:textId="77777777" w:rsidR="00F232B6" w:rsidRDefault="00F232B6">
      <w:pPr>
        <w:widowControl/>
        <w:pBdr>
          <w:top w:val="nil"/>
          <w:left w:val="nil"/>
          <w:bottom w:val="nil"/>
          <w:right w:val="nil"/>
          <w:between w:val="nil"/>
        </w:pBdr>
        <w:spacing w:line="360" w:lineRule="auto"/>
        <w:jc w:val="both"/>
        <w:rPr>
          <w:color w:val="000000"/>
        </w:rPr>
      </w:pPr>
    </w:p>
    <w:p w14:paraId="69646325" w14:textId="77777777" w:rsidR="00F232B6" w:rsidRDefault="00000000">
      <w:pPr>
        <w:widowControl/>
        <w:pBdr>
          <w:top w:val="nil"/>
          <w:left w:val="nil"/>
          <w:bottom w:val="nil"/>
          <w:right w:val="nil"/>
          <w:between w:val="nil"/>
        </w:pBdr>
        <w:spacing w:line="360" w:lineRule="auto"/>
        <w:ind w:firstLine="709"/>
        <w:jc w:val="both"/>
        <w:rPr>
          <w:color w:val="000000"/>
          <w:sz w:val="24"/>
          <w:szCs w:val="24"/>
        </w:rPr>
      </w:pPr>
      <w:r>
        <w:rPr>
          <w:color w:val="000000"/>
          <w:sz w:val="24"/>
          <w:szCs w:val="24"/>
        </w:rPr>
        <w:lastRenderedPageBreak/>
        <w:t xml:space="preserve">O levantamento etnobotânico constitui etapa fundamental para a compreensão da diversidade de plantas utilizadas em práticas terapêuticas tradicionais na região estudada. Cada espécie está associada não apenas a potenciais propriedades farmacológicas, mas também a significados culturais específicos que orientam seu uso cotidiano. Essa relação é exemplificada pelo relato do morador A: </w:t>
      </w:r>
      <w:r>
        <w:rPr>
          <w:i/>
          <w:iCs/>
          <w:color w:val="000000"/>
          <w:sz w:val="24"/>
          <w:szCs w:val="24"/>
        </w:rPr>
        <w:t>“Aqui na minha casa, eu prefiro utilizar as plantas para tratar qualquer tipo de doença ou sintoma. Uso esse método de tratamento desde a época de meus pais e continuo transmitindo esse conhecimento para meus filhos e netos”.</w:t>
      </w:r>
      <w:r>
        <w:rPr>
          <w:color w:val="000000"/>
          <w:sz w:val="24"/>
          <w:szCs w:val="24"/>
        </w:rPr>
        <w:t xml:space="preserve"> </w:t>
      </w:r>
    </w:p>
    <w:p w14:paraId="4B3C8125" w14:textId="77777777" w:rsidR="00F232B6" w:rsidRDefault="00000000">
      <w:pPr>
        <w:widowControl/>
        <w:pBdr>
          <w:top w:val="nil"/>
          <w:left w:val="nil"/>
          <w:bottom w:val="nil"/>
          <w:right w:val="nil"/>
          <w:between w:val="nil"/>
        </w:pBdr>
        <w:spacing w:line="360" w:lineRule="auto"/>
        <w:ind w:firstLine="709"/>
        <w:jc w:val="both"/>
        <w:rPr>
          <w:color w:val="000000"/>
          <w:sz w:val="24"/>
          <w:szCs w:val="24"/>
        </w:rPr>
      </w:pPr>
      <w:r>
        <w:rPr>
          <w:color w:val="000000"/>
          <w:sz w:val="24"/>
          <w:szCs w:val="24"/>
        </w:rPr>
        <w:t xml:space="preserve">Os dados correspondentes de cada amostra e a sua correlação etnofarmacológica podem ser melhor visualizados no Quadro 2. </w:t>
      </w:r>
    </w:p>
    <w:p w14:paraId="6B334833" w14:textId="77777777" w:rsidR="00F232B6" w:rsidRDefault="00F232B6">
      <w:pPr>
        <w:widowControl/>
        <w:pBdr>
          <w:top w:val="nil"/>
          <w:left w:val="nil"/>
          <w:bottom w:val="nil"/>
          <w:right w:val="nil"/>
          <w:between w:val="nil"/>
        </w:pBdr>
        <w:spacing w:line="360" w:lineRule="auto"/>
        <w:ind w:firstLine="709"/>
        <w:jc w:val="both"/>
        <w:rPr>
          <w:color w:val="000000"/>
          <w:sz w:val="24"/>
          <w:szCs w:val="24"/>
        </w:rPr>
      </w:pPr>
    </w:p>
    <w:p w14:paraId="2965AB9D" w14:textId="77777777" w:rsidR="00F232B6" w:rsidRDefault="00000000">
      <w:pPr>
        <w:widowControl/>
        <w:pBdr>
          <w:top w:val="nil"/>
          <w:left w:val="nil"/>
          <w:bottom w:val="nil"/>
          <w:right w:val="nil"/>
          <w:between w:val="nil"/>
        </w:pBdr>
        <w:spacing w:line="360" w:lineRule="auto"/>
        <w:jc w:val="both"/>
        <w:rPr>
          <w:color w:val="000000"/>
        </w:rPr>
      </w:pPr>
      <w:r>
        <w:rPr>
          <w:b/>
          <w:bCs/>
          <w:color w:val="000000"/>
        </w:rPr>
        <w:t xml:space="preserve">Quadro 2 - </w:t>
      </w:r>
      <w:r>
        <w:rPr>
          <w:color w:val="000000"/>
        </w:rPr>
        <w:t>Informações essenciais das amostras coletadas</w:t>
      </w:r>
    </w:p>
    <w:tbl>
      <w:tblPr>
        <w:tblStyle w:val="a0"/>
        <w:tblW w:w="90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0"/>
        <w:gridCol w:w="1304"/>
        <w:gridCol w:w="1145"/>
        <w:gridCol w:w="1319"/>
        <w:gridCol w:w="1525"/>
        <w:gridCol w:w="1217"/>
        <w:gridCol w:w="985"/>
      </w:tblGrid>
      <w:tr w:rsidR="00F232B6" w14:paraId="60AFC9C7" w14:textId="77777777">
        <w:trPr>
          <w:trHeight w:val="751"/>
        </w:trPr>
        <w:tc>
          <w:tcPr>
            <w:tcW w:w="1570" w:type="dxa"/>
            <w:vAlign w:val="center"/>
          </w:tcPr>
          <w:p w14:paraId="3C756CD8" w14:textId="77777777" w:rsidR="00F232B6" w:rsidRDefault="00000000">
            <w:pPr>
              <w:widowControl/>
              <w:pBdr>
                <w:top w:val="nil"/>
                <w:left w:val="nil"/>
                <w:bottom w:val="nil"/>
                <w:right w:val="nil"/>
                <w:between w:val="nil"/>
              </w:pBdr>
              <w:jc w:val="center"/>
              <w:rPr>
                <w:b/>
                <w:bCs/>
                <w:color w:val="000000"/>
              </w:rPr>
            </w:pPr>
            <w:r>
              <w:rPr>
                <w:b/>
                <w:bCs/>
                <w:color w:val="000000"/>
              </w:rPr>
              <w:t>Família</w:t>
            </w:r>
          </w:p>
        </w:tc>
        <w:tc>
          <w:tcPr>
            <w:tcW w:w="1304" w:type="dxa"/>
            <w:vAlign w:val="center"/>
          </w:tcPr>
          <w:p w14:paraId="7FDD66E4" w14:textId="77777777" w:rsidR="00F232B6" w:rsidRDefault="00000000">
            <w:pPr>
              <w:widowControl/>
              <w:pBdr>
                <w:top w:val="nil"/>
                <w:left w:val="nil"/>
                <w:bottom w:val="nil"/>
                <w:right w:val="nil"/>
                <w:between w:val="nil"/>
              </w:pBdr>
              <w:jc w:val="center"/>
              <w:rPr>
                <w:b/>
                <w:bCs/>
                <w:color w:val="000000"/>
              </w:rPr>
            </w:pPr>
            <w:r>
              <w:rPr>
                <w:b/>
                <w:bCs/>
                <w:color w:val="000000"/>
              </w:rPr>
              <w:t>Gênero</w:t>
            </w:r>
          </w:p>
        </w:tc>
        <w:tc>
          <w:tcPr>
            <w:tcW w:w="1145" w:type="dxa"/>
            <w:vAlign w:val="center"/>
          </w:tcPr>
          <w:p w14:paraId="6BC14385" w14:textId="77777777" w:rsidR="00F232B6" w:rsidRDefault="00000000">
            <w:pPr>
              <w:widowControl/>
              <w:pBdr>
                <w:top w:val="nil"/>
                <w:left w:val="nil"/>
                <w:bottom w:val="nil"/>
                <w:right w:val="nil"/>
                <w:between w:val="nil"/>
              </w:pBdr>
              <w:jc w:val="center"/>
              <w:rPr>
                <w:b/>
                <w:bCs/>
                <w:color w:val="000000"/>
              </w:rPr>
            </w:pPr>
            <w:r>
              <w:rPr>
                <w:b/>
                <w:bCs/>
                <w:color w:val="000000"/>
              </w:rPr>
              <w:t>Espécie</w:t>
            </w:r>
          </w:p>
        </w:tc>
        <w:tc>
          <w:tcPr>
            <w:tcW w:w="1319" w:type="dxa"/>
            <w:vAlign w:val="center"/>
          </w:tcPr>
          <w:p w14:paraId="7048278B" w14:textId="77777777" w:rsidR="00F232B6" w:rsidRDefault="00000000">
            <w:pPr>
              <w:widowControl/>
              <w:pBdr>
                <w:top w:val="nil"/>
                <w:left w:val="nil"/>
                <w:bottom w:val="nil"/>
                <w:right w:val="nil"/>
                <w:between w:val="nil"/>
              </w:pBdr>
              <w:jc w:val="center"/>
              <w:rPr>
                <w:b/>
                <w:bCs/>
                <w:color w:val="000000"/>
              </w:rPr>
            </w:pPr>
            <w:r>
              <w:rPr>
                <w:b/>
                <w:bCs/>
                <w:color w:val="000000"/>
              </w:rPr>
              <w:t>Nome Vernacular</w:t>
            </w:r>
          </w:p>
        </w:tc>
        <w:tc>
          <w:tcPr>
            <w:tcW w:w="1525" w:type="dxa"/>
            <w:vAlign w:val="center"/>
          </w:tcPr>
          <w:p w14:paraId="1B2204CC" w14:textId="77777777" w:rsidR="00F232B6" w:rsidRDefault="00000000">
            <w:pPr>
              <w:widowControl/>
              <w:pBdr>
                <w:top w:val="nil"/>
                <w:left w:val="nil"/>
                <w:bottom w:val="nil"/>
                <w:right w:val="nil"/>
                <w:between w:val="nil"/>
              </w:pBdr>
              <w:jc w:val="center"/>
              <w:rPr>
                <w:b/>
                <w:bCs/>
                <w:color w:val="000000"/>
              </w:rPr>
            </w:pPr>
            <w:r>
              <w:rPr>
                <w:b/>
                <w:bCs/>
                <w:color w:val="000000"/>
              </w:rPr>
              <w:t>Sintomas Tratados</w:t>
            </w:r>
          </w:p>
        </w:tc>
        <w:tc>
          <w:tcPr>
            <w:tcW w:w="1217" w:type="dxa"/>
            <w:vAlign w:val="center"/>
          </w:tcPr>
          <w:p w14:paraId="031EBEFC" w14:textId="77777777" w:rsidR="00F232B6" w:rsidRDefault="00000000">
            <w:pPr>
              <w:widowControl/>
              <w:pBdr>
                <w:top w:val="nil"/>
                <w:left w:val="nil"/>
                <w:bottom w:val="nil"/>
                <w:right w:val="nil"/>
                <w:between w:val="nil"/>
              </w:pBdr>
              <w:jc w:val="center"/>
              <w:rPr>
                <w:b/>
                <w:bCs/>
                <w:color w:val="000000"/>
              </w:rPr>
            </w:pPr>
            <w:r>
              <w:rPr>
                <w:b/>
                <w:bCs/>
                <w:color w:val="000000"/>
              </w:rPr>
              <w:t>Parte usada</w:t>
            </w:r>
          </w:p>
        </w:tc>
        <w:tc>
          <w:tcPr>
            <w:tcW w:w="985" w:type="dxa"/>
            <w:vAlign w:val="center"/>
          </w:tcPr>
          <w:p w14:paraId="4D9177DA" w14:textId="77777777" w:rsidR="00F232B6" w:rsidRDefault="00000000">
            <w:pPr>
              <w:widowControl/>
              <w:pBdr>
                <w:top w:val="nil"/>
                <w:left w:val="nil"/>
                <w:bottom w:val="nil"/>
                <w:right w:val="nil"/>
                <w:between w:val="nil"/>
              </w:pBdr>
              <w:jc w:val="center"/>
              <w:rPr>
                <w:b/>
                <w:bCs/>
                <w:color w:val="000000"/>
              </w:rPr>
            </w:pPr>
            <w:r>
              <w:rPr>
                <w:b/>
                <w:bCs/>
                <w:color w:val="000000"/>
              </w:rPr>
              <w:t>Forma de uso</w:t>
            </w:r>
          </w:p>
        </w:tc>
      </w:tr>
      <w:tr w:rsidR="00F232B6" w14:paraId="4A57EA6F" w14:textId="77777777">
        <w:tc>
          <w:tcPr>
            <w:tcW w:w="1570" w:type="dxa"/>
            <w:vAlign w:val="center"/>
          </w:tcPr>
          <w:p w14:paraId="52DCB122" w14:textId="77777777" w:rsidR="00F232B6" w:rsidRDefault="00000000">
            <w:pPr>
              <w:widowControl/>
              <w:pBdr>
                <w:top w:val="nil"/>
                <w:left w:val="nil"/>
                <w:bottom w:val="nil"/>
                <w:right w:val="nil"/>
                <w:between w:val="nil"/>
              </w:pBdr>
              <w:spacing w:line="360" w:lineRule="auto"/>
              <w:jc w:val="center"/>
              <w:rPr>
                <w:i/>
                <w:iCs/>
                <w:color w:val="000000"/>
              </w:rPr>
            </w:pPr>
            <w:r>
              <w:rPr>
                <w:i/>
                <w:iCs/>
                <w:color w:val="000000"/>
              </w:rPr>
              <w:t>Zingiberaceae</w:t>
            </w:r>
          </w:p>
        </w:tc>
        <w:tc>
          <w:tcPr>
            <w:tcW w:w="1304" w:type="dxa"/>
            <w:vAlign w:val="center"/>
          </w:tcPr>
          <w:p w14:paraId="77843705" w14:textId="77777777" w:rsidR="00F232B6" w:rsidRDefault="00000000">
            <w:pPr>
              <w:widowControl/>
              <w:pBdr>
                <w:top w:val="nil"/>
                <w:left w:val="nil"/>
                <w:bottom w:val="nil"/>
                <w:right w:val="nil"/>
                <w:between w:val="nil"/>
              </w:pBdr>
              <w:spacing w:line="360" w:lineRule="auto"/>
              <w:jc w:val="center"/>
              <w:rPr>
                <w:i/>
                <w:iCs/>
                <w:color w:val="000000"/>
              </w:rPr>
            </w:pPr>
            <w:r>
              <w:rPr>
                <w:i/>
                <w:iCs/>
                <w:color w:val="000000"/>
              </w:rPr>
              <w:t>Alpinia</w:t>
            </w:r>
          </w:p>
        </w:tc>
        <w:tc>
          <w:tcPr>
            <w:tcW w:w="1145" w:type="dxa"/>
            <w:vAlign w:val="center"/>
          </w:tcPr>
          <w:p w14:paraId="263FBA92" w14:textId="77777777" w:rsidR="00F232B6" w:rsidRDefault="00000000">
            <w:pPr>
              <w:widowControl/>
              <w:pBdr>
                <w:top w:val="nil"/>
                <w:left w:val="nil"/>
                <w:bottom w:val="nil"/>
                <w:right w:val="nil"/>
                <w:between w:val="nil"/>
              </w:pBdr>
              <w:spacing w:line="360" w:lineRule="auto"/>
              <w:jc w:val="center"/>
              <w:rPr>
                <w:i/>
                <w:iCs/>
                <w:color w:val="000000"/>
              </w:rPr>
            </w:pPr>
            <w:r>
              <w:rPr>
                <w:i/>
                <w:iCs/>
                <w:color w:val="000000"/>
              </w:rPr>
              <w:t>zerumbet</w:t>
            </w:r>
          </w:p>
        </w:tc>
        <w:tc>
          <w:tcPr>
            <w:tcW w:w="1319" w:type="dxa"/>
            <w:vAlign w:val="center"/>
          </w:tcPr>
          <w:p w14:paraId="75E54156" w14:textId="77777777" w:rsidR="00F232B6" w:rsidRDefault="00000000">
            <w:pPr>
              <w:widowControl/>
              <w:pBdr>
                <w:top w:val="nil"/>
                <w:left w:val="nil"/>
                <w:bottom w:val="nil"/>
                <w:right w:val="nil"/>
                <w:between w:val="nil"/>
              </w:pBdr>
              <w:spacing w:line="360" w:lineRule="auto"/>
              <w:jc w:val="center"/>
              <w:rPr>
                <w:color w:val="000000"/>
              </w:rPr>
            </w:pPr>
            <w:r>
              <w:rPr>
                <w:color w:val="000000"/>
              </w:rPr>
              <w:t>Borboleta</w:t>
            </w:r>
          </w:p>
        </w:tc>
        <w:tc>
          <w:tcPr>
            <w:tcW w:w="1525" w:type="dxa"/>
            <w:vAlign w:val="center"/>
          </w:tcPr>
          <w:p w14:paraId="77087953" w14:textId="77777777" w:rsidR="00F232B6" w:rsidRDefault="00000000">
            <w:pPr>
              <w:widowControl/>
              <w:pBdr>
                <w:top w:val="nil"/>
                <w:left w:val="nil"/>
                <w:bottom w:val="nil"/>
                <w:right w:val="nil"/>
                <w:between w:val="nil"/>
              </w:pBdr>
              <w:spacing w:line="360" w:lineRule="auto"/>
              <w:jc w:val="center"/>
              <w:rPr>
                <w:color w:val="000000"/>
              </w:rPr>
            </w:pPr>
            <w:r>
              <w:rPr>
                <w:color w:val="000000"/>
              </w:rPr>
              <w:t>Inchaços</w:t>
            </w:r>
          </w:p>
        </w:tc>
        <w:tc>
          <w:tcPr>
            <w:tcW w:w="1217" w:type="dxa"/>
            <w:vAlign w:val="center"/>
          </w:tcPr>
          <w:p w14:paraId="1B235360" w14:textId="77777777" w:rsidR="00F232B6" w:rsidRDefault="00000000">
            <w:pPr>
              <w:widowControl/>
              <w:pBdr>
                <w:top w:val="nil"/>
                <w:left w:val="nil"/>
                <w:bottom w:val="nil"/>
                <w:right w:val="nil"/>
                <w:between w:val="nil"/>
              </w:pBdr>
              <w:spacing w:line="360" w:lineRule="auto"/>
              <w:jc w:val="center"/>
              <w:rPr>
                <w:color w:val="000000"/>
              </w:rPr>
            </w:pPr>
            <w:r>
              <w:rPr>
                <w:color w:val="000000"/>
              </w:rPr>
              <w:t>Folhas</w:t>
            </w:r>
          </w:p>
        </w:tc>
        <w:tc>
          <w:tcPr>
            <w:tcW w:w="985" w:type="dxa"/>
            <w:vAlign w:val="center"/>
          </w:tcPr>
          <w:p w14:paraId="354244D8" w14:textId="77777777" w:rsidR="00F232B6" w:rsidRDefault="00000000">
            <w:pPr>
              <w:widowControl/>
              <w:pBdr>
                <w:top w:val="nil"/>
                <w:left w:val="nil"/>
                <w:bottom w:val="nil"/>
                <w:right w:val="nil"/>
                <w:between w:val="nil"/>
              </w:pBdr>
              <w:spacing w:line="360" w:lineRule="auto"/>
              <w:jc w:val="center"/>
              <w:rPr>
                <w:color w:val="000000"/>
              </w:rPr>
            </w:pPr>
            <w:r>
              <w:rPr>
                <w:color w:val="000000"/>
              </w:rPr>
              <w:t>Chá</w:t>
            </w:r>
          </w:p>
        </w:tc>
      </w:tr>
      <w:tr w:rsidR="00F232B6" w14:paraId="361D992A" w14:textId="77777777">
        <w:tc>
          <w:tcPr>
            <w:tcW w:w="1570" w:type="dxa"/>
            <w:vAlign w:val="center"/>
          </w:tcPr>
          <w:p w14:paraId="29C9879B" w14:textId="77777777" w:rsidR="00F232B6" w:rsidRDefault="00000000">
            <w:pPr>
              <w:widowControl/>
              <w:pBdr>
                <w:top w:val="nil"/>
                <w:left w:val="nil"/>
                <w:bottom w:val="nil"/>
                <w:right w:val="nil"/>
                <w:between w:val="nil"/>
              </w:pBdr>
              <w:spacing w:line="360" w:lineRule="auto"/>
              <w:jc w:val="center"/>
              <w:rPr>
                <w:i/>
                <w:iCs/>
                <w:color w:val="000000"/>
              </w:rPr>
            </w:pPr>
            <w:r>
              <w:rPr>
                <w:i/>
                <w:iCs/>
                <w:color w:val="000000"/>
              </w:rPr>
              <w:t>Verbenaceae</w:t>
            </w:r>
          </w:p>
        </w:tc>
        <w:tc>
          <w:tcPr>
            <w:tcW w:w="1304" w:type="dxa"/>
            <w:vAlign w:val="center"/>
          </w:tcPr>
          <w:p w14:paraId="336412A3" w14:textId="77777777" w:rsidR="00F232B6" w:rsidRDefault="00000000">
            <w:pPr>
              <w:widowControl/>
              <w:pBdr>
                <w:top w:val="nil"/>
                <w:left w:val="nil"/>
                <w:bottom w:val="nil"/>
                <w:right w:val="nil"/>
                <w:between w:val="nil"/>
              </w:pBdr>
              <w:spacing w:line="360" w:lineRule="auto"/>
              <w:jc w:val="center"/>
              <w:rPr>
                <w:i/>
                <w:iCs/>
                <w:color w:val="000000"/>
              </w:rPr>
            </w:pPr>
            <w:r>
              <w:rPr>
                <w:i/>
                <w:iCs/>
                <w:color w:val="000000"/>
              </w:rPr>
              <w:t>Lippia</w:t>
            </w:r>
          </w:p>
        </w:tc>
        <w:tc>
          <w:tcPr>
            <w:tcW w:w="1145" w:type="dxa"/>
            <w:vAlign w:val="center"/>
          </w:tcPr>
          <w:p w14:paraId="212BBC13" w14:textId="77777777" w:rsidR="00F232B6" w:rsidRDefault="00000000">
            <w:pPr>
              <w:widowControl/>
              <w:pBdr>
                <w:top w:val="nil"/>
                <w:left w:val="nil"/>
                <w:bottom w:val="nil"/>
                <w:right w:val="nil"/>
                <w:between w:val="nil"/>
              </w:pBdr>
              <w:spacing w:line="360" w:lineRule="auto"/>
              <w:jc w:val="center"/>
              <w:rPr>
                <w:i/>
                <w:iCs/>
                <w:color w:val="000000"/>
              </w:rPr>
            </w:pPr>
            <w:r>
              <w:rPr>
                <w:i/>
                <w:iCs/>
                <w:color w:val="000000"/>
              </w:rPr>
              <w:t>alba</w:t>
            </w:r>
          </w:p>
        </w:tc>
        <w:tc>
          <w:tcPr>
            <w:tcW w:w="1319" w:type="dxa"/>
            <w:vAlign w:val="center"/>
          </w:tcPr>
          <w:p w14:paraId="25DAFBF9" w14:textId="77777777" w:rsidR="00F232B6" w:rsidRDefault="00000000">
            <w:pPr>
              <w:widowControl/>
              <w:pBdr>
                <w:top w:val="nil"/>
                <w:left w:val="nil"/>
                <w:bottom w:val="nil"/>
                <w:right w:val="nil"/>
                <w:between w:val="nil"/>
              </w:pBdr>
              <w:spacing w:line="360" w:lineRule="auto"/>
              <w:jc w:val="center"/>
              <w:rPr>
                <w:color w:val="000000"/>
              </w:rPr>
            </w:pPr>
            <w:r>
              <w:rPr>
                <w:color w:val="000000"/>
              </w:rPr>
              <w:t>Erva Cidreira</w:t>
            </w:r>
          </w:p>
        </w:tc>
        <w:tc>
          <w:tcPr>
            <w:tcW w:w="1525" w:type="dxa"/>
            <w:vAlign w:val="center"/>
          </w:tcPr>
          <w:p w14:paraId="5D01357B" w14:textId="77777777" w:rsidR="00F232B6" w:rsidRDefault="00000000">
            <w:pPr>
              <w:widowControl/>
              <w:pBdr>
                <w:top w:val="nil"/>
                <w:left w:val="nil"/>
                <w:bottom w:val="nil"/>
                <w:right w:val="nil"/>
                <w:between w:val="nil"/>
              </w:pBdr>
              <w:spacing w:line="360" w:lineRule="auto"/>
              <w:jc w:val="center"/>
              <w:rPr>
                <w:color w:val="000000"/>
              </w:rPr>
            </w:pPr>
            <w:r>
              <w:rPr>
                <w:color w:val="000000"/>
              </w:rPr>
              <w:t>Ansiedade e hipertensão</w:t>
            </w:r>
          </w:p>
        </w:tc>
        <w:tc>
          <w:tcPr>
            <w:tcW w:w="1217" w:type="dxa"/>
            <w:vAlign w:val="center"/>
          </w:tcPr>
          <w:p w14:paraId="126D881A" w14:textId="77777777" w:rsidR="00F232B6" w:rsidRDefault="00000000">
            <w:pPr>
              <w:widowControl/>
              <w:pBdr>
                <w:top w:val="nil"/>
                <w:left w:val="nil"/>
                <w:bottom w:val="nil"/>
                <w:right w:val="nil"/>
                <w:between w:val="nil"/>
              </w:pBdr>
              <w:spacing w:line="360" w:lineRule="auto"/>
              <w:jc w:val="center"/>
              <w:rPr>
                <w:color w:val="000000"/>
              </w:rPr>
            </w:pPr>
            <w:r>
              <w:rPr>
                <w:color w:val="000000"/>
              </w:rPr>
              <w:t>Folhas</w:t>
            </w:r>
          </w:p>
        </w:tc>
        <w:tc>
          <w:tcPr>
            <w:tcW w:w="985" w:type="dxa"/>
            <w:vAlign w:val="center"/>
          </w:tcPr>
          <w:p w14:paraId="0F0B0DD0" w14:textId="77777777" w:rsidR="00F232B6" w:rsidRDefault="00000000">
            <w:pPr>
              <w:widowControl/>
              <w:pBdr>
                <w:top w:val="nil"/>
                <w:left w:val="nil"/>
                <w:bottom w:val="nil"/>
                <w:right w:val="nil"/>
                <w:between w:val="nil"/>
              </w:pBdr>
              <w:spacing w:line="360" w:lineRule="auto"/>
              <w:jc w:val="center"/>
              <w:rPr>
                <w:color w:val="000000"/>
              </w:rPr>
            </w:pPr>
            <w:r>
              <w:rPr>
                <w:color w:val="000000"/>
              </w:rPr>
              <w:t>Chá</w:t>
            </w:r>
          </w:p>
        </w:tc>
      </w:tr>
      <w:tr w:rsidR="00F232B6" w14:paraId="7473EA15" w14:textId="77777777">
        <w:tc>
          <w:tcPr>
            <w:tcW w:w="1570" w:type="dxa"/>
            <w:vAlign w:val="center"/>
          </w:tcPr>
          <w:p w14:paraId="2889A75E" w14:textId="77777777" w:rsidR="00F232B6" w:rsidRDefault="00000000">
            <w:pPr>
              <w:widowControl/>
              <w:pBdr>
                <w:top w:val="nil"/>
                <w:left w:val="nil"/>
                <w:bottom w:val="nil"/>
                <w:right w:val="nil"/>
                <w:between w:val="nil"/>
              </w:pBdr>
              <w:spacing w:line="360" w:lineRule="auto"/>
              <w:jc w:val="center"/>
              <w:rPr>
                <w:i/>
                <w:iCs/>
                <w:color w:val="000000"/>
              </w:rPr>
            </w:pPr>
            <w:r>
              <w:rPr>
                <w:i/>
                <w:iCs/>
                <w:color w:val="000000"/>
              </w:rPr>
              <w:t>Costaceae</w:t>
            </w:r>
          </w:p>
        </w:tc>
        <w:tc>
          <w:tcPr>
            <w:tcW w:w="1304" w:type="dxa"/>
            <w:vAlign w:val="center"/>
          </w:tcPr>
          <w:p w14:paraId="43E68316" w14:textId="77777777" w:rsidR="00F232B6" w:rsidRDefault="00000000">
            <w:pPr>
              <w:widowControl/>
              <w:pBdr>
                <w:top w:val="nil"/>
                <w:left w:val="nil"/>
                <w:bottom w:val="nil"/>
                <w:right w:val="nil"/>
                <w:between w:val="nil"/>
              </w:pBdr>
              <w:spacing w:line="360" w:lineRule="auto"/>
              <w:jc w:val="center"/>
              <w:rPr>
                <w:i/>
                <w:iCs/>
                <w:color w:val="000000"/>
              </w:rPr>
            </w:pPr>
            <w:r>
              <w:rPr>
                <w:i/>
                <w:iCs/>
                <w:color w:val="000000"/>
              </w:rPr>
              <w:t>Costus</w:t>
            </w:r>
          </w:p>
        </w:tc>
        <w:tc>
          <w:tcPr>
            <w:tcW w:w="1145" w:type="dxa"/>
            <w:vAlign w:val="center"/>
          </w:tcPr>
          <w:p w14:paraId="7D3FB6D5" w14:textId="77777777" w:rsidR="00F232B6" w:rsidRDefault="00000000">
            <w:pPr>
              <w:widowControl/>
              <w:pBdr>
                <w:top w:val="nil"/>
                <w:left w:val="nil"/>
                <w:bottom w:val="nil"/>
                <w:right w:val="nil"/>
                <w:between w:val="nil"/>
              </w:pBdr>
              <w:spacing w:line="360" w:lineRule="auto"/>
              <w:jc w:val="center"/>
              <w:rPr>
                <w:i/>
                <w:iCs/>
                <w:color w:val="000000"/>
              </w:rPr>
            </w:pPr>
            <w:r>
              <w:rPr>
                <w:i/>
                <w:iCs/>
                <w:color w:val="000000"/>
              </w:rPr>
              <w:t>spicatus</w:t>
            </w:r>
          </w:p>
        </w:tc>
        <w:tc>
          <w:tcPr>
            <w:tcW w:w="1319" w:type="dxa"/>
            <w:vAlign w:val="center"/>
          </w:tcPr>
          <w:p w14:paraId="10561366" w14:textId="77777777" w:rsidR="00F232B6" w:rsidRDefault="00000000">
            <w:pPr>
              <w:widowControl/>
              <w:pBdr>
                <w:top w:val="nil"/>
                <w:left w:val="nil"/>
                <w:bottom w:val="nil"/>
                <w:right w:val="nil"/>
                <w:between w:val="nil"/>
              </w:pBdr>
              <w:spacing w:line="360" w:lineRule="auto"/>
              <w:jc w:val="center"/>
              <w:rPr>
                <w:color w:val="000000"/>
              </w:rPr>
            </w:pPr>
            <w:r>
              <w:rPr>
                <w:color w:val="000000"/>
              </w:rPr>
              <w:t>Camafriz</w:t>
            </w:r>
          </w:p>
        </w:tc>
        <w:tc>
          <w:tcPr>
            <w:tcW w:w="1525" w:type="dxa"/>
            <w:vAlign w:val="center"/>
          </w:tcPr>
          <w:p w14:paraId="5132FA02" w14:textId="77777777" w:rsidR="00F232B6" w:rsidRDefault="00000000">
            <w:pPr>
              <w:widowControl/>
              <w:pBdr>
                <w:top w:val="nil"/>
                <w:left w:val="nil"/>
                <w:bottom w:val="nil"/>
                <w:right w:val="nil"/>
                <w:between w:val="nil"/>
              </w:pBdr>
              <w:spacing w:line="360" w:lineRule="auto"/>
              <w:jc w:val="center"/>
              <w:rPr>
                <w:color w:val="000000"/>
              </w:rPr>
            </w:pPr>
            <w:r>
              <w:rPr>
                <w:color w:val="000000"/>
              </w:rPr>
              <w:t>Infecção urinária</w:t>
            </w:r>
          </w:p>
        </w:tc>
        <w:tc>
          <w:tcPr>
            <w:tcW w:w="1217" w:type="dxa"/>
            <w:vAlign w:val="center"/>
          </w:tcPr>
          <w:p w14:paraId="2BAE0348" w14:textId="77777777" w:rsidR="00F232B6" w:rsidRDefault="00000000">
            <w:pPr>
              <w:widowControl/>
              <w:pBdr>
                <w:top w:val="nil"/>
                <w:left w:val="nil"/>
                <w:bottom w:val="nil"/>
                <w:right w:val="nil"/>
                <w:between w:val="nil"/>
              </w:pBdr>
              <w:spacing w:line="360" w:lineRule="auto"/>
              <w:jc w:val="center"/>
              <w:rPr>
                <w:color w:val="000000"/>
              </w:rPr>
            </w:pPr>
            <w:r>
              <w:rPr>
                <w:color w:val="000000"/>
              </w:rPr>
              <w:t>Folhas e Rizomas</w:t>
            </w:r>
          </w:p>
        </w:tc>
        <w:tc>
          <w:tcPr>
            <w:tcW w:w="985" w:type="dxa"/>
            <w:vAlign w:val="center"/>
          </w:tcPr>
          <w:p w14:paraId="4DC0B1DA" w14:textId="77777777" w:rsidR="00F232B6" w:rsidRDefault="00000000">
            <w:pPr>
              <w:widowControl/>
              <w:pBdr>
                <w:top w:val="nil"/>
                <w:left w:val="nil"/>
                <w:bottom w:val="nil"/>
                <w:right w:val="nil"/>
                <w:between w:val="nil"/>
              </w:pBdr>
              <w:spacing w:line="360" w:lineRule="auto"/>
              <w:jc w:val="center"/>
              <w:rPr>
                <w:color w:val="000000"/>
              </w:rPr>
            </w:pPr>
            <w:r>
              <w:rPr>
                <w:color w:val="000000"/>
              </w:rPr>
              <w:t>Chá</w:t>
            </w:r>
          </w:p>
        </w:tc>
      </w:tr>
      <w:tr w:rsidR="00F232B6" w14:paraId="150D0815" w14:textId="77777777">
        <w:tc>
          <w:tcPr>
            <w:tcW w:w="1570" w:type="dxa"/>
            <w:vAlign w:val="center"/>
          </w:tcPr>
          <w:p w14:paraId="1DE82B6E" w14:textId="77777777" w:rsidR="00F232B6" w:rsidRDefault="00000000">
            <w:pPr>
              <w:widowControl/>
              <w:pBdr>
                <w:top w:val="nil"/>
                <w:left w:val="nil"/>
                <w:bottom w:val="nil"/>
                <w:right w:val="nil"/>
                <w:between w:val="nil"/>
              </w:pBdr>
              <w:spacing w:line="360" w:lineRule="auto"/>
              <w:jc w:val="center"/>
              <w:rPr>
                <w:i/>
                <w:iCs/>
                <w:color w:val="000000"/>
              </w:rPr>
            </w:pPr>
            <w:r>
              <w:rPr>
                <w:i/>
                <w:iCs/>
                <w:color w:val="000000"/>
              </w:rPr>
              <w:t>Acanthaceae</w:t>
            </w:r>
          </w:p>
        </w:tc>
        <w:tc>
          <w:tcPr>
            <w:tcW w:w="1304" w:type="dxa"/>
            <w:vAlign w:val="center"/>
          </w:tcPr>
          <w:p w14:paraId="6ED6E1EA" w14:textId="77777777" w:rsidR="00F232B6" w:rsidRDefault="00000000">
            <w:pPr>
              <w:widowControl/>
              <w:pBdr>
                <w:top w:val="nil"/>
                <w:left w:val="nil"/>
                <w:bottom w:val="nil"/>
                <w:right w:val="nil"/>
                <w:between w:val="nil"/>
              </w:pBdr>
              <w:spacing w:line="360" w:lineRule="auto"/>
              <w:jc w:val="center"/>
              <w:rPr>
                <w:i/>
                <w:iCs/>
                <w:color w:val="000000"/>
              </w:rPr>
            </w:pPr>
            <w:r>
              <w:rPr>
                <w:i/>
                <w:iCs/>
                <w:color w:val="000000"/>
              </w:rPr>
              <w:t>Justicia</w:t>
            </w:r>
          </w:p>
        </w:tc>
        <w:tc>
          <w:tcPr>
            <w:tcW w:w="1145" w:type="dxa"/>
            <w:vAlign w:val="center"/>
          </w:tcPr>
          <w:p w14:paraId="44A5CEBC" w14:textId="77777777" w:rsidR="00F232B6" w:rsidRDefault="00000000">
            <w:pPr>
              <w:widowControl/>
              <w:pBdr>
                <w:top w:val="nil"/>
                <w:left w:val="nil"/>
                <w:bottom w:val="nil"/>
                <w:right w:val="nil"/>
                <w:between w:val="nil"/>
              </w:pBdr>
              <w:spacing w:line="360" w:lineRule="auto"/>
              <w:jc w:val="center"/>
              <w:rPr>
                <w:i/>
                <w:iCs/>
                <w:color w:val="000000"/>
              </w:rPr>
            </w:pPr>
            <w:r>
              <w:rPr>
                <w:i/>
                <w:iCs/>
                <w:color w:val="000000"/>
              </w:rPr>
              <w:t>secunda</w:t>
            </w:r>
          </w:p>
        </w:tc>
        <w:tc>
          <w:tcPr>
            <w:tcW w:w="1319" w:type="dxa"/>
            <w:vAlign w:val="center"/>
          </w:tcPr>
          <w:p w14:paraId="27F8DE89" w14:textId="77777777" w:rsidR="00F232B6" w:rsidRDefault="00000000">
            <w:pPr>
              <w:widowControl/>
              <w:pBdr>
                <w:top w:val="nil"/>
                <w:left w:val="nil"/>
                <w:bottom w:val="nil"/>
                <w:right w:val="nil"/>
                <w:between w:val="nil"/>
              </w:pBdr>
              <w:spacing w:line="360" w:lineRule="auto"/>
              <w:jc w:val="center"/>
              <w:rPr>
                <w:color w:val="000000"/>
              </w:rPr>
            </w:pPr>
            <w:r>
              <w:rPr>
                <w:color w:val="000000"/>
              </w:rPr>
              <w:t>Cor Sangue</w:t>
            </w:r>
          </w:p>
        </w:tc>
        <w:tc>
          <w:tcPr>
            <w:tcW w:w="1525" w:type="dxa"/>
            <w:vAlign w:val="center"/>
          </w:tcPr>
          <w:p w14:paraId="117DF840" w14:textId="77777777" w:rsidR="00F232B6" w:rsidRDefault="00000000">
            <w:pPr>
              <w:widowControl/>
              <w:pBdr>
                <w:top w:val="nil"/>
                <w:left w:val="nil"/>
                <w:bottom w:val="nil"/>
                <w:right w:val="nil"/>
                <w:between w:val="nil"/>
              </w:pBdr>
              <w:spacing w:line="360" w:lineRule="auto"/>
              <w:jc w:val="center"/>
              <w:rPr>
                <w:color w:val="000000"/>
              </w:rPr>
            </w:pPr>
            <w:r>
              <w:rPr>
                <w:color w:val="000000"/>
              </w:rPr>
              <w:t>Anemia</w:t>
            </w:r>
          </w:p>
        </w:tc>
        <w:tc>
          <w:tcPr>
            <w:tcW w:w="1217" w:type="dxa"/>
            <w:vAlign w:val="center"/>
          </w:tcPr>
          <w:p w14:paraId="28A977DB" w14:textId="77777777" w:rsidR="00F232B6" w:rsidRDefault="00000000">
            <w:pPr>
              <w:widowControl/>
              <w:pBdr>
                <w:top w:val="nil"/>
                <w:left w:val="nil"/>
                <w:bottom w:val="nil"/>
                <w:right w:val="nil"/>
                <w:between w:val="nil"/>
              </w:pBdr>
              <w:spacing w:line="360" w:lineRule="auto"/>
              <w:jc w:val="center"/>
              <w:rPr>
                <w:color w:val="000000"/>
              </w:rPr>
            </w:pPr>
            <w:r>
              <w:rPr>
                <w:color w:val="000000"/>
              </w:rPr>
              <w:t>Folhas e Rizomas</w:t>
            </w:r>
          </w:p>
        </w:tc>
        <w:tc>
          <w:tcPr>
            <w:tcW w:w="985" w:type="dxa"/>
            <w:vAlign w:val="center"/>
          </w:tcPr>
          <w:p w14:paraId="0867E6C7" w14:textId="77777777" w:rsidR="00F232B6" w:rsidRDefault="00000000">
            <w:pPr>
              <w:widowControl/>
              <w:pBdr>
                <w:top w:val="nil"/>
                <w:left w:val="nil"/>
                <w:bottom w:val="nil"/>
                <w:right w:val="nil"/>
                <w:between w:val="nil"/>
              </w:pBdr>
              <w:spacing w:line="360" w:lineRule="auto"/>
              <w:jc w:val="center"/>
              <w:rPr>
                <w:color w:val="000000"/>
              </w:rPr>
            </w:pPr>
            <w:r>
              <w:rPr>
                <w:color w:val="000000"/>
              </w:rPr>
              <w:t>Chá</w:t>
            </w:r>
          </w:p>
        </w:tc>
      </w:tr>
      <w:tr w:rsidR="00F232B6" w14:paraId="191FB310" w14:textId="77777777">
        <w:tc>
          <w:tcPr>
            <w:tcW w:w="1570" w:type="dxa"/>
            <w:vAlign w:val="center"/>
          </w:tcPr>
          <w:p w14:paraId="2FFBD26A" w14:textId="77777777" w:rsidR="00F232B6" w:rsidRDefault="00000000">
            <w:pPr>
              <w:widowControl/>
              <w:pBdr>
                <w:top w:val="nil"/>
                <w:left w:val="nil"/>
                <w:bottom w:val="nil"/>
                <w:right w:val="nil"/>
                <w:between w:val="nil"/>
              </w:pBdr>
              <w:spacing w:line="360" w:lineRule="auto"/>
              <w:jc w:val="center"/>
              <w:rPr>
                <w:i/>
                <w:iCs/>
                <w:color w:val="000000"/>
              </w:rPr>
            </w:pPr>
            <w:r>
              <w:rPr>
                <w:i/>
                <w:iCs/>
                <w:color w:val="000000"/>
              </w:rPr>
              <w:t>Bignoniaceae</w:t>
            </w:r>
          </w:p>
        </w:tc>
        <w:tc>
          <w:tcPr>
            <w:tcW w:w="1304" w:type="dxa"/>
            <w:vAlign w:val="center"/>
          </w:tcPr>
          <w:p w14:paraId="6AC3FC9B" w14:textId="77777777" w:rsidR="00F232B6" w:rsidRDefault="00000000">
            <w:pPr>
              <w:widowControl/>
              <w:pBdr>
                <w:top w:val="nil"/>
                <w:left w:val="nil"/>
                <w:bottom w:val="nil"/>
                <w:right w:val="nil"/>
                <w:between w:val="nil"/>
              </w:pBdr>
              <w:spacing w:line="360" w:lineRule="auto"/>
              <w:jc w:val="center"/>
              <w:rPr>
                <w:i/>
                <w:iCs/>
                <w:color w:val="000000"/>
              </w:rPr>
            </w:pPr>
            <w:r>
              <w:rPr>
                <w:i/>
                <w:iCs/>
                <w:color w:val="000000"/>
              </w:rPr>
              <w:t>Fridericia</w:t>
            </w:r>
          </w:p>
        </w:tc>
        <w:tc>
          <w:tcPr>
            <w:tcW w:w="1145" w:type="dxa"/>
            <w:vAlign w:val="center"/>
          </w:tcPr>
          <w:p w14:paraId="7BBEA6D0" w14:textId="77777777" w:rsidR="00F232B6" w:rsidRDefault="00000000">
            <w:pPr>
              <w:widowControl/>
              <w:pBdr>
                <w:top w:val="nil"/>
                <w:left w:val="nil"/>
                <w:bottom w:val="nil"/>
                <w:right w:val="nil"/>
                <w:between w:val="nil"/>
              </w:pBdr>
              <w:spacing w:line="360" w:lineRule="auto"/>
              <w:jc w:val="center"/>
              <w:rPr>
                <w:i/>
                <w:iCs/>
                <w:color w:val="000000"/>
              </w:rPr>
            </w:pPr>
            <w:r>
              <w:rPr>
                <w:i/>
                <w:iCs/>
                <w:color w:val="000000"/>
              </w:rPr>
              <w:t>chica</w:t>
            </w:r>
          </w:p>
        </w:tc>
        <w:tc>
          <w:tcPr>
            <w:tcW w:w="1319" w:type="dxa"/>
            <w:vAlign w:val="center"/>
          </w:tcPr>
          <w:p w14:paraId="5C1277F7" w14:textId="77777777" w:rsidR="00F232B6" w:rsidRDefault="00000000">
            <w:pPr>
              <w:widowControl/>
              <w:pBdr>
                <w:top w:val="nil"/>
                <w:left w:val="nil"/>
                <w:bottom w:val="nil"/>
                <w:right w:val="nil"/>
                <w:between w:val="nil"/>
              </w:pBdr>
              <w:spacing w:line="360" w:lineRule="auto"/>
              <w:jc w:val="center"/>
              <w:rPr>
                <w:color w:val="000000"/>
              </w:rPr>
            </w:pPr>
            <w:r>
              <w:rPr>
                <w:color w:val="000000"/>
              </w:rPr>
              <w:t>Pariri</w:t>
            </w:r>
          </w:p>
        </w:tc>
        <w:tc>
          <w:tcPr>
            <w:tcW w:w="1525" w:type="dxa"/>
            <w:vAlign w:val="center"/>
          </w:tcPr>
          <w:p w14:paraId="4B91290E" w14:textId="77777777" w:rsidR="00F232B6" w:rsidRDefault="00000000">
            <w:pPr>
              <w:widowControl/>
              <w:pBdr>
                <w:top w:val="nil"/>
                <w:left w:val="nil"/>
                <w:bottom w:val="nil"/>
                <w:right w:val="nil"/>
                <w:between w:val="nil"/>
              </w:pBdr>
              <w:spacing w:line="360" w:lineRule="auto"/>
              <w:jc w:val="center"/>
              <w:rPr>
                <w:color w:val="000000"/>
              </w:rPr>
            </w:pPr>
            <w:r>
              <w:rPr>
                <w:color w:val="000000"/>
              </w:rPr>
              <w:t>Anemia</w:t>
            </w:r>
          </w:p>
        </w:tc>
        <w:tc>
          <w:tcPr>
            <w:tcW w:w="1217" w:type="dxa"/>
            <w:vAlign w:val="center"/>
          </w:tcPr>
          <w:p w14:paraId="1AE0CE43" w14:textId="77777777" w:rsidR="00F232B6" w:rsidRDefault="00000000">
            <w:pPr>
              <w:widowControl/>
              <w:pBdr>
                <w:top w:val="nil"/>
                <w:left w:val="nil"/>
                <w:bottom w:val="nil"/>
                <w:right w:val="nil"/>
                <w:between w:val="nil"/>
              </w:pBdr>
              <w:spacing w:line="360" w:lineRule="auto"/>
              <w:jc w:val="center"/>
              <w:rPr>
                <w:color w:val="000000"/>
              </w:rPr>
            </w:pPr>
            <w:r>
              <w:rPr>
                <w:color w:val="000000"/>
              </w:rPr>
              <w:t>Folhas</w:t>
            </w:r>
          </w:p>
        </w:tc>
        <w:tc>
          <w:tcPr>
            <w:tcW w:w="985" w:type="dxa"/>
            <w:vAlign w:val="center"/>
          </w:tcPr>
          <w:p w14:paraId="3D55A174" w14:textId="77777777" w:rsidR="00F232B6" w:rsidRDefault="00000000">
            <w:pPr>
              <w:widowControl/>
              <w:pBdr>
                <w:top w:val="nil"/>
                <w:left w:val="nil"/>
                <w:bottom w:val="nil"/>
                <w:right w:val="nil"/>
                <w:between w:val="nil"/>
              </w:pBdr>
              <w:spacing w:line="360" w:lineRule="auto"/>
              <w:jc w:val="center"/>
              <w:rPr>
                <w:color w:val="000000"/>
              </w:rPr>
            </w:pPr>
            <w:r>
              <w:rPr>
                <w:color w:val="000000"/>
              </w:rPr>
              <w:t>Chá</w:t>
            </w:r>
          </w:p>
        </w:tc>
      </w:tr>
      <w:tr w:rsidR="00F232B6" w14:paraId="2DBCE7F5" w14:textId="77777777">
        <w:tc>
          <w:tcPr>
            <w:tcW w:w="1570" w:type="dxa"/>
            <w:vAlign w:val="center"/>
          </w:tcPr>
          <w:p w14:paraId="70253112" w14:textId="77777777" w:rsidR="00F232B6" w:rsidRDefault="00000000">
            <w:pPr>
              <w:widowControl/>
              <w:pBdr>
                <w:top w:val="nil"/>
                <w:left w:val="nil"/>
                <w:bottom w:val="nil"/>
                <w:right w:val="nil"/>
                <w:between w:val="nil"/>
              </w:pBdr>
              <w:spacing w:line="360" w:lineRule="auto"/>
              <w:jc w:val="center"/>
              <w:rPr>
                <w:i/>
                <w:iCs/>
                <w:color w:val="000000"/>
              </w:rPr>
            </w:pPr>
            <w:r>
              <w:rPr>
                <w:i/>
                <w:iCs/>
                <w:color w:val="000000"/>
              </w:rPr>
              <w:t>Laminaceae</w:t>
            </w:r>
          </w:p>
        </w:tc>
        <w:tc>
          <w:tcPr>
            <w:tcW w:w="1304" w:type="dxa"/>
            <w:vAlign w:val="center"/>
          </w:tcPr>
          <w:p w14:paraId="5DD86B96" w14:textId="77777777" w:rsidR="00F232B6" w:rsidRDefault="00000000">
            <w:pPr>
              <w:widowControl/>
              <w:pBdr>
                <w:top w:val="nil"/>
                <w:left w:val="nil"/>
                <w:bottom w:val="nil"/>
                <w:right w:val="nil"/>
                <w:between w:val="nil"/>
              </w:pBdr>
              <w:spacing w:line="360" w:lineRule="auto"/>
              <w:jc w:val="center"/>
              <w:rPr>
                <w:i/>
                <w:iCs/>
                <w:color w:val="000000"/>
              </w:rPr>
            </w:pPr>
            <w:r>
              <w:rPr>
                <w:i/>
                <w:iCs/>
                <w:color w:val="000000"/>
              </w:rPr>
              <w:t>Pogostemon</w:t>
            </w:r>
          </w:p>
        </w:tc>
        <w:tc>
          <w:tcPr>
            <w:tcW w:w="1145" w:type="dxa"/>
            <w:vAlign w:val="center"/>
          </w:tcPr>
          <w:p w14:paraId="52A430A2" w14:textId="77777777" w:rsidR="00F232B6" w:rsidRDefault="00000000">
            <w:pPr>
              <w:widowControl/>
              <w:pBdr>
                <w:top w:val="nil"/>
                <w:left w:val="nil"/>
                <w:bottom w:val="nil"/>
                <w:right w:val="nil"/>
                <w:between w:val="nil"/>
              </w:pBdr>
              <w:spacing w:line="360" w:lineRule="auto"/>
              <w:jc w:val="center"/>
              <w:rPr>
                <w:i/>
                <w:iCs/>
                <w:color w:val="000000"/>
              </w:rPr>
            </w:pPr>
            <w:r>
              <w:rPr>
                <w:i/>
                <w:iCs/>
                <w:color w:val="000000"/>
              </w:rPr>
              <w:t>heyneanus</w:t>
            </w:r>
          </w:p>
        </w:tc>
        <w:tc>
          <w:tcPr>
            <w:tcW w:w="1319" w:type="dxa"/>
            <w:vAlign w:val="center"/>
          </w:tcPr>
          <w:p w14:paraId="7FEA9A34" w14:textId="77777777" w:rsidR="00F232B6" w:rsidRDefault="00000000">
            <w:pPr>
              <w:widowControl/>
              <w:pBdr>
                <w:top w:val="nil"/>
                <w:left w:val="nil"/>
                <w:bottom w:val="nil"/>
                <w:right w:val="nil"/>
                <w:between w:val="nil"/>
              </w:pBdr>
              <w:spacing w:line="360" w:lineRule="auto"/>
              <w:jc w:val="center"/>
              <w:rPr>
                <w:color w:val="000000"/>
              </w:rPr>
            </w:pPr>
            <w:r>
              <w:rPr>
                <w:color w:val="000000"/>
              </w:rPr>
              <w:t>Uriza</w:t>
            </w:r>
          </w:p>
        </w:tc>
        <w:tc>
          <w:tcPr>
            <w:tcW w:w="1525" w:type="dxa"/>
            <w:vAlign w:val="center"/>
          </w:tcPr>
          <w:p w14:paraId="662AB78C" w14:textId="77777777" w:rsidR="00F232B6" w:rsidRDefault="00000000">
            <w:pPr>
              <w:widowControl/>
              <w:pBdr>
                <w:top w:val="nil"/>
                <w:left w:val="nil"/>
                <w:bottom w:val="nil"/>
                <w:right w:val="nil"/>
                <w:between w:val="nil"/>
              </w:pBdr>
              <w:spacing w:line="360" w:lineRule="auto"/>
              <w:jc w:val="center"/>
              <w:rPr>
                <w:color w:val="000000"/>
              </w:rPr>
            </w:pPr>
            <w:r>
              <w:rPr>
                <w:color w:val="000000"/>
              </w:rPr>
              <w:t>Ritualística</w:t>
            </w:r>
          </w:p>
        </w:tc>
        <w:tc>
          <w:tcPr>
            <w:tcW w:w="1217" w:type="dxa"/>
            <w:vAlign w:val="center"/>
          </w:tcPr>
          <w:p w14:paraId="0FD05D0A" w14:textId="77777777" w:rsidR="00F232B6" w:rsidRDefault="00000000">
            <w:pPr>
              <w:widowControl/>
              <w:pBdr>
                <w:top w:val="nil"/>
                <w:left w:val="nil"/>
                <w:bottom w:val="nil"/>
                <w:right w:val="nil"/>
                <w:between w:val="nil"/>
              </w:pBdr>
              <w:spacing w:line="360" w:lineRule="auto"/>
              <w:jc w:val="center"/>
              <w:rPr>
                <w:color w:val="000000"/>
              </w:rPr>
            </w:pPr>
            <w:r>
              <w:rPr>
                <w:color w:val="000000"/>
              </w:rPr>
              <w:t>Folhas e caule</w:t>
            </w:r>
          </w:p>
        </w:tc>
        <w:tc>
          <w:tcPr>
            <w:tcW w:w="985" w:type="dxa"/>
            <w:vAlign w:val="center"/>
          </w:tcPr>
          <w:p w14:paraId="478E00AE" w14:textId="77777777" w:rsidR="00F232B6" w:rsidRDefault="00000000">
            <w:pPr>
              <w:widowControl/>
              <w:pBdr>
                <w:top w:val="nil"/>
                <w:left w:val="nil"/>
                <w:bottom w:val="nil"/>
                <w:right w:val="nil"/>
                <w:between w:val="nil"/>
              </w:pBdr>
              <w:spacing w:line="360" w:lineRule="auto"/>
              <w:jc w:val="center"/>
              <w:rPr>
                <w:color w:val="000000"/>
              </w:rPr>
            </w:pPr>
            <w:r>
              <w:rPr>
                <w:color w:val="000000"/>
              </w:rPr>
              <w:t>Banho</w:t>
            </w:r>
          </w:p>
        </w:tc>
      </w:tr>
    </w:tbl>
    <w:p w14:paraId="431B6630" w14:textId="77777777" w:rsidR="00F232B6" w:rsidRDefault="00000000">
      <w:pPr>
        <w:widowControl/>
        <w:pBdr>
          <w:top w:val="nil"/>
          <w:left w:val="nil"/>
          <w:bottom w:val="nil"/>
          <w:right w:val="nil"/>
          <w:between w:val="nil"/>
        </w:pBdr>
        <w:spacing w:before="120" w:line="360" w:lineRule="auto"/>
        <w:jc w:val="both"/>
        <w:rPr>
          <w:color w:val="000000"/>
        </w:rPr>
      </w:pPr>
      <w:r>
        <w:rPr>
          <w:color w:val="000000"/>
        </w:rPr>
        <w:t>Fonte: Autores da Pesquisa (2025).</w:t>
      </w:r>
    </w:p>
    <w:p w14:paraId="0D2C2485" w14:textId="77777777" w:rsidR="00F232B6" w:rsidRDefault="00F232B6">
      <w:pPr>
        <w:widowControl/>
        <w:pBdr>
          <w:top w:val="nil"/>
          <w:left w:val="nil"/>
          <w:bottom w:val="nil"/>
          <w:right w:val="nil"/>
          <w:between w:val="nil"/>
        </w:pBdr>
        <w:spacing w:line="360" w:lineRule="auto"/>
        <w:ind w:firstLine="709"/>
        <w:jc w:val="both"/>
        <w:rPr>
          <w:b/>
          <w:bCs/>
          <w:color w:val="000000"/>
        </w:rPr>
      </w:pPr>
    </w:p>
    <w:p w14:paraId="7181B710" w14:textId="77777777" w:rsidR="00F232B6" w:rsidRDefault="00000000">
      <w:pPr>
        <w:widowControl/>
        <w:pBdr>
          <w:top w:val="nil"/>
          <w:left w:val="nil"/>
          <w:bottom w:val="nil"/>
          <w:right w:val="nil"/>
          <w:between w:val="nil"/>
        </w:pBdr>
        <w:spacing w:line="360" w:lineRule="auto"/>
        <w:ind w:firstLine="709"/>
        <w:jc w:val="both"/>
        <w:rPr>
          <w:color w:val="000000"/>
          <w:sz w:val="24"/>
          <w:szCs w:val="24"/>
        </w:rPr>
      </w:pPr>
      <w:r>
        <w:rPr>
          <w:color w:val="000000"/>
          <w:sz w:val="24"/>
          <w:szCs w:val="24"/>
        </w:rPr>
        <w:t xml:space="preserve">Durante as entrevistas, foi relatado que o uso etnofarmacológico de </w:t>
      </w:r>
      <w:r>
        <w:rPr>
          <w:i/>
          <w:iCs/>
          <w:color w:val="000000"/>
          <w:sz w:val="24"/>
          <w:szCs w:val="24"/>
        </w:rPr>
        <w:t>Alpinia zerumbet</w:t>
      </w:r>
      <w:r>
        <w:rPr>
          <w:color w:val="000000"/>
          <w:sz w:val="24"/>
          <w:szCs w:val="24"/>
        </w:rPr>
        <w:t xml:space="preserve"> está associado à redução de diferentes tipos de inchaço, especialmente em mulheres no período gestacional, fase em que essa condição ocorre com maior frequência. De acordo com Junior </w:t>
      </w:r>
      <w:r>
        <w:rPr>
          <w:i/>
          <w:iCs/>
          <w:color w:val="000000"/>
          <w:sz w:val="24"/>
          <w:szCs w:val="24"/>
        </w:rPr>
        <w:t>et al</w:t>
      </w:r>
      <w:r>
        <w:rPr>
          <w:color w:val="000000"/>
          <w:sz w:val="24"/>
          <w:szCs w:val="24"/>
        </w:rPr>
        <w:t xml:space="preserve">. (2017), após o teste in vivo do óleo essencial de </w:t>
      </w:r>
      <w:r>
        <w:rPr>
          <w:i/>
          <w:iCs/>
          <w:color w:val="000000"/>
          <w:sz w:val="24"/>
          <w:szCs w:val="24"/>
        </w:rPr>
        <w:t>A. zerumbet</w:t>
      </w:r>
      <w:r>
        <w:rPr>
          <w:color w:val="000000"/>
          <w:sz w:val="24"/>
          <w:szCs w:val="24"/>
        </w:rPr>
        <w:t xml:space="preserve">, em ratos da espécie Wistar, a amostra apresentou destaque no tratamento desse sintoma, em virtude da presença de monoterpenos, principalmente o terpinen-4-ol e o 1,8-cineol (eucaliptol). Esses compostos </w:t>
      </w:r>
      <w:r>
        <w:rPr>
          <w:color w:val="000000"/>
          <w:sz w:val="24"/>
          <w:szCs w:val="24"/>
        </w:rPr>
        <w:lastRenderedPageBreak/>
        <w:t>atuam na inibição da produção do fator de necrose tumoral alfa (TNF-α) e de interleucinas (IL-1β, IL-8 e IL-10), mensageiros inflamatórios produzidos pelo organismo durante o processo inflamatório. A redução desses mediadores contribui para a modulação da resposta imunológica, resultando na diminuição da dor e do inchaço.</w:t>
      </w:r>
    </w:p>
    <w:p w14:paraId="1858DC39" w14:textId="77777777" w:rsidR="00F232B6" w:rsidRDefault="00000000">
      <w:pPr>
        <w:widowControl/>
        <w:pBdr>
          <w:top w:val="nil"/>
          <w:left w:val="nil"/>
          <w:bottom w:val="nil"/>
          <w:right w:val="nil"/>
          <w:between w:val="nil"/>
        </w:pBdr>
        <w:spacing w:line="360" w:lineRule="auto"/>
        <w:ind w:firstLine="709"/>
        <w:jc w:val="both"/>
        <w:rPr>
          <w:color w:val="000000"/>
          <w:sz w:val="24"/>
          <w:szCs w:val="24"/>
        </w:rPr>
      </w:pPr>
      <w:r>
        <w:rPr>
          <w:color w:val="000000"/>
          <w:sz w:val="24"/>
          <w:szCs w:val="24"/>
        </w:rPr>
        <w:t xml:space="preserve">Em relação a </w:t>
      </w:r>
      <w:r>
        <w:rPr>
          <w:i/>
          <w:iCs/>
          <w:color w:val="000000"/>
          <w:sz w:val="24"/>
          <w:szCs w:val="24"/>
        </w:rPr>
        <w:t>Lippia alba</w:t>
      </w:r>
      <w:r>
        <w:rPr>
          <w:color w:val="000000"/>
          <w:sz w:val="24"/>
          <w:szCs w:val="24"/>
        </w:rPr>
        <w:t xml:space="preserve">, os moradores relataram que seu uso predominante ocorre como ansiolítico natural e no controle da hipertensão arterial. Em consonância com o estudo de Hatano </w:t>
      </w:r>
      <w:r>
        <w:rPr>
          <w:i/>
          <w:iCs/>
          <w:color w:val="000000"/>
          <w:sz w:val="24"/>
          <w:szCs w:val="24"/>
        </w:rPr>
        <w:t>et al</w:t>
      </w:r>
      <w:r>
        <w:rPr>
          <w:color w:val="000000"/>
          <w:sz w:val="24"/>
          <w:szCs w:val="24"/>
        </w:rPr>
        <w:t xml:space="preserve">. (2012), durante tratamento in vivo realizado com o óleo essencial de </w:t>
      </w:r>
      <w:r>
        <w:rPr>
          <w:i/>
          <w:iCs/>
          <w:color w:val="000000"/>
          <w:sz w:val="24"/>
          <w:szCs w:val="24"/>
        </w:rPr>
        <w:t>L. Alba</w:t>
      </w:r>
      <w:r>
        <w:rPr>
          <w:color w:val="000000"/>
          <w:sz w:val="24"/>
          <w:szCs w:val="24"/>
        </w:rPr>
        <w:t xml:space="preserve"> em ratos machos da espécie Wistar, foi identificado que o monoterpeno (R)-(-)-carvona é o principal composto químico associado ao efeito calmante. Esse metabólito atua na redução da excitabilidade do sistema nervoso central, apresentando efeitos semelhantes aos do fármaco Diazepam, amplamente utilizado no tratamento de transtornos ansiosos. Dessa forma, observa-se que o óleo essencial dessa espécie vegetal revela potencial terapêutico promissor no manejo da ansiedade, especialmente no transtorno de ansiedade generalizada.</w:t>
      </w:r>
    </w:p>
    <w:p w14:paraId="2405307B" w14:textId="556CA807" w:rsidR="00F232B6" w:rsidRDefault="00000000">
      <w:pPr>
        <w:widowControl/>
        <w:pBdr>
          <w:top w:val="nil"/>
          <w:left w:val="nil"/>
          <w:bottom w:val="nil"/>
          <w:right w:val="nil"/>
          <w:between w:val="nil"/>
        </w:pBdr>
        <w:spacing w:line="360" w:lineRule="auto"/>
        <w:ind w:firstLine="709"/>
        <w:jc w:val="both"/>
        <w:rPr>
          <w:color w:val="000000"/>
          <w:sz w:val="24"/>
          <w:szCs w:val="24"/>
        </w:rPr>
      </w:pPr>
      <w:r>
        <w:rPr>
          <w:color w:val="000000"/>
          <w:sz w:val="24"/>
          <w:szCs w:val="24"/>
        </w:rPr>
        <w:t xml:space="preserve">Para os efeitos anti-hipertensivos da </w:t>
      </w:r>
      <w:r>
        <w:rPr>
          <w:i/>
          <w:iCs/>
          <w:color w:val="000000"/>
          <w:sz w:val="24"/>
          <w:szCs w:val="24"/>
        </w:rPr>
        <w:t>Lippia alba</w:t>
      </w:r>
      <w:r>
        <w:rPr>
          <w:color w:val="000000"/>
          <w:sz w:val="24"/>
          <w:szCs w:val="24"/>
        </w:rPr>
        <w:t xml:space="preserve">, Silva </w:t>
      </w:r>
      <w:r>
        <w:rPr>
          <w:i/>
          <w:iCs/>
          <w:color w:val="000000"/>
          <w:sz w:val="24"/>
          <w:szCs w:val="24"/>
        </w:rPr>
        <w:t>et al</w:t>
      </w:r>
      <w:r>
        <w:rPr>
          <w:color w:val="000000"/>
          <w:sz w:val="24"/>
          <w:szCs w:val="24"/>
        </w:rPr>
        <w:t xml:space="preserve">. (2022) relata que o monoterpeno citronelol é o componente químico que está diretamente ligado aos efeitos de redução da pressão sanguínea apresentados pela </w:t>
      </w:r>
      <w:r>
        <w:rPr>
          <w:i/>
          <w:iCs/>
          <w:color w:val="000000"/>
          <w:sz w:val="24"/>
          <w:szCs w:val="24"/>
        </w:rPr>
        <w:t>L. alba</w:t>
      </w:r>
      <w:r>
        <w:rPr>
          <w:color w:val="000000"/>
          <w:sz w:val="24"/>
          <w:szCs w:val="24"/>
        </w:rPr>
        <w:t>. Essa substância age no músculo vascular promovendo uma vasodilatação e um relaxamento muscular diminuindo a resistência ao fluxo sanguíneo. Nesse sentido, a partir dos dados obtidos, observa-se que essa planta tem propriedades farmacológicas que impactam diretamente na redução da pressão arterial</w:t>
      </w:r>
      <w:r w:rsidR="00FF12C0">
        <w:rPr>
          <w:color w:val="000000"/>
          <w:sz w:val="24"/>
          <w:szCs w:val="24"/>
        </w:rPr>
        <w:t>, corroborando a informação mencionada pelos moradores</w:t>
      </w:r>
      <w:r>
        <w:rPr>
          <w:color w:val="000000"/>
          <w:sz w:val="24"/>
          <w:szCs w:val="24"/>
        </w:rPr>
        <w:t xml:space="preserve">. </w:t>
      </w:r>
    </w:p>
    <w:p w14:paraId="762193E1" w14:textId="77777777" w:rsidR="00F232B6" w:rsidRDefault="00000000">
      <w:pPr>
        <w:widowControl/>
        <w:pBdr>
          <w:top w:val="nil"/>
          <w:left w:val="nil"/>
          <w:bottom w:val="nil"/>
          <w:right w:val="nil"/>
          <w:between w:val="nil"/>
        </w:pBdr>
        <w:spacing w:line="360" w:lineRule="auto"/>
        <w:ind w:firstLine="709"/>
        <w:jc w:val="both"/>
        <w:rPr>
          <w:color w:val="000000"/>
          <w:sz w:val="24"/>
          <w:szCs w:val="24"/>
        </w:rPr>
      </w:pPr>
      <w:r>
        <w:rPr>
          <w:color w:val="000000"/>
          <w:sz w:val="24"/>
          <w:szCs w:val="24"/>
        </w:rPr>
        <w:t xml:space="preserve">No caso de </w:t>
      </w:r>
      <w:r>
        <w:rPr>
          <w:i/>
          <w:iCs/>
          <w:color w:val="000000"/>
          <w:sz w:val="24"/>
          <w:szCs w:val="24"/>
        </w:rPr>
        <w:t>Costus spicatus</w:t>
      </w:r>
      <w:r>
        <w:rPr>
          <w:color w:val="000000"/>
          <w:sz w:val="24"/>
          <w:szCs w:val="24"/>
        </w:rPr>
        <w:t xml:space="preserve">, foi relatado que seu uso mais recorrente está associado ao tratamento de infecções urinárias, o que corrobora os achados de Uliana </w:t>
      </w:r>
      <w:r>
        <w:rPr>
          <w:i/>
          <w:iCs/>
          <w:color w:val="000000"/>
          <w:sz w:val="24"/>
          <w:szCs w:val="24"/>
        </w:rPr>
        <w:t>et al</w:t>
      </w:r>
      <w:r>
        <w:rPr>
          <w:color w:val="000000"/>
          <w:sz w:val="24"/>
          <w:szCs w:val="24"/>
        </w:rPr>
        <w:t xml:space="preserve">. (2015), que identificaram a presença de ácidos fenólicos (ferúlico e cafeico) e flavonoides (quercetina e apigenina) nas partes vegetativas da espécie, compostos que constituem os principais indicativos de sua atividade antimicrobiana. Esses metabólitos apresentam forte ação contra </w:t>
      </w:r>
      <w:r>
        <w:rPr>
          <w:i/>
          <w:iCs/>
          <w:color w:val="000000"/>
          <w:sz w:val="24"/>
          <w:szCs w:val="24"/>
        </w:rPr>
        <w:t>Escherichia coli</w:t>
      </w:r>
      <w:r>
        <w:rPr>
          <w:color w:val="000000"/>
          <w:sz w:val="24"/>
          <w:szCs w:val="24"/>
        </w:rPr>
        <w:t xml:space="preserve">, </w:t>
      </w:r>
      <w:r>
        <w:rPr>
          <w:i/>
          <w:iCs/>
          <w:color w:val="000000"/>
          <w:sz w:val="24"/>
          <w:szCs w:val="24"/>
        </w:rPr>
        <w:t>Staphylococcus aureus</w:t>
      </w:r>
      <w:r>
        <w:rPr>
          <w:color w:val="000000"/>
          <w:sz w:val="24"/>
          <w:szCs w:val="24"/>
        </w:rPr>
        <w:t xml:space="preserve"> e </w:t>
      </w:r>
      <w:r>
        <w:rPr>
          <w:i/>
          <w:iCs/>
          <w:color w:val="000000"/>
          <w:sz w:val="24"/>
          <w:szCs w:val="24"/>
        </w:rPr>
        <w:t>Candida albicans</w:t>
      </w:r>
      <w:r>
        <w:rPr>
          <w:color w:val="000000"/>
          <w:sz w:val="24"/>
          <w:szCs w:val="24"/>
        </w:rPr>
        <w:t xml:space="preserve">, microrganismos comumente associados a infecções do trato urinário. A atividade biológica dessas substâncias compromete a integridade da membrana celular dos patógenos, resultando na perda de constituintes essenciais ao seu desenvolvimento. Além disso, embora o destaque recaia sobre os fenólicos e flavonoides, Paes, Mendonça e Casas (2013) ressaltam que a classe das saponinas também </w:t>
      </w:r>
      <w:r>
        <w:rPr>
          <w:color w:val="000000"/>
          <w:sz w:val="24"/>
          <w:szCs w:val="24"/>
        </w:rPr>
        <w:lastRenderedPageBreak/>
        <w:t>exerce efeito antimicrobiano e diurético, contribuindo para a eficácia do tratamento dessa enfermidade.</w:t>
      </w:r>
    </w:p>
    <w:p w14:paraId="01331D99" w14:textId="77777777" w:rsidR="00F232B6" w:rsidRDefault="00000000">
      <w:pPr>
        <w:widowControl/>
        <w:pBdr>
          <w:top w:val="nil"/>
          <w:left w:val="nil"/>
          <w:bottom w:val="nil"/>
          <w:right w:val="nil"/>
          <w:between w:val="nil"/>
        </w:pBdr>
        <w:spacing w:line="360" w:lineRule="auto"/>
        <w:ind w:firstLine="709"/>
        <w:jc w:val="both"/>
        <w:rPr>
          <w:color w:val="000000"/>
          <w:sz w:val="24"/>
          <w:szCs w:val="24"/>
        </w:rPr>
      </w:pPr>
      <w:r>
        <w:rPr>
          <w:color w:val="000000"/>
          <w:sz w:val="24"/>
          <w:szCs w:val="24"/>
        </w:rPr>
        <w:t xml:space="preserve">No que se refere a </w:t>
      </w:r>
      <w:r>
        <w:rPr>
          <w:i/>
          <w:iCs/>
          <w:color w:val="000000"/>
          <w:sz w:val="24"/>
          <w:szCs w:val="24"/>
        </w:rPr>
        <w:t>Justicia secunda</w:t>
      </w:r>
      <w:r>
        <w:rPr>
          <w:color w:val="000000"/>
          <w:sz w:val="24"/>
          <w:szCs w:val="24"/>
        </w:rPr>
        <w:t xml:space="preserve"> Vahl, os moradores relataram que sua principal função etnofarmacológica está associada ao tratamento de quadros de anemia. De acordo com Bayengue </w:t>
      </w:r>
      <w:r>
        <w:rPr>
          <w:i/>
          <w:iCs/>
          <w:color w:val="000000"/>
          <w:sz w:val="24"/>
          <w:szCs w:val="24"/>
        </w:rPr>
        <w:t>et al</w:t>
      </w:r>
      <w:r>
        <w:rPr>
          <w:color w:val="000000"/>
          <w:sz w:val="24"/>
          <w:szCs w:val="24"/>
        </w:rPr>
        <w:t>. (2025), o efeito anti-anêmico da espécie pode estar relacionado à presença de minerais, especialmente o ferro (Fe), essencial para a produção de hemoglobina. Ademais, o polifenol 4,5-di-O-cafeoilquínico é apontado como um dos compostos mais relevantes, por reduzir o estresse oxidativo nos glóbulos vermelhos e auxiliar na recuperação sanguínea. Entretanto, a ação farmacológica da planta é atribuída, sobretudo, ao seu conteúdo mineral, que contribui diretamente para o manejo dessa patologia.</w:t>
      </w:r>
    </w:p>
    <w:p w14:paraId="210317A1" w14:textId="77777777" w:rsidR="00F232B6" w:rsidRDefault="00000000">
      <w:pPr>
        <w:widowControl/>
        <w:pBdr>
          <w:top w:val="nil"/>
          <w:left w:val="nil"/>
          <w:bottom w:val="nil"/>
          <w:right w:val="nil"/>
          <w:between w:val="nil"/>
        </w:pBdr>
        <w:spacing w:line="360" w:lineRule="auto"/>
        <w:ind w:firstLine="709"/>
        <w:jc w:val="both"/>
        <w:rPr>
          <w:color w:val="000000"/>
          <w:sz w:val="24"/>
          <w:szCs w:val="24"/>
        </w:rPr>
      </w:pPr>
      <w:r>
        <w:rPr>
          <w:color w:val="000000"/>
          <w:sz w:val="24"/>
          <w:szCs w:val="24"/>
        </w:rPr>
        <w:t xml:space="preserve">Outra espécie relatada durante as entrevistas, também utilizada no tratamento da anemia, foi </w:t>
      </w:r>
      <w:r>
        <w:rPr>
          <w:i/>
          <w:iCs/>
          <w:color w:val="000000"/>
          <w:sz w:val="24"/>
          <w:szCs w:val="24"/>
        </w:rPr>
        <w:t>Fridericia chica</w:t>
      </w:r>
      <w:r>
        <w:rPr>
          <w:color w:val="000000"/>
          <w:sz w:val="24"/>
          <w:szCs w:val="24"/>
        </w:rPr>
        <w:t xml:space="preserve"> (antiga </w:t>
      </w:r>
      <w:r>
        <w:rPr>
          <w:i/>
          <w:iCs/>
          <w:color w:val="000000"/>
          <w:sz w:val="24"/>
          <w:szCs w:val="24"/>
        </w:rPr>
        <w:t>Arrabidaea chica</w:t>
      </w:r>
      <w:r>
        <w:rPr>
          <w:color w:val="000000"/>
          <w:sz w:val="24"/>
          <w:szCs w:val="24"/>
        </w:rPr>
        <w:t xml:space="preserve">). Conforme o estudo de Ferreira </w:t>
      </w:r>
      <w:r>
        <w:rPr>
          <w:i/>
          <w:iCs/>
          <w:color w:val="000000"/>
          <w:sz w:val="24"/>
          <w:szCs w:val="24"/>
        </w:rPr>
        <w:t>et al</w:t>
      </w:r>
      <w:r>
        <w:rPr>
          <w:color w:val="000000"/>
          <w:sz w:val="24"/>
          <w:szCs w:val="24"/>
        </w:rPr>
        <w:t xml:space="preserve">. (2016), assim como a espécie anterior, </w:t>
      </w:r>
      <w:r>
        <w:rPr>
          <w:i/>
          <w:iCs/>
          <w:color w:val="000000"/>
          <w:sz w:val="24"/>
          <w:szCs w:val="24"/>
        </w:rPr>
        <w:t>F. chica</w:t>
      </w:r>
      <w:r>
        <w:rPr>
          <w:color w:val="000000"/>
          <w:sz w:val="24"/>
          <w:szCs w:val="24"/>
        </w:rPr>
        <w:t xml:space="preserve"> apresenta concentrações significativas de ferro em suas folhas, fator que justifica seu emprego na recomposição sanguínea. Contudo, seus compostos bioativos, principalmente os flavonoides carajurina, carajurona e 3-desoxiantocianidinas, destacam-se pela atividade antioxidante e anti-inflamatória, conferindo-lhe propriedades terapêuticas adicionais. A relação dessa espécie com o tratamento da anemia decorre, sobretudo, do teor de ferro, fundamental para a manutenção da corrente sanguínea.</w:t>
      </w:r>
    </w:p>
    <w:p w14:paraId="0EAE32F1" w14:textId="77777777" w:rsidR="00F232B6" w:rsidRDefault="00000000">
      <w:pPr>
        <w:widowControl/>
        <w:pBdr>
          <w:top w:val="nil"/>
          <w:left w:val="nil"/>
          <w:bottom w:val="nil"/>
          <w:right w:val="nil"/>
          <w:between w:val="nil"/>
        </w:pBdr>
        <w:spacing w:line="360" w:lineRule="auto"/>
        <w:ind w:firstLine="709"/>
        <w:jc w:val="both"/>
        <w:rPr>
          <w:color w:val="000000"/>
          <w:sz w:val="24"/>
          <w:szCs w:val="24"/>
        </w:rPr>
      </w:pPr>
      <w:r>
        <w:rPr>
          <w:color w:val="000000"/>
          <w:sz w:val="24"/>
          <w:szCs w:val="24"/>
        </w:rPr>
        <w:t xml:space="preserve">Em relação a </w:t>
      </w:r>
      <w:r>
        <w:rPr>
          <w:i/>
          <w:iCs/>
          <w:color w:val="000000"/>
          <w:sz w:val="24"/>
          <w:szCs w:val="24"/>
        </w:rPr>
        <w:t>Pogostemon heyneanus</w:t>
      </w:r>
      <w:r>
        <w:rPr>
          <w:color w:val="000000"/>
          <w:sz w:val="24"/>
          <w:szCs w:val="24"/>
        </w:rPr>
        <w:t xml:space="preserve">, verificou-se que, segundo os moradores, seu uso não está voltado a finalidades medicinais, mas sim a práticas ritualísticas, especialmente na preparação de banhos aromáticos, conhecidos popularmente como “cheiro de patchouli”. Esse aspecto foi evidenciado pelo relato do morador B: </w:t>
      </w:r>
      <w:r>
        <w:rPr>
          <w:i/>
          <w:iCs/>
          <w:color w:val="000000"/>
          <w:sz w:val="24"/>
          <w:szCs w:val="24"/>
        </w:rPr>
        <w:t>“Nós fazemos muito o banho dessa planta, ela ajuda a atrair boas energias, conquistas, tudo de bom para a nossa vida”</w:t>
      </w:r>
      <w:r>
        <w:rPr>
          <w:color w:val="000000"/>
          <w:sz w:val="24"/>
          <w:szCs w:val="24"/>
        </w:rPr>
        <w:t xml:space="preserve">. De acordo com Rathnasekara </w:t>
      </w:r>
      <w:r>
        <w:rPr>
          <w:i/>
          <w:iCs/>
          <w:color w:val="000000"/>
          <w:sz w:val="24"/>
          <w:szCs w:val="24"/>
        </w:rPr>
        <w:t>et al</w:t>
      </w:r>
      <w:r>
        <w:rPr>
          <w:color w:val="000000"/>
          <w:sz w:val="24"/>
          <w:szCs w:val="24"/>
        </w:rPr>
        <w:t xml:space="preserve">. (2023), o odor característico de </w:t>
      </w:r>
      <w:r>
        <w:rPr>
          <w:i/>
          <w:iCs/>
          <w:color w:val="000000"/>
          <w:sz w:val="24"/>
          <w:szCs w:val="24"/>
        </w:rPr>
        <w:t>P. heyneanus</w:t>
      </w:r>
      <w:r>
        <w:rPr>
          <w:color w:val="000000"/>
          <w:sz w:val="24"/>
          <w:szCs w:val="24"/>
        </w:rPr>
        <w:t xml:space="preserve"> é atribuído ao terpeno patchoulol, composto que, além da finalidade aromática, apresenta potencial farmacológico, incluindo atividades antimicrobiana e antioxidante. Isso demonstra que, embora seja utilizada principalmente em contextos ritualísticos, a espécie possui relevância etnofarmacológica e pode contribuir para práticas terapêuticas ancestrais.</w:t>
      </w:r>
    </w:p>
    <w:p w14:paraId="4BE4F00D" w14:textId="77777777" w:rsidR="00F232B6" w:rsidRDefault="00000000">
      <w:pPr>
        <w:widowControl/>
        <w:pBdr>
          <w:top w:val="nil"/>
          <w:left w:val="nil"/>
          <w:bottom w:val="nil"/>
          <w:right w:val="nil"/>
          <w:between w:val="nil"/>
        </w:pBdr>
        <w:spacing w:line="360" w:lineRule="auto"/>
        <w:ind w:firstLine="709"/>
        <w:jc w:val="both"/>
        <w:rPr>
          <w:color w:val="000000"/>
          <w:sz w:val="24"/>
          <w:szCs w:val="24"/>
        </w:rPr>
      </w:pPr>
      <w:r>
        <w:rPr>
          <w:color w:val="000000"/>
          <w:sz w:val="24"/>
          <w:szCs w:val="24"/>
        </w:rPr>
        <w:t xml:space="preserve">Dessa forma, observa-se que essas espécies evidenciam não apenas a riqueza etnofarmacológica da comunidade, mas também sua importância cultural, ressaltando a </w:t>
      </w:r>
      <w:r>
        <w:rPr>
          <w:color w:val="000000"/>
          <w:sz w:val="24"/>
          <w:szCs w:val="24"/>
        </w:rPr>
        <w:lastRenderedPageBreak/>
        <w:t>necessidade de preservar o saber tradicional e fomentar pesquisas em localidades detentoras desse conhecimento.</w:t>
      </w:r>
    </w:p>
    <w:p w14:paraId="28D9F02A" w14:textId="77777777" w:rsidR="00F232B6" w:rsidRDefault="00F232B6">
      <w:pPr>
        <w:widowControl/>
        <w:pBdr>
          <w:top w:val="nil"/>
          <w:left w:val="nil"/>
          <w:bottom w:val="nil"/>
          <w:right w:val="nil"/>
          <w:between w:val="nil"/>
        </w:pBdr>
        <w:spacing w:line="360" w:lineRule="auto"/>
        <w:ind w:firstLine="709"/>
        <w:jc w:val="both"/>
        <w:rPr>
          <w:color w:val="000000"/>
          <w:sz w:val="24"/>
          <w:szCs w:val="24"/>
        </w:rPr>
      </w:pPr>
    </w:p>
    <w:p w14:paraId="4BDF375A" w14:textId="77777777" w:rsidR="00F232B6" w:rsidRDefault="00000000">
      <w:pPr>
        <w:widowControl/>
        <w:tabs>
          <w:tab w:val="left" w:pos="1290"/>
        </w:tabs>
        <w:spacing w:after="160" w:line="259" w:lineRule="auto"/>
        <w:jc w:val="both"/>
        <w:rPr>
          <w:sz w:val="28"/>
          <w:szCs w:val="28"/>
        </w:rPr>
      </w:pPr>
      <w:r>
        <w:rPr>
          <w:b/>
          <w:bCs/>
          <w:sz w:val="24"/>
          <w:szCs w:val="24"/>
        </w:rPr>
        <w:t>4. CONSIDERAÇÕES FINAIS</w:t>
      </w:r>
    </w:p>
    <w:p w14:paraId="4D5B4519" w14:textId="77777777" w:rsidR="00F232B6" w:rsidRDefault="00000000">
      <w:pPr>
        <w:widowControl/>
        <w:tabs>
          <w:tab w:val="left" w:pos="699"/>
        </w:tabs>
        <w:spacing w:after="160" w:line="360" w:lineRule="auto"/>
        <w:ind w:firstLine="709"/>
        <w:jc w:val="both"/>
        <w:rPr>
          <w:sz w:val="24"/>
          <w:szCs w:val="24"/>
        </w:rPr>
      </w:pPr>
      <w:r>
        <w:rPr>
          <w:sz w:val="24"/>
          <w:szCs w:val="24"/>
        </w:rPr>
        <w:t>O presente trabalho teve como objetivo estudar e compreender o conhecimento etnofarmacológico da comunidade de Itacuruçá, registrando as plantas medicinais utilizadas e correlacionando o saber tradicional com a constituição química descrita na literatura científica. Essa integração evidenciou a riqueza do conhecimento local e valorizou a farmacologia tradicional como prática relevante para o cuidado e o bem-estar. A catalogação das espécies revelou compostos bioativos como monoterpenos, flavonoides, fenólicos, saponinas e minerais, que confirmam a eficácia atribuída a essas plantas no tratamento de diferentes enfermidades. Os resultados mostram que esse conhecimento constitui um patrimônio coletivo que preserva saberes ancestrais e mantém forte vínculo com o ambiente natural, reforçando a importância do diálogo entre tradição e ciência para a valorização cultural e conservação das espécies. Espera-se que o estudo inspire novas investigações e fomente projetos que fortaleçam a relação entre comunidades e pesquisadores, promovendo a preservação e difusão desse conhecimento.</w:t>
      </w:r>
    </w:p>
    <w:p w14:paraId="41769BE9" w14:textId="77777777" w:rsidR="00F232B6" w:rsidRDefault="00F232B6">
      <w:pPr>
        <w:widowControl/>
        <w:tabs>
          <w:tab w:val="left" w:pos="699"/>
        </w:tabs>
        <w:spacing w:after="160" w:line="360" w:lineRule="auto"/>
        <w:ind w:firstLine="709"/>
        <w:jc w:val="both"/>
        <w:rPr>
          <w:sz w:val="24"/>
          <w:szCs w:val="24"/>
        </w:rPr>
      </w:pPr>
    </w:p>
    <w:p w14:paraId="7E480C96" w14:textId="77777777" w:rsidR="00F232B6" w:rsidRPr="00FF12C0" w:rsidRDefault="00000000">
      <w:pPr>
        <w:widowControl/>
        <w:tabs>
          <w:tab w:val="left" w:pos="699"/>
        </w:tabs>
        <w:spacing w:after="160" w:line="360" w:lineRule="auto"/>
        <w:jc w:val="both"/>
        <w:rPr>
          <w:color w:val="FF0000"/>
          <w:sz w:val="24"/>
          <w:szCs w:val="24"/>
          <w:lang w:val="en-US"/>
        </w:rPr>
      </w:pPr>
      <w:r w:rsidRPr="00FF12C0">
        <w:rPr>
          <w:b/>
          <w:bCs/>
          <w:sz w:val="24"/>
          <w:szCs w:val="24"/>
          <w:lang w:val="en-US"/>
        </w:rPr>
        <w:t xml:space="preserve">REFERÊNCIAS </w:t>
      </w:r>
    </w:p>
    <w:p w14:paraId="2D17D99E" w14:textId="77777777" w:rsidR="00F232B6" w:rsidRPr="00FF12C0" w:rsidRDefault="00000000">
      <w:pPr>
        <w:widowControl/>
        <w:rPr>
          <w:color w:val="222222"/>
          <w:sz w:val="24"/>
          <w:szCs w:val="24"/>
          <w:lang w:val="en-US"/>
        </w:rPr>
      </w:pPr>
      <w:bookmarkStart w:id="0" w:name="_k9iwcetardyh" w:colFirst="0" w:colLast="0"/>
      <w:bookmarkEnd w:id="0"/>
      <w:r w:rsidRPr="00FF12C0">
        <w:rPr>
          <w:color w:val="222222"/>
          <w:sz w:val="24"/>
          <w:szCs w:val="24"/>
          <w:lang w:val="en-US"/>
        </w:rPr>
        <w:t xml:space="preserve">BAYENGUE, S. S. B.; YAMTHE, R. L. T.; KOULIAGNIGNI, P. M.; POUAHA, C. L. C.; KOWA, T. K.; FOKO, L. P. K.; KOGNOU, A. L. M.; TOUKAM, P.; ETONO, C. E. A.; NDIP, N. R.; AGBOR, G. A.; NGANE, R. A. N.; TCHIEGANG, C. Potential of </w:t>
      </w:r>
      <w:proofErr w:type="spellStart"/>
      <w:r w:rsidRPr="00FF12C0">
        <w:rPr>
          <w:color w:val="222222"/>
          <w:sz w:val="24"/>
          <w:szCs w:val="24"/>
          <w:lang w:val="en-US"/>
        </w:rPr>
        <w:t>justicia</w:t>
      </w:r>
      <w:proofErr w:type="spellEnd"/>
      <w:r w:rsidRPr="00FF12C0">
        <w:rPr>
          <w:color w:val="222222"/>
          <w:sz w:val="24"/>
          <w:szCs w:val="24"/>
          <w:lang w:val="en-US"/>
        </w:rPr>
        <w:t xml:space="preserve"> secunda vahl beverage against anemia and its correlated factors, malaria and infectious diarrhea. </w:t>
      </w:r>
      <w:r w:rsidRPr="00FF12C0">
        <w:rPr>
          <w:b/>
          <w:bCs/>
          <w:color w:val="222222"/>
          <w:sz w:val="24"/>
          <w:szCs w:val="24"/>
          <w:lang w:val="en-US"/>
        </w:rPr>
        <w:t>European Journal of Nutrition and Food Safety</w:t>
      </w:r>
      <w:r w:rsidRPr="00FF12C0">
        <w:rPr>
          <w:color w:val="222222"/>
          <w:sz w:val="24"/>
          <w:szCs w:val="24"/>
          <w:lang w:val="en-US"/>
        </w:rPr>
        <w:t>, v. 17, n. 3, p. 240-251, 2025.</w:t>
      </w:r>
    </w:p>
    <w:p w14:paraId="07045772" w14:textId="77777777" w:rsidR="00F232B6" w:rsidRPr="00FF12C0" w:rsidRDefault="00F232B6">
      <w:pPr>
        <w:widowControl/>
        <w:rPr>
          <w:color w:val="222222"/>
          <w:sz w:val="24"/>
          <w:szCs w:val="24"/>
          <w:lang w:val="en-US"/>
        </w:rPr>
      </w:pPr>
    </w:p>
    <w:p w14:paraId="4C9B6A1C" w14:textId="77777777" w:rsidR="00F232B6" w:rsidRDefault="00000000">
      <w:pPr>
        <w:widowControl/>
        <w:rPr>
          <w:color w:val="222222"/>
          <w:sz w:val="24"/>
          <w:szCs w:val="24"/>
        </w:rPr>
      </w:pPr>
      <w:r>
        <w:rPr>
          <w:color w:val="222222"/>
          <w:sz w:val="24"/>
          <w:szCs w:val="24"/>
        </w:rPr>
        <w:t xml:space="preserve">FERREIRA, F. A. G.; SILVA, F. C.; CARVALHO, C. M.; COSTA, J. C.; FERREIRA, J. M. </w:t>
      </w:r>
      <w:proofErr w:type="gramStart"/>
      <w:r>
        <w:rPr>
          <w:color w:val="222222"/>
          <w:sz w:val="24"/>
          <w:szCs w:val="24"/>
        </w:rPr>
        <w:t>R..</w:t>
      </w:r>
      <w:proofErr w:type="gramEnd"/>
      <w:r>
        <w:rPr>
          <w:color w:val="222222"/>
          <w:sz w:val="24"/>
          <w:szCs w:val="24"/>
        </w:rPr>
        <w:t xml:space="preserve"> Perfil hematológico e bioquímico </w:t>
      </w:r>
      <w:proofErr w:type="spellStart"/>
      <w:r>
        <w:rPr>
          <w:color w:val="222222"/>
          <w:sz w:val="24"/>
          <w:szCs w:val="24"/>
        </w:rPr>
        <w:t>plasmáticode</w:t>
      </w:r>
      <w:proofErr w:type="spellEnd"/>
      <w:r>
        <w:rPr>
          <w:color w:val="222222"/>
          <w:sz w:val="24"/>
          <w:szCs w:val="24"/>
        </w:rPr>
        <w:t xml:space="preserve"> camundongos após ingestão da planta Arrabidaea chica. </w:t>
      </w:r>
      <w:r>
        <w:rPr>
          <w:b/>
          <w:bCs/>
          <w:color w:val="222222"/>
          <w:sz w:val="24"/>
          <w:szCs w:val="24"/>
        </w:rPr>
        <w:t>Scientia Plena</w:t>
      </w:r>
      <w:r>
        <w:rPr>
          <w:color w:val="222222"/>
          <w:sz w:val="24"/>
          <w:szCs w:val="24"/>
        </w:rPr>
        <w:t>, 2016.</w:t>
      </w:r>
    </w:p>
    <w:p w14:paraId="014288C5" w14:textId="77777777" w:rsidR="00F232B6" w:rsidRDefault="00F232B6">
      <w:pPr>
        <w:widowControl/>
        <w:rPr>
          <w:color w:val="222222"/>
          <w:sz w:val="24"/>
          <w:szCs w:val="24"/>
        </w:rPr>
      </w:pPr>
    </w:p>
    <w:p w14:paraId="7085A3D0" w14:textId="77777777" w:rsidR="00F232B6" w:rsidRPr="00FF12C0" w:rsidRDefault="00000000">
      <w:pPr>
        <w:widowControl/>
        <w:rPr>
          <w:color w:val="222222"/>
          <w:sz w:val="24"/>
          <w:szCs w:val="24"/>
          <w:lang w:val="en-US"/>
        </w:rPr>
      </w:pPr>
      <w:r>
        <w:rPr>
          <w:color w:val="222222"/>
          <w:sz w:val="24"/>
          <w:szCs w:val="24"/>
        </w:rPr>
        <w:t xml:space="preserve">FISCHER, C. H.; STUMPF, E. R. T.; MARIOT, M. P. A construção de uma prática pedagógica a partir do conhecimento familiar sobre plantas medicinais. </w:t>
      </w:r>
      <w:proofErr w:type="spellStart"/>
      <w:r w:rsidRPr="00FF12C0">
        <w:rPr>
          <w:b/>
          <w:bCs/>
          <w:color w:val="222222"/>
          <w:sz w:val="24"/>
          <w:szCs w:val="24"/>
          <w:lang w:val="en-US"/>
        </w:rPr>
        <w:t>Revista</w:t>
      </w:r>
      <w:proofErr w:type="spellEnd"/>
      <w:r w:rsidRPr="00FF12C0">
        <w:rPr>
          <w:b/>
          <w:bCs/>
          <w:color w:val="222222"/>
          <w:sz w:val="24"/>
          <w:szCs w:val="24"/>
          <w:lang w:val="en-US"/>
        </w:rPr>
        <w:t xml:space="preserve"> </w:t>
      </w:r>
      <w:proofErr w:type="spellStart"/>
      <w:r w:rsidRPr="00FF12C0">
        <w:rPr>
          <w:b/>
          <w:bCs/>
          <w:color w:val="222222"/>
          <w:sz w:val="24"/>
          <w:szCs w:val="24"/>
          <w:lang w:val="en-US"/>
        </w:rPr>
        <w:t>Educar</w:t>
      </w:r>
      <w:proofErr w:type="spellEnd"/>
      <w:r w:rsidRPr="00FF12C0">
        <w:rPr>
          <w:b/>
          <w:bCs/>
          <w:color w:val="222222"/>
          <w:sz w:val="24"/>
          <w:szCs w:val="24"/>
          <w:lang w:val="en-US"/>
        </w:rPr>
        <w:t xml:space="preserve"> Mais</w:t>
      </w:r>
      <w:r w:rsidRPr="00FF12C0">
        <w:rPr>
          <w:color w:val="222222"/>
          <w:sz w:val="24"/>
          <w:szCs w:val="24"/>
          <w:lang w:val="en-US"/>
        </w:rPr>
        <w:t>, v. 3, n. 1, p. 56-68, 2019.</w:t>
      </w:r>
    </w:p>
    <w:p w14:paraId="51EA4FE2" w14:textId="77777777" w:rsidR="00F232B6" w:rsidRPr="00FF12C0" w:rsidRDefault="00F232B6">
      <w:pPr>
        <w:widowControl/>
        <w:rPr>
          <w:color w:val="222222"/>
          <w:sz w:val="24"/>
          <w:szCs w:val="24"/>
          <w:lang w:val="en-US"/>
        </w:rPr>
      </w:pPr>
    </w:p>
    <w:p w14:paraId="25077715" w14:textId="77777777" w:rsidR="00F232B6" w:rsidRPr="00FF12C0" w:rsidRDefault="00000000">
      <w:pPr>
        <w:widowControl/>
        <w:rPr>
          <w:color w:val="222222"/>
          <w:sz w:val="24"/>
          <w:szCs w:val="24"/>
          <w:lang w:val="en-US"/>
        </w:rPr>
      </w:pPr>
      <w:r w:rsidRPr="00FF12C0">
        <w:rPr>
          <w:color w:val="222222"/>
          <w:sz w:val="24"/>
          <w:szCs w:val="24"/>
          <w:lang w:val="en-US"/>
        </w:rPr>
        <w:lastRenderedPageBreak/>
        <w:t xml:space="preserve">HATANO, V. Y.; TORRICELLI, A. S.; VIANA, M. B. Anxiolytic effects of repeated treatment with an essential oil from </w:t>
      </w:r>
      <w:proofErr w:type="spellStart"/>
      <w:r w:rsidRPr="00FF12C0">
        <w:rPr>
          <w:color w:val="222222"/>
          <w:sz w:val="24"/>
          <w:szCs w:val="24"/>
          <w:lang w:val="en-US"/>
        </w:rPr>
        <w:t>lippia</w:t>
      </w:r>
      <w:proofErr w:type="spellEnd"/>
      <w:r w:rsidRPr="00FF12C0">
        <w:rPr>
          <w:color w:val="222222"/>
          <w:sz w:val="24"/>
          <w:szCs w:val="24"/>
          <w:lang w:val="en-US"/>
        </w:rPr>
        <w:t xml:space="preserve"> alba and (R)</w:t>
      </w:r>
      <w:proofErr w:type="gramStart"/>
      <w:r w:rsidRPr="00FF12C0">
        <w:rPr>
          <w:color w:val="222222"/>
          <w:sz w:val="24"/>
          <w:szCs w:val="24"/>
          <w:lang w:val="en-US"/>
        </w:rPr>
        <w:t>-(</w:t>
      </w:r>
      <w:proofErr w:type="gramEnd"/>
      <w:r w:rsidRPr="00FF12C0">
        <w:rPr>
          <w:color w:val="222222"/>
          <w:sz w:val="24"/>
          <w:szCs w:val="24"/>
          <w:lang w:val="en-US"/>
        </w:rPr>
        <w:t>-)-carvone in the elevated T-maze. </w:t>
      </w:r>
      <w:r w:rsidRPr="00FF12C0">
        <w:rPr>
          <w:b/>
          <w:bCs/>
          <w:color w:val="222222"/>
          <w:sz w:val="24"/>
          <w:szCs w:val="24"/>
          <w:lang w:val="en-US"/>
        </w:rPr>
        <w:t>Brazilian Journal of Medical and Biological Research</w:t>
      </w:r>
      <w:r w:rsidRPr="00FF12C0">
        <w:rPr>
          <w:color w:val="222222"/>
          <w:sz w:val="24"/>
          <w:szCs w:val="24"/>
          <w:lang w:val="en-US"/>
        </w:rPr>
        <w:t>, v. 45, p. 238-243, 2012.</w:t>
      </w:r>
    </w:p>
    <w:p w14:paraId="2A701C46" w14:textId="77777777" w:rsidR="00F232B6" w:rsidRPr="00FF12C0" w:rsidRDefault="00F232B6">
      <w:pPr>
        <w:widowControl/>
        <w:rPr>
          <w:color w:val="222222"/>
          <w:sz w:val="24"/>
          <w:szCs w:val="24"/>
          <w:lang w:val="en-US"/>
        </w:rPr>
      </w:pPr>
    </w:p>
    <w:p w14:paraId="29F97363" w14:textId="77777777" w:rsidR="00F232B6" w:rsidRDefault="00000000">
      <w:pPr>
        <w:widowControl/>
        <w:rPr>
          <w:sz w:val="24"/>
          <w:szCs w:val="24"/>
        </w:rPr>
      </w:pPr>
      <w:r w:rsidRPr="00FF12C0">
        <w:rPr>
          <w:color w:val="222222"/>
          <w:sz w:val="24"/>
          <w:szCs w:val="24"/>
          <w:lang w:val="en-US"/>
        </w:rPr>
        <w:t>JUNIOR, L. S.; OLIVEIRA, T. V. C.; CÂNDIDO, J. F.; SANTANA, D. S.; FILHO, R. N. P.; PEREYRA, B. B. S.; GOMES, M. Z.; LIMA, S. O.; JÚNIOR R. L. C. A.; CANDIDO, E. A. F. Effects of the essential oil of Alpinia zerumbet (Pers.) BL Burtt &amp; RM Sm. on healing and tissue repair after partial Achilles tenotomy in rats. </w:t>
      </w:r>
      <w:r>
        <w:rPr>
          <w:b/>
          <w:bCs/>
          <w:color w:val="222222"/>
          <w:sz w:val="24"/>
          <w:szCs w:val="24"/>
        </w:rPr>
        <w:t xml:space="preserve">Acta </w:t>
      </w:r>
      <w:proofErr w:type="spellStart"/>
      <w:r>
        <w:rPr>
          <w:b/>
          <w:bCs/>
          <w:color w:val="222222"/>
          <w:sz w:val="24"/>
          <w:szCs w:val="24"/>
        </w:rPr>
        <w:t>Cirurgica</w:t>
      </w:r>
      <w:proofErr w:type="spellEnd"/>
      <w:r>
        <w:rPr>
          <w:b/>
          <w:bCs/>
          <w:color w:val="222222"/>
          <w:sz w:val="24"/>
          <w:szCs w:val="24"/>
        </w:rPr>
        <w:t xml:space="preserve"> Brasileira</w:t>
      </w:r>
      <w:r>
        <w:rPr>
          <w:color w:val="222222"/>
          <w:sz w:val="24"/>
          <w:szCs w:val="24"/>
        </w:rPr>
        <w:t>, v. 32, n. 06, p. 449-458, 2017.</w:t>
      </w:r>
    </w:p>
    <w:p w14:paraId="61CC5B27" w14:textId="77777777" w:rsidR="00F232B6" w:rsidRDefault="00F232B6">
      <w:pPr>
        <w:widowControl/>
        <w:rPr>
          <w:sz w:val="24"/>
          <w:szCs w:val="24"/>
        </w:rPr>
      </w:pPr>
    </w:p>
    <w:p w14:paraId="77D1DE3A" w14:textId="77777777" w:rsidR="00F232B6" w:rsidRDefault="00000000">
      <w:pPr>
        <w:widowControl/>
        <w:rPr>
          <w:sz w:val="24"/>
          <w:szCs w:val="24"/>
        </w:rPr>
      </w:pPr>
      <w:r>
        <w:rPr>
          <w:color w:val="000000"/>
          <w:sz w:val="24"/>
          <w:szCs w:val="24"/>
        </w:rPr>
        <w:t xml:space="preserve">NASCIMENTO, M. T. A.; CARVALHO, J. F. C.; SILVA, B. C. M.; CASTRO FARIAS, I. S.; CASTRO, N. J. C. Vida quilombola na comunidade de Itacuruçá, Pará. </w:t>
      </w:r>
      <w:r>
        <w:rPr>
          <w:b/>
          <w:bCs/>
          <w:color w:val="000000"/>
          <w:sz w:val="24"/>
          <w:szCs w:val="24"/>
        </w:rPr>
        <w:t>Novos Cadernos NAEA</w:t>
      </w:r>
      <w:r>
        <w:rPr>
          <w:color w:val="000000"/>
          <w:sz w:val="24"/>
          <w:szCs w:val="24"/>
        </w:rPr>
        <w:t>, v. 26, n. 2, 2023.</w:t>
      </w:r>
    </w:p>
    <w:p w14:paraId="494748F6" w14:textId="77777777" w:rsidR="00F232B6" w:rsidRDefault="00F232B6">
      <w:pPr>
        <w:widowControl/>
        <w:rPr>
          <w:sz w:val="24"/>
          <w:szCs w:val="24"/>
        </w:rPr>
      </w:pPr>
    </w:p>
    <w:p w14:paraId="4EC6E2CD" w14:textId="77777777" w:rsidR="00F232B6" w:rsidRDefault="00000000">
      <w:pPr>
        <w:widowControl/>
        <w:rPr>
          <w:sz w:val="24"/>
          <w:szCs w:val="24"/>
        </w:rPr>
      </w:pPr>
      <w:r>
        <w:rPr>
          <w:sz w:val="24"/>
          <w:szCs w:val="24"/>
        </w:rPr>
        <w:t xml:space="preserve">PAES, L. S.; MENDONÇA, M. S.; CASAS, L. L. Aspectos Estruturais e fitoquímicos de partes vegetativas de </w:t>
      </w:r>
      <w:proofErr w:type="spellStart"/>
      <w:r>
        <w:rPr>
          <w:sz w:val="24"/>
          <w:szCs w:val="24"/>
        </w:rPr>
        <w:t>costus</w:t>
      </w:r>
      <w:proofErr w:type="spellEnd"/>
      <w:r>
        <w:rPr>
          <w:sz w:val="24"/>
          <w:szCs w:val="24"/>
        </w:rPr>
        <w:t xml:space="preserve"> spicatus (</w:t>
      </w:r>
      <w:proofErr w:type="spellStart"/>
      <w:r>
        <w:rPr>
          <w:sz w:val="24"/>
          <w:szCs w:val="24"/>
        </w:rPr>
        <w:t>Jacq</w:t>
      </w:r>
      <w:proofErr w:type="spellEnd"/>
      <w:r>
        <w:rPr>
          <w:sz w:val="24"/>
          <w:szCs w:val="24"/>
        </w:rPr>
        <w:t xml:space="preserve">.) </w:t>
      </w:r>
      <w:proofErr w:type="spellStart"/>
      <w:r>
        <w:rPr>
          <w:sz w:val="24"/>
          <w:szCs w:val="24"/>
        </w:rPr>
        <w:t>Sw</w:t>
      </w:r>
      <w:proofErr w:type="spellEnd"/>
      <w:r>
        <w:rPr>
          <w:sz w:val="24"/>
          <w:szCs w:val="24"/>
        </w:rPr>
        <w:t>.(Costaceae). </w:t>
      </w:r>
      <w:r>
        <w:rPr>
          <w:b/>
          <w:bCs/>
          <w:sz w:val="24"/>
          <w:szCs w:val="24"/>
        </w:rPr>
        <w:t>Revista Brasileira de Plantas Medicinais</w:t>
      </w:r>
      <w:r>
        <w:rPr>
          <w:sz w:val="24"/>
          <w:szCs w:val="24"/>
        </w:rPr>
        <w:t>, v. 15, p. 380-390, 2013.</w:t>
      </w:r>
    </w:p>
    <w:p w14:paraId="3EF7BFB8" w14:textId="77777777" w:rsidR="00F232B6" w:rsidRDefault="00F232B6">
      <w:pPr>
        <w:widowControl/>
        <w:rPr>
          <w:sz w:val="24"/>
          <w:szCs w:val="24"/>
        </w:rPr>
      </w:pPr>
    </w:p>
    <w:p w14:paraId="4182C93D" w14:textId="77777777" w:rsidR="00F232B6" w:rsidRPr="00FF12C0" w:rsidRDefault="00000000">
      <w:pPr>
        <w:widowControl/>
        <w:rPr>
          <w:sz w:val="24"/>
          <w:szCs w:val="24"/>
          <w:lang w:val="en-US"/>
        </w:rPr>
      </w:pPr>
      <w:r w:rsidRPr="00DB2365">
        <w:rPr>
          <w:color w:val="000000"/>
          <w:sz w:val="24"/>
          <w:szCs w:val="24"/>
        </w:rPr>
        <w:t xml:space="preserve">RATHNASEKARA, H.; JAYASURIYA, W. J. A. B.; ARAWWAWALA, L. D. A.; SURESH, T. S. </w:t>
      </w:r>
      <w:proofErr w:type="spellStart"/>
      <w:r w:rsidRPr="00DB2365">
        <w:rPr>
          <w:color w:val="000000"/>
          <w:sz w:val="24"/>
          <w:szCs w:val="24"/>
        </w:rPr>
        <w:t>Ethnomedicinal</w:t>
      </w:r>
      <w:proofErr w:type="spellEnd"/>
      <w:r w:rsidRPr="00DB2365">
        <w:rPr>
          <w:color w:val="000000"/>
          <w:sz w:val="24"/>
          <w:szCs w:val="24"/>
        </w:rPr>
        <w:t xml:space="preserve">, phytochemical and </w:t>
      </w:r>
      <w:proofErr w:type="spellStart"/>
      <w:r w:rsidRPr="00DB2365">
        <w:rPr>
          <w:color w:val="000000"/>
          <w:sz w:val="24"/>
          <w:szCs w:val="24"/>
        </w:rPr>
        <w:t>pharmacological</w:t>
      </w:r>
      <w:proofErr w:type="spellEnd"/>
      <w:r w:rsidRPr="00DB2365">
        <w:rPr>
          <w:color w:val="000000"/>
          <w:sz w:val="24"/>
          <w:szCs w:val="24"/>
        </w:rPr>
        <w:t xml:space="preserve"> </w:t>
      </w:r>
      <w:proofErr w:type="spellStart"/>
      <w:r w:rsidRPr="00DB2365">
        <w:rPr>
          <w:color w:val="000000"/>
          <w:sz w:val="24"/>
          <w:szCs w:val="24"/>
        </w:rPr>
        <w:t>properties</w:t>
      </w:r>
      <w:proofErr w:type="spellEnd"/>
      <w:r w:rsidRPr="00DB2365">
        <w:rPr>
          <w:color w:val="000000"/>
          <w:sz w:val="24"/>
          <w:szCs w:val="24"/>
        </w:rPr>
        <w:t xml:space="preserve"> of Pogostemon heyneanus </w:t>
      </w:r>
      <w:proofErr w:type="spellStart"/>
      <w:r w:rsidRPr="00DB2365">
        <w:rPr>
          <w:color w:val="000000"/>
          <w:sz w:val="24"/>
          <w:szCs w:val="24"/>
        </w:rPr>
        <w:t>Benth</w:t>
      </w:r>
      <w:proofErr w:type="spellEnd"/>
      <w:r w:rsidRPr="00DB2365">
        <w:rPr>
          <w:color w:val="000000"/>
          <w:sz w:val="24"/>
          <w:szCs w:val="24"/>
        </w:rPr>
        <w:t>: A review. </w:t>
      </w:r>
      <w:r w:rsidRPr="00FF12C0">
        <w:rPr>
          <w:b/>
          <w:bCs/>
          <w:color w:val="000000"/>
          <w:sz w:val="24"/>
          <w:szCs w:val="24"/>
          <w:lang w:val="en-US"/>
        </w:rPr>
        <w:t>Indian Journal of Natural Products and Resources (IJNPR</w:t>
      </w:r>
      <w:proofErr w:type="gramStart"/>
      <w:r w:rsidRPr="00FF12C0">
        <w:rPr>
          <w:b/>
          <w:bCs/>
          <w:color w:val="000000"/>
          <w:sz w:val="24"/>
          <w:szCs w:val="24"/>
          <w:lang w:val="en-US"/>
        </w:rPr>
        <w:t>)[</w:t>
      </w:r>
      <w:proofErr w:type="gramEnd"/>
      <w:r w:rsidRPr="00FF12C0">
        <w:rPr>
          <w:b/>
          <w:bCs/>
          <w:color w:val="000000"/>
          <w:sz w:val="24"/>
          <w:szCs w:val="24"/>
          <w:lang w:val="en-US"/>
        </w:rPr>
        <w:t>Formerly Natural Product Radiance (NPR)]</w:t>
      </w:r>
      <w:r w:rsidRPr="00FF12C0">
        <w:rPr>
          <w:color w:val="000000"/>
          <w:sz w:val="24"/>
          <w:szCs w:val="24"/>
          <w:lang w:val="en-US"/>
        </w:rPr>
        <w:t>, v. 14, n. 2, p. 162-173, 2023.</w:t>
      </w:r>
    </w:p>
    <w:p w14:paraId="516F095E" w14:textId="77777777" w:rsidR="00F232B6" w:rsidRPr="00FF12C0" w:rsidRDefault="00F232B6">
      <w:pPr>
        <w:rPr>
          <w:sz w:val="24"/>
          <w:szCs w:val="24"/>
          <w:lang w:val="en-US"/>
        </w:rPr>
      </w:pPr>
    </w:p>
    <w:p w14:paraId="2BC73DAE" w14:textId="77777777" w:rsidR="00F232B6" w:rsidRDefault="00000000">
      <w:pPr>
        <w:widowControl/>
        <w:rPr>
          <w:sz w:val="24"/>
          <w:szCs w:val="24"/>
        </w:rPr>
      </w:pPr>
      <w:r>
        <w:rPr>
          <w:color w:val="000000"/>
          <w:sz w:val="24"/>
          <w:szCs w:val="24"/>
        </w:rPr>
        <w:t xml:space="preserve">RODRIGUES, E.; OLIVEIRA, D. R. Ethnopharmacology: a </w:t>
      </w:r>
      <w:proofErr w:type="spellStart"/>
      <w:r>
        <w:rPr>
          <w:color w:val="000000"/>
          <w:sz w:val="24"/>
          <w:szCs w:val="24"/>
        </w:rPr>
        <w:t>laboratory</w:t>
      </w:r>
      <w:proofErr w:type="spellEnd"/>
      <w:r>
        <w:rPr>
          <w:color w:val="000000"/>
          <w:sz w:val="24"/>
          <w:szCs w:val="24"/>
        </w:rPr>
        <w:t xml:space="preserve"> </w:t>
      </w:r>
      <w:proofErr w:type="spellStart"/>
      <w:r>
        <w:rPr>
          <w:color w:val="000000"/>
          <w:sz w:val="24"/>
          <w:szCs w:val="24"/>
        </w:rPr>
        <w:t>science</w:t>
      </w:r>
      <w:proofErr w:type="spellEnd"/>
      <w:r>
        <w:rPr>
          <w:color w:val="000000"/>
          <w:sz w:val="24"/>
          <w:szCs w:val="24"/>
        </w:rPr>
        <w:t xml:space="preserve">? </w:t>
      </w:r>
      <w:proofErr w:type="spellStart"/>
      <w:r>
        <w:rPr>
          <w:b/>
          <w:bCs/>
          <w:color w:val="000000"/>
          <w:sz w:val="24"/>
          <w:szCs w:val="24"/>
        </w:rPr>
        <w:t>Rodriguésia</w:t>
      </w:r>
      <w:proofErr w:type="spellEnd"/>
      <w:r>
        <w:rPr>
          <w:color w:val="000000"/>
          <w:sz w:val="24"/>
          <w:szCs w:val="24"/>
        </w:rPr>
        <w:t>, v. 71, 2020.</w:t>
      </w:r>
    </w:p>
    <w:p w14:paraId="15961095" w14:textId="77777777" w:rsidR="00F232B6" w:rsidRDefault="00F232B6">
      <w:pPr>
        <w:rPr>
          <w:sz w:val="24"/>
          <w:szCs w:val="24"/>
        </w:rPr>
      </w:pPr>
    </w:p>
    <w:p w14:paraId="3906EBD6" w14:textId="77777777" w:rsidR="00F232B6" w:rsidRDefault="00000000">
      <w:pPr>
        <w:widowControl/>
        <w:rPr>
          <w:color w:val="000000"/>
          <w:sz w:val="24"/>
          <w:szCs w:val="24"/>
        </w:rPr>
      </w:pPr>
      <w:r>
        <w:rPr>
          <w:color w:val="000000"/>
          <w:sz w:val="24"/>
          <w:szCs w:val="24"/>
        </w:rPr>
        <w:t xml:space="preserve">SILVA, A. C.; LOBATO, F. H. S.; RAVENA-CANETE, V. Plantas medicinais e seus usos em um quilombo amazônico: o caso da comunidade Quilombola do </w:t>
      </w:r>
      <w:proofErr w:type="spellStart"/>
      <w:r>
        <w:rPr>
          <w:color w:val="000000"/>
          <w:sz w:val="24"/>
          <w:szCs w:val="24"/>
        </w:rPr>
        <w:t>Abacatal</w:t>
      </w:r>
      <w:proofErr w:type="spellEnd"/>
      <w:r>
        <w:rPr>
          <w:color w:val="000000"/>
          <w:sz w:val="24"/>
          <w:szCs w:val="24"/>
        </w:rPr>
        <w:t xml:space="preserve">, Ananindeua (PA). </w:t>
      </w:r>
      <w:r>
        <w:rPr>
          <w:b/>
          <w:bCs/>
          <w:color w:val="000000"/>
          <w:sz w:val="24"/>
          <w:szCs w:val="24"/>
        </w:rPr>
        <w:t>Revista do NUFEN</w:t>
      </w:r>
      <w:r>
        <w:rPr>
          <w:color w:val="000000"/>
          <w:sz w:val="24"/>
          <w:szCs w:val="24"/>
        </w:rPr>
        <w:t>, v. 11, n. 3, p. 113-136, 2019.</w:t>
      </w:r>
    </w:p>
    <w:p w14:paraId="59924410" w14:textId="77777777" w:rsidR="00F232B6" w:rsidRDefault="00F232B6">
      <w:pPr>
        <w:widowControl/>
        <w:rPr>
          <w:color w:val="000000"/>
          <w:sz w:val="24"/>
          <w:szCs w:val="24"/>
        </w:rPr>
      </w:pPr>
    </w:p>
    <w:p w14:paraId="5B49F30D" w14:textId="77777777" w:rsidR="00F232B6" w:rsidRPr="00FF12C0" w:rsidRDefault="00000000">
      <w:pPr>
        <w:widowControl/>
        <w:rPr>
          <w:color w:val="000000"/>
          <w:sz w:val="24"/>
          <w:szCs w:val="24"/>
          <w:lang w:val="en-US"/>
        </w:rPr>
      </w:pPr>
      <w:r>
        <w:rPr>
          <w:color w:val="000000"/>
          <w:sz w:val="24"/>
          <w:szCs w:val="24"/>
        </w:rPr>
        <w:t xml:space="preserve">SILVA, P. S. V.; ARAUJO, D. I. A. F.; LEITE, L. P. G.; SILVA, D. A.; ALENCAR, J. M. C.; CHAGAS, R. F.; ABREU, E. S.; MIGUEL, E. M. S.; SILVA, F. D. T.; MOREIRA, B. A. </w:t>
      </w:r>
      <w:proofErr w:type="spellStart"/>
      <w:r>
        <w:rPr>
          <w:color w:val="000000"/>
          <w:sz w:val="24"/>
          <w:szCs w:val="24"/>
        </w:rPr>
        <w:t>A.Medicinal</w:t>
      </w:r>
      <w:proofErr w:type="spellEnd"/>
      <w:r>
        <w:rPr>
          <w:color w:val="000000"/>
          <w:sz w:val="24"/>
          <w:szCs w:val="24"/>
        </w:rPr>
        <w:t xml:space="preserve"> </w:t>
      </w:r>
      <w:proofErr w:type="spellStart"/>
      <w:r>
        <w:rPr>
          <w:color w:val="000000"/>
          <w:sz w:val="24"/>
          <w:szCs w:val="24"/>
        </w:rPr>
        <w:t>plants</w:t>
      </w:r>
      <w:proofErr w:type="spellEnd"/>
      <w:r>
        <w:rPr>
          <w:color w:val="000000"/>
          <w:sz w:val="24"/>
          <w:szCs w:val="24"/>
        </w:rPr>
        <w:t xml:space="preserve"> and </w:t>
      </w:r>
      <w:proofErr w:type="spellStart"/>
      <w:r>
        <w:rPr>
          <w:color w:val="000000"/>
          <w:sz w:val="24"/>
          <w:szCs w:val="24"/>
        </w:rPr>
        <w:t>their</w:t>
      </w:r>
      <w:proofErr w:type="spellEnd"/>
      <w:r>
        <w:rPr>
          <w:color w:val="000000"/>
          <w:sz w:val="24"/>
          <w:szCs w:val="24"/>
        </w:rPr>
        <w:t xml:space="preserve"> </w:t>
      </w:r>
      <w:proofErr w:type="spellStart"/>
      <w:r>
        <w:rPr>
          <w:color w:val="000000"/>
          <w:sz w:val="24"/>
          <w:szCs w:val="24"/>
        </w:rPr>
        <w:t>interaction</w:t>
      </w:r>
      <w:proofErr w:type="spellEnd"/>
      <w:r>
        <w:rPr>
          <w:color w:val="000000"/>
          <w:sz w:val="24"/>
          <w:szCs w:val="24"/>
        </w:rPr>
        <w:t xml:space="preserve"> </w:t>
      </w:r>
      <w:proofErr w:type="spellStart"/>
      <w:r>
        <w:rPr>
          <w:color w:val="000000"/>
          <w:sz w:val="24"/>
          <w:szCs w:val="24"/>
        </w:rPr>
        <w:t>with</w:t>
      </w:r>
      <w:proofErr w:type="spellEnd"/>
      <w:r>
        <w:rPr>
          <w:color w:val="000000"/>
          <w:sz w:val="24"/>
          <w:szCs w:val="24"/>
        </w:rPr>
        <w:t xml:space="preserve"> </w:t>
      </w:r>
      <w:proofErr w:type="spellStart"/>
      <w:r>
        <w:rPr>
          <w:color w:val="000000"/>
          <w:sz w:val="24"/>
          <w:szCs w:val="24"/>
        </w:rPr>
        <w:t>drugs</w:t>
      </w:r>
      <w:proofErr w:type="spellEnd"/>
      <w:r>
        <w:rPr>
          <w:color w:val="000000"/>
          <w:sz w:val="24"/>
          <w:szCs w:val="24"/>
        </w:rPr>
        <w:t xml:space="preserve"> </w:t>
      </w:r>
      <w:proofErr w:type="spellStart"/>
      <w:r>
        <w:rPr>
          <w:color w:val="000000"/>
          <w:sz w:val="24"/>
          <w:szCs w:val="24"/>
        </w:rPr>
        <w:t>used</w:t>
      </w:r>
      <w:proofErr w:type="spellEnd"/>
      <w:r>
        <w:rPr>
          <w:color w:val="000000"/>
          <w:sz w:val="24"/>
          <w:szCs w:val="24"/>
        </w:rPr>
        <w:t xml:space="preserve"> </w:t>
      </w:r>
      <w:proofErr w:type="spellStart"/>
      <w:r>
        <w:rPr>
          <w:color w:val="000000"/>
          <w:sz w:val="24"/>
          <w:szCs w:val="24"/>
        </w:rPr>
        <w:t>to</w:t>
      </w:r>
      <w:proofErr w:type="spellEnd"/>
      <w:r>
        <w:rPr>
          <w:color w:val="000000"/>
          <w:sz w:val="24"/>
          <w:szCs w:val="24"/>
        </w:rPr>
        <w:t xml:space="preserve"> </w:t>
      </w:r>
      <w:proofErr w:type="spellStart"/>
      <w:r>
        <w:rPr>
          <w:color w:val="000000"/>
          <w:sz w:val="24"/>
          <w:szCs w:val="24"/>
        </w:rPr>
        <w:t>control</w:t>
      </w:r>
      <w:proofErr w:type="spellEnd"/>
      <w:r>
        <w:rPr>
          <w:color w:val="000000"/>
          <w:sz w:val="24"/>
          <w:szCs w:val="24"/>
        </w:rPr>
        <w:t xml:space="preserve"> </w:t>
      </w:r>
      <w:proofErr w:type="spellStart"/>
      <w:r>
        <w:rPr>
          <w:color w:val="000000"/>
          <w:sz w:val="24"/>
          <w:szCs w:val="24"/>
        </w:rPr>
        <w:t>systemic</w:t>
      </w:r>
      <w:proofErr w:type="spellEnd"/>
      <w:r>
        <w:rPr>
          <w:color w:val="000000"/>
          <w:sz w:val="24"/>
          <w:szCs w:val="24"/>
        </w:rPr>
        <w:t xml:space="preserve"> arterial </w:t>
      </w:r>
      <w:proofErr w:type="spellStart"/>
      <w:r>
        <w:rPr>
          <w:color w:val="000000"/>
          <w:sz w:val="24"/>
          <w:szCs w:val="24"/>
        </w:rPr>
        <w:t>hypertension</w:t>
      </w:r>
      <w:proofErr w:type="spellEnd"/>
      <w:r>
        <w:rPr>
          <w:color w:val="000000"/>
          <w:sz w:val="24"/>
          <w:szCs w:val="24"/>
        </w:rPr>
        <w:t>. </w:t>
      </w:r>
      <w:r w:rsidRPr="00FF12C0">
        <w:rPr>
          <w:b/>
          <w:bCs/>
          <w:color w:val="000000"/>
          <w:sz w:val="24"/>
          <w:szCs w:val="24"/>
          <w:lang w:val="en-US"/>
        </w:rPr>
        <w:t>Research, Society and Development</w:t>
      </w:r>
      <w:r w:rsidRPr="00FF12C0">
        <w:rPr>
          <w:color w:val="000000"/>
          <w:sz w:val="24"/>
          <w:szCs w:val="24"/>
          <w:lang w:val="en-US"/>
        </w:rPr>
        <w:t>, v. 11, n. 12, 2022.</w:t>
      </w:r>
    </w:p>
    <w:p w14:paraId="3EFE2060" w14:textId="77777777" w:rsidR="00F232B6" w:rsidRPr="00FF12C0" w:rsidRDefault="00F232B6">
      <w:pPr>
        <w:widowControl/>
        <w:rPr>
          <w:color w:val="000000"/>
          <w:sz w:val="24"/>
          <w:szCs w:val="24"/>
          <w:lang w:val="en-US"/>
        </w:rPr>
      </w:pPr>
    </w:p>
    <w:p w14:paraId="362CD6DF" w14:textId="77777777" w:rsidR="00F232B6" w:rsidRDefault="00000000">
      <w:pPr>
        <w:widowControl/>
        <w:rPr>
          <w:sz w:val="24"/>
          <w:szCs w:val="24"/>
        </w:rPr>
      </w:pPr>
      <w:r w:rsidRPr="00FF12C0">
        <w:rPr>
          <w:color w:val="000000"/>
          <w:sz w:val="24"/>
          <w:szCs w:val="24"/>
          <w:lang w:val="en-US"/>
        </w:rPr>
        <w:t xml:space="preserve">ULIANA, M. P.; SILVA, A. G. D.; FRONZA, M.; SCHERER, R. In vitro antioxidant and antimicrobial activities of Costus spicatus </w:t>
      </w:r>
      <w:proofErr w:type="spellStart"/>
      <w:r w:rsidRPr="00FF12C0">
        <w:rPr>
          <w:color w:val="000000"/>
          <w:sz w:val="24"/>
          <w:szCs w:val="24"/>
          <w:lang w:val="en-US"/>
        </w:rPr>
        <w:t>swartz</w:t>
      </w:r>
      <w:proofErr w:type="spellEnd"/>
      <w:r w:rsidRPr="00FF12C0">
        <w:rPr>
          <w:color w:val="000000"/>
          <w:sz w:val="24"/>
          <w:szCs w:val="24"/>
          <w:lang w:val="en-US"/>
        </w:rPr>
        <w:t xml:space="preserve"> used in folk medicine for urinary tract infection in Brazil. </w:t>
      </w:r>
      <w:proofErr w:type="spellStart"/>
      <w:r>
        <w:rPr>
          <w:b/>
          <w:bCs/>
          <w:color w:val="000000"/>
          <w:sz w:val="24"/>
          <w:szCs w:val="24"/>
        </w:rPr>
        <w:t>Latin</w:t>
      </w:r>
      <w:proofErr w:type="spellEnd"/>
      <w:r>
        <w:rPr>
          <w:b/>
          <w:bCs/>
          <w:color w:val="000000"/>
          <w:sz w:val="24"/>
          <w:szCs w:val="24"/>
        </w:rPr>
        <w:t xml:space="preserve"> Am. J. </w:t>
      </w:r>
      <w:proofErr w:type="spellStart"/>
      <w:r>
        <w:rPr>
          <w:b/>
          <w:bCs/>
          <w:color w:val="000000"/>
          <w:sz w:val="24"/>
          <w:szCs w:val="24"/>
        </w:rPr>
        <w:t>Pharm</w:t>
      </w:r>
      <w:proofErr w:type="spellEnd"/>
      <w:r>
        <w:rPr>
          <w:color w:val="000000"/>
          <w:sz w:val="24"/>
          <w:szCs w:val="24"/>
        </w:rPr>
        <w:t>, v. 34, p. 766-772, 2015.</w:t>
      </w:r>
    </w:p>
    <w:p w14:paraId="713BF43D" w14:textId="77777777" w:rsidR="00F232B6" w:rsidRDefault="00F232B6">
      <w:pPr>
        <w:rPr>
          <w:sz w:val="24"/>
          <w:szCs w:val="24"/>
        </w:rPr>
      </w:pPr>
    </w:p>
    <w:p w14:paraId="2415B016" w14:textId="77777777" w:rsidR="00F232B6" w:rsidRDefault="00000000">
      <w:pPr>
        <w:widowControl/>
        <w:rPr>
          <w:sz w:val="24"/>
          <w:szCs w:val="24"/>
        </w:rPr>
      </w:pPr>
      <w:r>
        <w:rPr>
          <w:color w:val="000000"/>
          <w:sz w:val="24"/>
          <w:szCs w:val="24"/>
        </w:rPr>
        <w:t xml:space="preserve">VINUTO, J. A amostragem em bola de neve na pesquisa qualitativa: um debate em aberto. </w:t>
      </w:r>
      <w:r>
        <w:rPr>
          <w:b/>
          <w:bCs/>
          <w:color w:val="000000"/>
          <w:sz w:val="24"/>
          <w:szCs w:val="24"/>
        </w:rPr>
        <w:t>Temáticas</w:t>
      </w:r>
      <w:r>
        <w:rPr>
          <w:color w:val="000000"/>
          <w:sz w:val="24"/>
          <w:szCs w:val="24"/>
        </w:rPr>
        <w:t>, v. 22, n. 44, p. 203-220, 2014.</w:t>
      </w:r>
    </w:p>
    <w:p w14:paraId="6F11136E" w14:textId="77777777" w:rsidR="00F232B6" w:rsidRDefault="00F232B6"/>
    <w:p w14:paraId="7D236230" w14:textId="77777777" w:rsidR="00F232B6" w:rsidRDefault="00F232B6">
      <w:pPr>
        <w:rPr>
          <w:sz w:val="24"/>
          <w:szCs w:val="24"/>
        </w:rPr>
      </w:pPr>
    </w:p>
    <w:sectPr w:rsidR="00F232B6">
      <w:headerReference w:type="default" r:id="rId7"/>
      <w:footerReference w:type="default" r:id="rId8"/>
      <w:pgSz w:w="11910" w:h="16840"/>
      <w:pgMar w:top="1701" w:right="1134"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D7E0B7" w14:textId="77777777" w:rsidR="0061185C" w:rsidRDefault="0061185C">
      <w:r>
        <w:separator/>
      </w:r>
    </w:p>
  </w:endnote>
  <w:endnote w:type="continuationSeparator" w:id="0">
    <w:p w14:paraId="12C674E7" w14:textId="77777777" w:rsidR="0061185C" w:rsidRDefault="00611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ABE846B7-0596-457A-B533-C071F04BC9A6}"/>
  </w:font>
  <w:font w:name="Calibri">
    <w:panose1 w:val="020F0502020204030204"/>
    <w:charset w:val="00"/>
    <w:family w:val="swiss"/>
    <w:pitch w:val="variable"/>
    <w:sig w:usb0="E4002EFF" w:usb1="C000247B" w:usb2="00000009" w:usb3="00000000" w:csb0="000001FF" w:csb1="00000000"/>
    <w:embedRegular r:id="rId2" w:fontKey="{3B5929D6-26D7-4A43-954C-8571B78E8A77}"/>
  </w:font>
  <w:font w:name="Cambria">
    <w:panose1 w:val="02040503050406030204"/>
    <w:charset w:val="00"/>
    <w:family w:val="roman"/>
    <w:pitch w:val="variable"/>
    <w:sig w:usb0="E00006FF" w:usb1="420024FF" w:usb2="02000000" w:usb3="00000000" w:csb0="0000019F" w:csb1="00000000"/>
    <w:embedRegular r:id="rId3" w:fontKey="{15E97750-E51C-44DA-8236-FBF537BDA6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B3D6D" w14:textId="77777777" w:rsidR="00F232B6"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57366A7D" wp14:editId="5DA03405">
          <wp:simplePos x="0" y="0"/>
          <wp:positionH relativeFrom="column">
            <wp:posOffset>1</wp:posOffset>
          </wp:positionH>
          <wp:positionV relativeFrom="paragraph">
            <wp:posOffset>6350</wp:posOffset>
          </wp:positionV>
          <wp:extent cx="600075" cy="191770"/>
          <wp:effectExtent l="0" t="0" r="0" b="0"/>
          <wp:wrapSquare wrapText="bothSides" distT="0" distB="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600075" cy="19177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5F89242" wp14:editId="0C0FE424">
          <wp:simplePos x="0" y="0"/>
          <wp:positionH relativeFrom="column">
            <wp:posOffset>850900</wp:posOffset>
          </wp:positionH>
          <wp:positionV relativeFrom="paragraph">
            <wp:posOffset>164465</wp:posOffset>
          </wp:positionV>
          <wp:extent cx="1231265" cy="384175"/>
          <wp:effectExtent l="0" t="0" r="0" b="0"/>
          <wp:wrapSquare wrapText="bothSides" distT="0" distB="0" distL="114300" distR="11430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a:stretch>
                    <a:fillRect/>
                  </a:stretch>
                </pic:blipFill>
                <pic:spPr>
                  <a:xfrm>
                    <a:off x="0" y="0"/>
                    <a:ext cx="1231265" cy="3841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8AFFDB6" wp14:editId="72A517A4">
          <wp:simplePos x="0" y="0"/>
          <wp:positionH relativeFrom="column">
            <wp:posOffset>2644140</wp:posOffset>
          </wp:positionH>
          <wp:positionV relativeFrom="paragraph">
            <wp:posOffset>0</wp:posOffset>
          </wp:positionV>
          <wp:extent cx="419100" cy="241935"/>
          <wp:effectExtent l="0" t="0" r="0" b="0"/>
          <wp:wrapSquare wrapText="bothSides" distT="0" distB="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419100" cy="24193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4288D754" wp14:editId="16B988F6">
          <wp:simplePos x="0" y="0"/>
          <wp:positionH relativeFrom="column">
            <wp:posOffset>3139440</wp:posOffset>
          </wp:positionH>
          <wp:positionV relativeFrom="paragraph">
            <wp:posOffset>184785</wp:posOffset>
          </wp:positionV>
          <wp:extent cx="542290" cy="38417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42290" cy="38417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66C7F7DE" wp14:editId="207CE9D3">
          <wp:simplePos x="0" y="0"/>
          <wp:positionH relativeFrom="column">
            <wp:posOffset>3910965</wp:posOffset>
          </wp:positionH>
          <wp:positionV relativeFrom="paragraph">
            <wp:posOffset>188595</wp:posOffset>
          </wp:positionV>
          <wp:extent cx="914400" cy="353695"/>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914400" cy="35369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732305E3" wp14:editId="21A5C52F">
          <wp:simplePos x="0" y="0"/>
          <wp:positionH relativeFrom="column">
            <wp:posOffset>5006340</wp:posOffset>
          </wp:positionH>
          <wp:positionV relativeFrom="paragraph">
            <wp:posOffset>194310</wp:posOffset>
          </wp:positionV>
          <wp:extent cx="756285" cy="335280"/>
          <wp:effectExtent l="0" t="0" r="0" b="0"/>
          <wp:wrapSquare wrapText="bothSides" distT="0" distB="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756285" cy="33528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C7151" w14:textId="77777777" w:rsidR="0061185C" w:rsidRDefault="0061185C">
      <w:r>
        <w:separator/>
      </w:r>
    </w:p>
  </w:footnote>
  <w:footnote w:type="continuationSeparator" w:id="0">
    <w:p w14:paraId="28CE57A5" w14:textId="77777777" w:rsidR="0061185C" w:rsidRDefault="006118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CF226" w14:textId="77777777" w:rsidR="00F232B6" w:rsidRDefault="00000000">
    <w:pPr>
      <w:pBdr>
        <w:top w:val="nil"/>
        <w:left w:val="nil"/>
        <w:bottom w:val="nil"/>
        <w:right w:val="nil"/>
        <w:between w:val="nil"/>
      </w:pBdr>
      <w:tabs>
        <w:tab w:val="center" w:pos="4252"/>
        <w:tab w:val="right" w:pos="8504"/>
      </w:tabs>
      <w:jc w:val="center"/>
      <w:rPr>
        <w:color w:val="000000"/>
      </w:rPr>
    </w:pPr>
    <w:r>
      <w:rPr>
        <w:noProof/>
        <w:color w:val="000000"/>
      </w:rPr>
      <w:drawing>
        <wp:inline distT="0" distB="0" distL="0" distR="0" wp14:anchorId="461B5326" wp14:editId="2151B917">
          <wp:extent cx="3253105" cy="1610360"/>
          <wp:effectExtent l="0" t="0" r="0" b="0"/>
          <wp:docPr id="6" name="image6.png" descr="Logotipo, nome da empres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6.png" descr="Logotipo, nome da empresa&#10;&#10;O conteúdo gerado por IA pode estar incorreto."/>
                  <pic:cNvPicPr preferRelativeResize="0"/>
                </pic:nvPicPr>
                <pic:blipFill>
                  <a:blip r:embed="rId1"/>
                  <a:srcRect l="2865" t="33993" r="-2171" b="26667"/>
                  <a:stretch>
                    <a:fillRect/>
                  </a:stretch>
                </pic:blipFill>
                <pic:spPr>
                  <a:xfrm>
                    <a:off x="0" y="0"/>
                    <a:ext cx="3253105" cy="161036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2B6"/>
    <w:rsid w:val="000E378D"/>
    <w:rsid w:val="00236C2C"/>
    <w:rsid w:val="004F1DAF"/>
    <w:rsid w:val="0061185C"/>
    <w:rsid w:val="00783673"/>
    <w:rsid w:val="00926BF1"/>
    <w:rsid w:val="00BD757F"/>
    <w:rsid w:val="00DB2365"/>
    <w:rsid w:val="00E25563"/>
    <w:rsid w:val="00E73F24"/>
    <w:rsid w:val="00EE0C62"/>
    <w:rsid w:val="00F232B6"/>
    <w:rsid w:val="00FF12C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D6F10"/>
  <w15:docId w15:val="{6A3CA97E-760D-4358-9D2C-803BD2289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paragraph" w:styleId="Textodecomentrio">
    <w:name w:val="annotation text"/>
    <w:basedOn w:val="Normal"/>
    <w:link w:val="TextodecomentrioChar"/>
    <w:uiPriority w:val="99"/>
    <w:semiHidden/>
    <w:unhideWhenUsed/>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10</Pages>
  <Words>3331</Words>
  <Characters>17993</Characters>
  <Application>Microsoft Office Word</Application>
  <DocSecurity>0</DocSecurity>
  <Lines>149</Lines>
  <Paragraphs>42</Paragraphs>
  <ScaleCrop>false</ScaleCrop>
  <Company/>
  <LinksUpToDate>false</LinksUpToDate>
  <CharactersWithSpaces>21282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Parecerista 1</cp:lastModifiedBy>
  <cp:revision>5</cp:revision>
  <dcterms:created xsi:type="dcterms:W3CDTF">2025-11-20T15:18:00Z</dcterms:created>
  <dcterms:modified xsi:type="dcterms:W3CDTF">2025-11-21T12:36:00Z</dcterms:modified>
</cp:coreProperties>
</file>