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4A1E78EF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E632DC" w:rsidRPr="00E632DC">
        <w:rPr>
          <w:rFonts w:ascii="Arial" w:hAnsi="Arial" w:cs="Arial"/>
          <w:sz w:val="24"/>
          <w:szCs w:val="24"/>
        </w:rPr>
        <w:t xml:space="preserve">GT </w:t>
      </w:r>
      <w:r w:rsidR="001269F4">
        <w:rPr>
          <w:rFonts w:ascii="Arial" w:hAnsi="Arial" w:cs="Arial"/>
          <w:sz w:val="24"/>
          <w:szCs w:val="24"/>
        </w:rPr>
        <w:t>04</w:t>
      </w:r>
      <w:r w:rsidR="00E632DC" w:rsidRPr="00E632DC">
        <w:rPr>
          <w:rFonts w:ascii="Arial" w:hAnsi="Arial" w:cs="Arial"/>
          <w:sz w:val="24"/>
          <w:szCs w:val="24"/>
        </w:rPr>
        <w:t xml:space="preserve"> – E</w:t>
      </w:r>
      <w:r w:rsidR="001269F4">
        <w:rPr>
          <w:rFonts w:ascii="Arial" w:hAnsi="Arial" w:cs="Arial"/>
          <w:sz w:val="24"/>
          <w:szCs w:val="24"/>
        </w:rPr>
        <w:t>ducação Física e Esporte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354C56B3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E632DC">
        <w:rPr>
          <w:rFonts w:ascii="Arial" w:hAnsi="Arial" w:cs="Arial"/>
          <w:sz w:val="24"/>
          <w:szCs w:val="24"/>
        </w:rPr>
        <w:t>C</w:t>
      </w:r>
      <w:r w:rsidR="052D4632" w:rsidRPr="001F6136">
        <w:rPr>
          <w:rFonts w:ascii="Arial" w:hAnsi="Arial" w:cs="Arial"/>
          <w:sz w:val="24"/>
          <w:szCs w:val="24"/>
        </w:rPr>
        <w:t>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3CE7EADB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E632DC">
        <w:rPr>
          <w:rFonts w:ascii="Arial" w:hAnsi="Arial" w:cs="Arial"/>
          <w:sz w:val="24"/>
          <w:szCs w:val="24"/>
        </w:rPr>
        <w:t>P</w:t>
      </w:r>
      <w:r w:rsidRPr="001F6136">
        <w:rPr>
          <w:rFonts w:ascii="Arial" w:hAnsi="Arial" w:cs="Arial"/>
          <w:sz w:val="24"/>
          <w:szCs w:val="24"/>
        </w:rPr>
        <w:t>resencial</w:t>
      </w:r>
    </w:p>
    <w:p w14:paraId="5191CADF" w14:textId="5F803C52" w:rsidR="0491D5EE" w:rsidRDefault="0491D5EE" w:rsidP="00E73320">
      <w:pPr>
        <w:pStyle w:val="Texto"/>
      </w:pPr>
    </w:p>
    <w:p w14:paraId="68D89892" w14:textId="6D11EA96" w:rsidR="00E632DC" w:rsidRPr="00E632DC" w:rsidRDefault="00E632DC" w:rsidP="00E632DC">
      <w:pPr>
        <w:pStyle w:val="Ttulo"/>
      </w:pPr>
      <w:r w:rsidRPr="00E632DC">
        <w:t>FORMAÇÃO ACADÊMICA EM MOVIMENTO: PRÁTICAS CURRICULARES E EXTENSÃO NO CURSO DE EDUCAÇÃO FÍSICA DA UNIFEBE</w:t>
      </w:r>
    </w:p>
    <w:p w14:paraId="2A17A9C4" w14:textId="77777777" w:rsidR="00E632DC" w:rsidRPr="00E632DC" w:rsidRDefault="00E632DC" w:rsidP="00E632DC"/>
    <w:p w14:paraId="5A1B1E66" w14:textId="6C5C168C" w:rsidR="78AE189E" w:rsidRPr="00DA1797" w:rsidRDefault="78AE189E" w:rsidP="00E73320">
      <w:pPr>
        <w:pStyle w:val="Texto"/>
      </w:pPr>
    </w:p>
    <w:p w14:paraId="7DC4BC66" w14:textId="20401727" w:rsidR="00A161E5" w:rsidRPr="00DA1797" w:rsidRDefault="00E632DC" w:rsidP="004C446D">
      <w:pPr>
        <w:pStyle w:val="Autoria"/>
        <w:rPr>
          <w:sz w:val="24"/>
        </w:rPr>
      </w:pPr>
      <w:r>
        <w:rPr>
          <w:sz w:val="24"/>
        </w:rPr>
        <w:t>Wagner Eduardo Estácio de Paula</w:t>
      </w:r>
      <w:r w:rsidR="00A161E5" w:rsidRPr="00DA1797">
        <w:rPr>
          <w:sz w:val="24"/>
          <w:vertAlign w:val="superscript"/>
        </w:rPr>
        <w:footnoteReference w:id="1"/>
      </w:r>
    </w:p>
    <w:p w14:paraId="26B4B1F4" w14:textId="2BA91011" w:rsidR="00A161E5" w:rsidRPr="00DA1797" w:rsidRDefault="00A161E5" w:rsidP="004C446D">
      <w:pPr>
        <w:pStyle w:val="Autoria"/>
        <w:rPr>
          <w:sz w:val="24"/>
        </w:rPr>
      </w:pPr>
      <w:r w:rsidRPr="00DA1797">
        <w:rPr>
          <w:sz w:val="24"/>
        </w:rPr>
        <w:t>A</w:t>
      </w:r>
      <w:r w:rsidR="00E632DC">
        <w:rPr>
          <w:sz w:val="24"/>
        </w:rPr>
        <w:t>ndré Luiz de Oliveira Bráz</w:t>
      </w:r>
      <w:r w:rsidRPr="00DA1797">
        <w:rPr>
          <w:rStyle w:val="Refdenotaderodap"/>
          <w:sz w:val="24"/>
        </w:rPr>
        <w:footnoteReference w:id="2"/>
      </w:r>
      <w:r w:rsidRPr="00DA1797">
        <w:rPr>
          <w:sz w:val="24"/>
        </w:rPr>
        <w:t xml:space="preserve"> </w:t>
      </w:r>
    </w:p>
    <w:p w14:paraId="2C83ACE6" w14:textId="7BAC85EB" w:rsidR="00A161E5" w:rsidRDefault="00E632DC" w:rsidP="004C446D">
      <w:pPr>
        <w:pStyle w:val="Autoria"/>
        <w:rPr>
          <w:sz w:val="24"/>
        </w:rPr>
      </w:pPr>
      <w:r>
        <w:rPr>
          <w:sz w:val="24"/>
        </w:rPr>
        <w:t>João Derli de Souza Santos</w:t>
      </w:r>
      <w:r w:rsidR="00A161E5" w:rsidRPr="00DA1797">
        <w:rPr>
          <w:rStyle w:val="Refdenotaderodap"/>
          <w:sz w:val="24"/>
        </w:rPr>
        <w:footnoteReference w:id="3"/>
      </w:r>
    </w:p>
    <w:p w14:paraId="4F47D999" w14:textId="77777777" w:rsidR="00DF040B" w:rsidRPr="00DA1797" w:rsidRDefault="00DF040B" w:rsidP="00E73320">
      <w:pPr>
        <w:pStyle w:val="Texto"/>
      </w:pPr>
    </w:p>
    <w:p w14:paraId="7783C2E5" w14:textId="28309E69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</w:p>
    <w:p w14:paraId="3A59F911" w14:textId="3F71D93F" w:rsidR="00E632DC" w:rsidRPr="007C720A" w:rsidRDefault="00E632DC" w:rsidP="00E632DC">
      <w:pPr>
        <w:ind w:firstLine="0"/>
        <w:rPr>
          <w:rFonts w:ascii="Arial" w:hAnsi="Arial" w:cs="Arial"/>
          <w:sz w:val="24"/>
          <w:szCs w:val="24"/>
        </w:rPr>
      </w:pPr>
      <w:r w:rsidRPr="007C720A">
        <w:rPr>
          <w:rFonts w:ascii="Arial" w:hAnsi="Arial" w:cs="Arial"/>
          <w:sz w:val="24"/>
          <w:szCs w:val="24"/>
        </w:rPr>
        <w:t>Educação Física</w:t>
      </w:r>
      <w:r>
        <w:rPr>
          <w:rFonts w:ascii="Arial" w:hAnsi="Arial" w:cs="Arial"/>
          <w:sz w:val="24"/>
          <w:szCs w:val="24"/>
        </w:rPr>
        <w:t>;</w:t>
      </w:r>
      <w:r w:rsidRPr="007C720A">
        <w:rPr>
          <w:rFonts w:ascii="Arial" w:hAnsi="Arial" w:cs="Arial"/>
          <w:sz w:val="24"/>
          <w:szCs w:val="24"/>
        </w:rPr>
        <w:t xml:space="preserve"> Formação profissional</w:t>
      </w:r>
      <w:r>
        <w:rPr>
          <w:rFonts w:ascii="Arial" w:hAnsi="Arial" w:cs="Arial"/>
          <w:sz w:val="24"/>
          <w:szCs w:val="24"/>
        </w:rPr>
        <w:t>;</w:t>
      </w:r>
      <w:r w:rsidRPr="007C720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C720A">
        <w:rPr>
          <w:rFonts w:ascii="Arial" w:hAnsi="Arial" w:cs="Arial"/>
          <w:sz w:val="24"/>
          <w:szCs w:val="24"/>
        </w:rPr>
        <w:t>Curricularização</w:t>
      </w:r>
      <w:proofErr w:type="spellEnd"/>
      <w:r w:rsidRPr="007C720A">
        <w:rPr>
          <w:rFonts w:ascii="Arial" w:hAnsi="Arial" w:cs="Arial"/>
          <w:sz w:val="24"/>
          <w:szCs w:val="24"/>
        </w:rPr>
        <w:t xml:space="preserve"> da Extensão</w:t>
      </w:r>
      <w:r>
        <w:rPr>
          <w:rFonts w:ascii="Arial" w:hAnsi="Arial" w:cs="Arial"/>
          <w:sz w:val="24"/>
          <w:szCs w:val="24"/>
        </w:rPr>
        <w:t>;</w:t>
      </w:r>
      <w:r w:rsidRPr="007C720A">
        <w:rPr>
          <w:rFonts w:ascii="Arial" w:hAnsi="Arial" w:cs="Arial"/>
          <w:sz w:val="24"/>
          <w:szCs w:val="24"/>
        </w:rPr>
        <w:t xml:space="preserve"> Aprendizagem experiencial</w:t>
      </w:r>
      <w:r>
        <w:rPr>
          <w:rFonts w:ascii="Arial" w:hAnsi="Arial" w:cs="Arial"/>
          <w:sz w:val="24"/>
          <w:szCs w:val="24"/>
        </w:rPr>
        <w:t>.</w:t>
      </w:r>
    </w:p>
    <w:p w14:paraId="3902C55B" w14:textId="77777777" w:rsidR="00E632DC" w:rsidRDefault="00E632DC" w:rsidP="00442C14">
      <w:pPr>
        <w:pStyle w:val="Resumo"/>
        <w:rPr>
          <w:b/>
          <w:bCs/>
        </w:rPr>
      </w:pP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7919FA31" w14:textId="1B6EAEEB" w:rsidR="00AB6BC4" w:rsidRPr="00AB6BC4" w:rsidRDefault="00AB6BC4" w:rsidP="00AB6BC4">
      <w:pPr>
        <w:pStyle w:val="Texto"/>
      </w:pPr>
      <w:r w:rsidRPr="00AB6BC4">
        <w:t xml:space="preserve">A </w:t>
      </w:r>
      <w:r w:rsidR="00AB6141">
        <w:t>graduação</w:t>
      </w:r>
      <w:r w:rsidRPr="00AB6BC4">
        <w:t xml:space="preserve"> em Educação Física demanda a articulação entre fundamentos teóricos e experiências práticas em contextos reais de ensino, esporte, lazer e saúde. As Diretrizes Curriculares Nacionais (</w:t>
      </w:r>
      <w:proofErr w:type="spellStart"/>
      <w:r w:rsidRPr="00AB6BC4">
        <w:t>DCNs</w:t>
      </w:r>
      <w:proofErr w:type="spellEnd"/>
      <w:r w:rsidRPr="00AB6BC4">
        <w:t xml:space="preserve">) determinam que a prática pedagógica deve constituir eixo estruturante dos cursos de graduação, configurando-se como espaço decisivo para o desenvolvimento de competências profissionais, éticas e sociais. Nesse cenário, a Prática como Componente Curricular (PCC) e a </w:t>
      </w:r>
      <w:proofErr w:type="spellStart"/>
      <w:r w:rsidRPr="00AB6BC4">
        <w:t>Curricularização</w:t>
      </w:r>
      <w:proofErr w:type="spellEnd"/>
      <w:r w:rsidRPr="00AB6BC4">
        <w:t xml:space="preserve"> da Extensão emergem como ferramentas centrais para aproximar o estudante da complexidade da realidade educacional e comunitária, ao mesmo tempo em que reafirmam o compromisso social da universidade.</w:t>
      </w:r>
    </w:p>
    <w:p w14:paraId="74A01D1D" w14:textId="3B077000" w:rsidR="00AB6BC4" w:rsidRPr="00AB6BC4" w:rsidRDefault="00AB6BC4" w:rsidP="00AB6BC4">
      <w:pPr>
        <w:pStyle w:val="Texto"/>
      </w:pPr>
      <w:r w:rsidRPr="00AB6BC4">
        <w:lastRenderedPageBreak/>
        <w:t>A literatura evidencia a relevância de metodologias ativas que valorizem a aprendizagem experiencial (</w:t>
      </w:r>
      <w:r w:rsidR="00FA3E5F">
        <w:t>D</w:t>
      </w:r>
      <w:r w:rsidR="00FA3E5F" w:rsidRPr="00AB6BC4">
        <w:t>ewey</w:t>
      </w:r>
      <w:r w:rsidRPr="00AB6BC4">
        <w:t>, 1938), a reflexão em ação (</w:t>
      </w:r>
      <w:proofErr w:type="spellStart"/>
      <w:r w:rsidR="00FA3E5F" w:rsidRPr="00AB6BC4">
        <w:t>Schön</w:t>
      </w:r>
      <w:proofErr w:type="spellEnd"/>
      <w:r w:rsidRPr="00AB6BC4">
        <w:t>, 2000) e a diversidade de estilos de ensino (</w:t>
      </w:r>
      <w:proofErr w:type="spellStart"/>
      <w:r w:rsidR="00FA3E5F">
        <w:t>M</w:t>
      </w:r>
      <w:r w:rsidR="00FA3E5F" w:rsidRPr="00AB6BC4">
        <w:t>osston</w:t>
      </w:r>
      <w:proofErr w:type="spellEnd"/>
      <w:r w:rsidR="00FA3E5F" w:rsidRPr="00AB6BC4">
        <w:t xml:space="preserve">; </w:t>
      </w:r>
      <w:proofErr w:type="spellStart"/>
      <w:r w:rsidR="00FA3E5F">
        <w:t>A</w:t>
      </w:r>
      <w:r w:rsidR="00FA3E5F" w:rsidRPr="00AB6BC4">
        <w:t>shworth</w:t>
      </w:r>
      <w:proofErr w:type="spellEnd"/>
      <w:r w:rsidRPr="00AB6BC4">
        <w:t>, 2002), promovendo uma formação docente crítica e inovadora. Além disso, a Resolução nº 07/2018 do CNE/CES enfatiza que a extensão universitária deve ser indissociável do ensino e da pesquisa, transformando a relação da universidade com a sociedade.</w:t>
      </w:r>
    </w:p>
    <w:p w14:paraId="3D89D05B" w14:textId="77777777" w:rsidR="00AB6BC4" w:rsidRPr="00AB6BC4" w:rsidRDefault="00AB6BC4" w:rsidP="00AB6BC4">
      <w:pPr>
        <w:pStyle w:val="Texto"/>
      </w:pPr>
      <w:r w:rsidRPr="00AB6BC4">
        <w:t xml:space="preserve">Este estudo tem como objetivo descrever e analisar as práticas de PCC e de </w:t>
      </w:r>
      <w:proofErr w:type="spellStart"/>
      <w:r w:rsidRPr="00AB6BC4">
        <w:t>curricularização</w:t>
      </w:r>
      <w:proofErr w:type="spellEnd"/>
      <w:r w:rsidRPr="00AB6BC4">
        <w:t xml:space="preserve"> da extensão desenvolvidas no curso de Educação Física da UNIFEBE entre 2022 e 2025. Busca-se evidenciar os impactos pedagógicos, sociais e institucionais dessas experiências, bem como discutir sua contribuição para a consolidação de um perfil profissional generalista, reflexivo e socialmente responsável.</w:t>
      </w:r>
    </w:p>
    <w:p w14:paraId="251506C0" w14:textId="77777777" w:rsidR="00435A4C" w:rsidRPr="009A33DE" w:rsidRDefault="00435A4C" w:rsidP="00B43052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16E542D2" w14:textId="77777777" w:rsidR="00B831A9" w:rsidRPr="00B831A9" w:rsidRDefault="00B831A9" w:rsidP="00B831A9">
      <w:pPr>
        <w:pStyle w:val="Texto"/>
      </w:pPr>
      <w:r w:rsidRPr="00B831A9">
        <w:t xml:space="preserve">A </w:t>
      </w:r>
      <w:proofErr w:type="spellStart"/>
      <w:r w:rsidRPr="00B831A9">
        <w:t>Curricularização</w:t>
      </w:r>
      <w:proofErr w:type="spellEnd"/>
      <w:r w:rsidRPr="00B831A9">
        <w:t xml:space="preserve"> da Extensão, regulamentada pela Resolução nº 07/2018 do CNE/CES, é compreendida como processo interdisciplinar, político e educativo que integra ensino, pesquisa e extensão em diálogo com a sociedade. Entre seus princípios fundamentais destacam-se: a formação integral do estudante; a promoção da cidadania; o respeito à diversidade cultural; e o compromisso com áreas estratégicas para o desenvolvimento social, como saúde, educação, meio ambiente e direitos humanos.</w:t>
      </w:r>
    </w:p>
    <w:p w14:paraId="74412B88" w14:textId="77777777" w:rsidR="00B831A9" w:rsidRPr="00B831A9" w:rsidRDefault="00B831A9" w:rsidP="00B831A9">
      <w:pPr>
        <w:pStyle w:val="Texto"/>
      </w:pPr>
      <w:r w:rsidRPr="00B831A9">
        <w:t>A concepção de saúde adotada neste estudo alinha-se ao relatório da 8ª Conferência Nacional de Saúde (1986), que entende saúde como resultado de determinantes sociais, econômicos e ambientais, e não apenas como ausência de doença. Esse conceito amplia as possibilidades de intervenção da Educação Física ao reconhecer que a prática corporal se relaciona diretamente a dimensões físicas, cognitivas, sociais e éticas.</w:t>
      </w:r>
    </w:p>
    <w:p w14:paraId="032FF7EC" w14:textId="071C3E2F" w:rsidR="00B831A9" w:rsidRPr="007C695C" w:rsidRDefault="00B831A9" w:rsidP="00B831A9">
      <w:pPr>
        <w:pStyle w:val="Texto"/>
      </w:pPr>
      <w:r w:rsidRPr="007C695C">
        <w:t xml:space="preserve">Nesse sentido, projetos </w:t>
      </w:r>
      <w:proofErr w:type="gramStart"/>
      <w:r w:rsidRPr="007C695C">
        <w:t>como Trabalhando</w:t>
      </w:r>
      <w:proofErr w:type="gramEnd"/>
      <w:r w:rsidRPr="007C695C">
        <w:t xml:space="preserve"> com os egressos: do início ao sucesso profissional (2025.1) e </w:t>
      </w:r>
      <w:proofErr w:type="spellStart"/>
      <w:r w:rsidRPr="007C695C">
        <w:t>Motiva-ação</w:t>
      </w:r>
      <w:proofErr w:type="spellEnd"/>
      <w:r w:rsidRPr="007C695C">
        <w:t xml:space="preserve"> nas escolas</w:t>
      </w:r>
      <w:r w:rsidR="007C695C">
        <w:t xml:space="preserve"> </w:t>
      </w:r>
      <w:r w:rsidR="00541BBA">
        <w:t>–</w:t>
      </w:r>
      <w:r w:rsidR="007C695C">
        <w:t xml:space="preserve"> </w:t>
      </w:r>
      <w:r w:rsidR="00541BBA">
        <w:t>Gincana Pedagógica</w:t>
      </w:r>
      <w:r w:rsidRPr="007C695C">
        <w:t xml:space="preserve"> (2025.2) tornam-se representativos da função social da universidade ao aproximarem diferentes públicos e promoverem reflexões críticas sobre formação acadêmica, inserção no mercado e promoção da saúde integral.</w:t>
      </w:r>
    </w:p>
    <w:p w14:paraId="6246C16B" w14:textId="77777777" w:rsidR="00B831A9" w:rsidRPr="00B831A9" w:rsidRDefault="00B831A9" w:rsidP="00B831A9">
      <w:pPr>
        <w:pStyle w:val="Texto"/>
      </w:pPr>
      <w:r w:rsidRPr="00B831A9">
        <w:lastRenderedPageBreak/>
        <w:t>A UNESCO (2021) reforça esse entendimento ao destacar a Educação Física de qualidade como uma estratégia de baixo custo e alto impacto para melhorar a saúde pública, reduzir desigualdades sociais e potencializar a aprendizagem e a resiliência dos jovens. Além disso, a noção de responsabilidade social, entendida como corresponsabilidade de indivíduos e instituições na construção de um mundo mais justo, equitativo e sustentável, sustenta as ações aqui relatadas, uma vez que a integração de egressos, acadêmicos e comunidade reforça a prática educativa como dimensão ética e cidadã.</w:t>
      </w:r>
    </w:p>
    <w:p w14:paraId="6EF99736" w14:textId="618871C7" w:rsidR="0C591BAA" w:rsidRDefault="0C591BAA" w:rsidP="00DF040B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6CB59C6D" w14:textId="6B92CE3C" w:rsidR="00B831A9" w:rsidRPr="00B831A9" w:rsidRDefault="00B831A9" w:rsidP="00B831A9">
      <w:pPr>
        <w:pStyle w:val="Texto"/>
      </w:pPr>
      <w:r w:rsidRPr="00B831A9">
        <w:t>O presente trabalho caracteriza-se como um relato de experiência de natureza qualitativa, fundamentado na perspectiva da pesquisa-ação (</w:t>
      </w:r>
      <w:r w:rsidR="00FA3E5F" w:rsidRPr="00B831A9">
        <w:t xml:space="preserve">Demo, 1995; Le </w:t>
      </w:r>
      <w:proofErr w:type="spellStart"/>
      <w:r w:rsidR="00FA3E5F" w:rsidRPr="00B831A9">
        <w:t>Boterf</w:t>
      </w:r>
      <w:proofErr w:type="spellEnd"/>
      <w:r w:rsidRPr="00B831A9">
        <w:t>, 1984). Esse enfoque compreende a prática como processo dinâmico de investigação, intervenção e reflexão, no qual docentes, discentes e comunidade são coparticipantes na construção do conhecimento.</w:t>
      </w:r>
    </w:p>
    <w:p w14:paraId="0E3F021A" w14:textId="77777777" w:rsidR="00B831A9" w:rsidRPr="00B831A9" w:rsidRDefault="00B831A9" w:rsidP="00B831A9">
      <w:pPr>
        <w:pStyle w:val="Texto"/>
      </w:pPr>
      <w:r w:rsidRPr="00B831A9">
        <w:t>As atividades foram desenvolvidas no período de 2022 a 2025 e envolveram professores, acadêmicos de diferentes fases do curso de Educação Física, escolas públicas municipais e estaduais, entidades esportivas locais, egressos e gestores de organizações parceiras. O processo metodológico ocorreu em etapas interligadas, mas aqui descritas em forma narrativa para explicitar a organicidade das ações.</w:t>
      </w:r>
    </w:p>
    <w:p w14:paraId="224066B4" w14:textId="77777777" w:rsidR="00B831A9" w:rsidRPr="00B831A9" w:rsidRDefault="00B831A9" w:rsidP="00B831A9">
      <w:pPr>
        <w:pStyle w:val="Texto"/>
      </w:pPr>
      <w:r w:rsidRPr="00B831A9">
        <w:t>Inicialmente, foram realizados planejamentos pedagógicos em conjunto entre docentes e discentes, nos quais se discutiram objetivos, estratégias de ensino e alinhamento das propostas às Diretrizes Curriculares Nacionais e às necessidades da comunidade local. Em seguida, estabeleceram-se contatos institucionais com escolas, gestores de entidades esportivas e lideranças comunitárias, visando garantir parcerias que possibilitassem a realização das atividades extensionistas.</w:t>
      </w:r>
    </w:p>
    <w:p w14:paraId="1BB0D744" w14:textId="77777777" w:rsidR="00B831A9" w:rsidRPr="00B831A9" w:rsidRDefault="00B831A9" w:rsidP="00B831A9">
      <w:pPr>
        <w:pStyle w:val="Texto"/>
      </w:pPr>
      <w:r w:rsidRPr="00B831A9">
        <w:t>A execução das práticas deu-se em múltiplos cenários. Em escolas, os acadêmicos desenvolveram oficinas esportivas, recreativas e artísticas, sempre articuladas ao planejamento escolar e às demandas específicas dos estudantes. Em entidades esportivas e eventos comunitários, os acadêmicos atuaram em diagnósticos, atendimentos, organização de atividades e suporte em eventos, exercitando competências de gestão, liderança e comunicação.</w:t>
      </w:r>
    </w:p>
    <w:p w14:paraId="6A3F174E" w14:textId="77777777" w:rsidR="00B831A9" w:rsidRPr="00B831A9" w:rsidRDefault="00B831A9" w:rsidP="00B831A9">
      <w:pPr>
        <w:pStyle w:val="Texto"/>
      </w:pPr>
      <w:r w:rsidRPr="00B831A9">
        <w:lastRenderedPageBreak/>
        <w:t>Durante a execução, foram utilizados instrumentos de registro como diários de campo, relatórios reflexivos e produções acadêmicas individuais e coletivas, permitindo a sistematização dos dados e a análise contínua do processo. Além disso, foram realizadas rodas de conversa e reuniões de avaliação entre acadêmicos, professores e comunidade, assegurando um espaço de diálogo crítico sobre os resultados parciais.</w:t>
      </w:r>
    </w:p>
    <w:p w14:paraId="116DEFBE" w14:textId="011AAA68" w:rsidR="00B831A9" w:rsidRPr="00B831A9" w:rsidRDefault="00B831A9" w:rsidP="00B831A9">
      <w:pPr>
        <w:pStyle w:val="Texto"/>
      </w:pPr>
      <w:r w:rsidRPr="00B831A9">
        <w:t xml:space="preserve">Destacam-se, nesse percurso, dois projetos de grande impacto no ano de 2025. O primeiro, </w:t>
      </w:r>
      <w:proofErr w:type="gramStart"/>
      <w:r w:rsidRPr="00FA3E5F">
        <w:t>Trabalhando</w:t>
      </w:r>
      <w:proofErr w:type="gramEnd"/>
      <w:r w:rsidRPr="00FA3E5F">
        <w:t xml:space="preserve"> com os </w:t>
      </w:r>
      <w:r w:rsidR="00FA3E5F">
        <w:t>E</w:t>
      </w:r>
      <w:r w:rsidRPr="00FA3E5F">
        <w:t>gressos</w:t>
      </w:r>
      <w:r w:rsidRPr="00B831A9">
        <w:t xml:space="preserve">, promoveu palestras, rodas de conversa e diagnósticos em entidades esportivas, oportunizando que os acadêmicos dialogassem com profissionais já inseridos no mercado. O segundo, </w:t>
      </w:r>
      <w:proofErr w:type="spellStart"/>
      <w:r w:rsidRPr="00FA3E5F">
        <w:t>Motiva-ação</w:t>
      </w:r>
      <w:proofErr w:type="spellEnd"/>
      <w:r w:rsidRPr="00FA3E5F">
        <w:t xml:space="preserve"> nas </w:t>
      </w:r>
      <w:r w:rsidR="00FA3E5F">
        <w:t>E</w:t>
      </w:r>
      <w:r w:rsidRPr="00FA3E5F">
        <w:t>scolas</w:t>
      </w:r>
      <w:r w:rsidRPr="00B831A9">
        <w:t>, estruturou uma gincana pedagógica em escola pública de Brusque/SC, voltada à promoção da saúde integral e à valorização de hábitos ativos e inclusivos.</w:t>
      </w:r>
    </w:p>
    <w:p w14:paraId="41930EC9" w14:textId="77777777" w:rsidR="00B831A9" w:rsidRPr="00B831A9" w:rsidRDefault="00B831A9" w:rsidP="00B831A9">
      <w:pPr>
        <w:pStyle w:val="Texto"/>
      </w:pPr>
      <w:r w:rsidRPr="00B831A9">
        <w:t>Por fim, os resultados foram socializados em congressos internos, como o ENPEX (Encontro de Pesquisa, Ensino e Extensão da UNIFEBE), e em produções escritas submetidas à Revista Bem-Estar, o que garantiu a divulgação científica e a retroalimentação institucional.</w:t>
      </w:r>
    </w:p>
    <w:p w14:paraId="5905B946" w14:textId="5520B327" w:rsidR="6EB1BE39" w:rsidRDefault="6EB1BE39" w:rsidP="6EB1BE39">
      <w:pPr>
        <w:pStyle w:val="Texto"/>
      </w:pPr>
    </w:p>
    <w:p w14:paraId="4B72C82E" w14:textId="16B46A63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349745D2" w14:textId="77777777" w:rsidR="00944D8A" w:rsidRPr="00944D8A" w:rsidRDefault="00944D8A" w:rsidP="00944D8A">
      <w:pPr>
        <w:pStyle w:val="Texto"/>
      </w:pPr>
      <w:r w:rsidRPr="00944D8A">
        <w:t xml:space="preserve">As práticas desenvolvidas entre 2022 e 2025 possibilitaram aos acadêmicos </w:t>
      </w:r>
      <w:proofErr w:type="gramStart"/>
      <w:r w:rsidRPr="00944D8A">
        <w:t>vivenciar</w:t>
      </w:r>
      <w:proofErr w:type="gramEnd"/>
      <w:r w:rsidRPr="00944D8A">
        <w:t xml:space="preserve"> diferentes realidades sociais, escolares e esportivas, contribuindo para a construção de competências técnicas, pedagógicas e sociais. Em escolas públicas, a realização de oficinas diversificadas estimulou a integração dos acadêmicos com a comunidade escolar, favorecendo o desenvolvimento de competências de planejamento, gestão de sala e avaliação de práticas pedagógicas.</w:t>
      </w:r>
    </w:p>
    <w:p w14:paraId="2A5E4FB9" w14:textId="77777777" w:rsidR="00944D8A" w:rsidRPr="00944D8A" w:rsidRDefault="00944D8A" w:rsidP="00944D8A">
      <w:pPr>
        <w:pStyle w:val="Texto"/>
      </w:pPr>
      <w:r w:rsidRPr="00944D8A">
        <w:t>Nos eventos comunitários e esportivos, como corridas de rua e atividades recreativas abertas ao público, os estudantes puderam aplicar conhecimentos teóricos em situações práticas de grande complexidade. A atuação exigiu responsabilidade, agilidade e clareza de comunicação, demonstrando a importância da Educação Física no fortalecimento da saúde coletiva e no incentivo à adoção de hábitos saudáveis.</w:t>
      </w:r>
    </w:p>
    <w:p w14:paraId="7F253C27" w14:textId="640CA0EA" w:rsidR="00944D8A" w:rsidRPr="00944D8A" w:rsidRDefault="00944D8A" w:rsidP="00944D8A">
      <w:pPr>
        <w:pStyle w:val="Texto"/>
      </w:pPr>
      <w:r w:rsidRPr="00944D8A">
        <w:t xml:space="preserve">O projeto </w:t>
      </w:r>
      <w:r w:rsidRPr="00FA3E5F">
        <w:t xml:space="preserve">Trabalhando com os </w:t>
      </w:r>
      <w:r w:rsidR="00FA3E5F">
        <w:t>E</w:t>
      </w:r>
      <w:r w:rsidRPr="00FA3E5F">
        <w:t>gressos</w:t>
      </w:r>
      <w:r w:rsidRPr="00944D8A">
        <w:t xml:space="preserve"> foi particularmente relevante por promover o encontro entre diferentes gerações de profissionais, permitindo que os acadêmicos refletissem sobre sua futura inserção no mercado de trabalho e sobre os desafios da carreira docente e esportiva. Já o </w:t>
      </w:r>
      <w:proofErr w:type="spellStart"/>
      <w:r w:rsidRPr="000201FA">
        <w:t>Motiva-ação</w:t>
      </w:r>
      <w:proofErr w:type="spellEnd"/>
      <w:r w:rsidRPr="000201FA">
        <w:t xml:space="preserve"> nas </w:t>
      </w:r>
      <w:r w:rsidR="00FA3E5F">
        <w:t>E</w:t>
      </w:r>
      <w:r w:rsidRPr="000201FA">
        <w:t>scolas</w:t>
      </w:r>
      <w:r w:rsidR="000201FA">
        <w:t xml:space="preserve"> – Gincana </w:t>
      </w:r>
      <w:r w:rsidR="000201FA">
        <w:lastRenderedPageBreak/>
        <w:t>Pedagógica</w:t>
      </w:r>
      <w:r w:rsidR="00A47C24">
        <w:t>,</w:t>
      </w:r>
      <w:r w:rsidRPr="00944D8A">
        <w:t xml:space="preserve"> destacou-se pela dimensão inclusiva e coletiva, mobilizando estudantes da educação básica em torno da promoção da saúde integral e do fortalecimento da cidadania por meio da atividade física.</w:t>
      </w:r>
    </w:p>
    <w:p w14:paraId="52819D1A" w14:textId="77777777" w:rsidR="00944D8A" w:rsidRPr="00944D8A" w:rsidRDefault="00944D8A" w:rsidP="00944D8A">
      <w:pPr>
        <w:pStyle w:val="Texto"/>
      </w:pPr>
      <w:r w:rsidRPr="00944D8A">
        <w:t>Do ponto de vista acadêmico, a integração entre PCC e extensão ampliou a visão crítica dos futuros profissionais, aproximando teoria e prática em um movimento contínuo de reflexão. Institucionalmente, fortaleceu-se o papel da universidade como agente de transformação social, consolidando redes de colaboração com escolas, entidades esportivas e a comunidade local.</w:t>
      </w:r>
    </w:p>
    <w:p w14:paraId="4669AC60" w14:textId="2C7EE996" w:rsidR="0C591BAA" w:rsidRDefault="0C591BAA" w:rsidP="00DF040B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240A5F9E" w14:textId="77777777" w:rsidR="00944D8A" w:rsidRPr="00944D8A" w:rsidRDefault="00944D8A" w:rsidP="00944D8A">
      <w:pPr>
        <w:pStyle w:val="Texto"/>
        <w:ind w:firstLine="708"/>
      </w:pPr>
      <w:r w:rsidRPr="00944D8A">
        <w:t xml:space="preserve">As experiências relatadas evidenciam que a articulação entre Prática como Componente Curricular e </w:t>
      </w:r>
      <w:proofErr w:type="spellStart"/>
      <w:r w:rsidRPr="00944D8A">
        <w:t>Curricularização</w:t>
      </w:r>
      <w:proofErr w:type="spellEnd"/>
      <w:r w:rsidRPr="00944D8A">
        <w:t xml:space="preserve"> da Extensão é decisiva para a consolidação do perfil profissional generalista e crítico em Educação Física. Ao longo de quatro anos, os acadêmicos puderam experimentar dimensões diversas da profissão — pedagógica, esportiva, recreativa e de saúde — em um processo marcado pela interação constante com a comunidade.</w:t>
      </w:r>
    </w:p>
    <w:p w14:paraId="3D02F482" w14:textId="77777777" w:rsidR="00944D8A" w:rsidRPr="00944D8A" w:rsidRDefault="00944D8A" w:rsidP="00944D8A">
      <w:pPr>
        <w:pStyle w:val="Texto"/>
        <w:ind w:firstLine="708"/>
      </w:pPr>
      <w:r w:rsidRPr="00944D8A">
        <w:t>Os resultados apontam para avanços significativos no desenvolvimento de competências técnicas e pedagógicas, mas também em valores sociais e éticos, como cidadania, responsabilidade social e inclusão. Além disso, o diálogo com egressos e a realização de projetos em escolas públicas ampliaram a rede de colaboração universidade-comunidade, fortalecendo o compromisso social da formação acadêmica.</w:t>
      </w:r>
    </w:p>
    <w:p w14:paraId="356AFD56" w14:textId="5BBB2225" w:rsidR="00944D8A" w:rsidRPr="00944D8A" w:rsidRDefault="00944D8A" w:rsidP="00944D8A">
      <w:pPr>
        <w:pStyle w:val="Texto"/>
        <w:ind w:firstLine="708"/>
      </w:pPr>
      <w:r w:rsidRPr="00944D8A">
        <w:t xml:space="preserve">Do ponto de vista institucional, tais experiências revelam-se estratégicas para o cumprimento das </w:t>
      </w:r>
      <w:proofErr w:type="spellStart"/>
      <w:r w:rsidRPr="00944D8A">
        <w:t>DCNs</w:t>
      </w:r>
      <w:proofErr w:type="spellEnd"/>
      <w:r w:rsidRPr="00944D8A">
        <w:t xml:space="preserve"> e da Resolução nº 07/2018, reafirmando o papel da</w:t>
      </w:r>
      <w:r w:rsidR="002365E1">
        <w:t>s instituições de ensino superior</w:t>
      </w:r>
      <w:r w:rsidRPr="00944D8A">
        <w:t xml:space="preserve"> </w:t>
      </w:r>
      <w:r w:rsidR="002365E1">
        <w:t>enquanto</w:t>
      </w:r>
      <w:r w:rsidRPr="00944D8A">
        <w:t xml:space="preserve"> promotora</w:t>
      </w:r>
      <w:r w:rsidR="002365E1">
        <w:t>s</w:t>
      </w:r>
      <w:r w:rsidRPr="00944D8A">
        <w:t xml:space="preserve"> de uma educação superior crítica, transformadora e socialmente comprometida. Recomenda-se a continuidade e a expansão dessas práticas, a intensificação de parcerias interinstitucionais e a divulgação dos resultados em periódicos científicos, de modo a consolidar a relevância acadêmica e social da </w:t>
      </w:r>
      <w:proofErr w:type="spellStart"/>
      <w:r w:rsidRPr="00944D8A">
        <w:t>curricularização</w:t>
      </w:r>
      <w:proofErr w:type="spellEnd"/>
      <w:r w:rsidRPr="00944D8A">
        <w:t xml:space="preserve"> da extensão na </w:t>
      </w:r>
      <w:r w:rsidR="00AB6141">
        <w:t>graduação</w:t>
      </w:r>
      <w:r w:rsidRPr="00944D8A">
        <w:t xml:space="preserve"> em Educação Física.</w:t>
      </w:r>
    </w:p>
    <w:p w14:paraId="2EABA2E7" w14:textId="77777777" w:rsidR="00126DD2" w:rsidRDefault="00126DD2" w:rsidP="00B43052">
      <w:pPr>
        <w:pStyle w:val="Texto"/>
        <w:tabs>
          <w:tab w:val="clear" w:pos="4819"/>
        </w:tabs>
        <w:ind w:firstLine="708"/>
      </w:pPr>
    </w:p>
    <w:p w14:paraId="6B4A2E63" w14:textId="77777777" w:rsidR="008F4556" w:rsidRDefault="008F4556" w:rsidP="00B43052">
      <w:pPr>
        <w:pStyle w:val="Texto"/>
        <w:tabs>
          <w:tab w:val="clear" w:pos="4819"/>
        </w:tabs>
        <w:ind w:firstLine="708"/>
      </w:pPr>
    </w:p>
    <w:p w14:paraId="655C8B14" w14:textId="77777777" w:rsidR="008F4556" w:rsidRDefault="008F4556" w:rsidP="00B43052">
      <w:pPr>
        <w:pStyle w:val="Texto"/>
        <w:tabs>
          <w:tab w:val="clear" w:pos="4819"/>
        </w:tabs>
        <w:ind w:firstLine="708"/>
      </w:pPr>
    </w:p>
    <w:p w14:paraId="7F32F155" w14:textId="540A6AAF" w:rsidR="006306D9" w:rsidRDefault="00707214" w:rsidP="004C446D">
      <w:pPr>
        <w:pStyle w:val="TtulosNoNumerados"/>
      </w:pPr>
      <w:r w:rsidRPr="00707214">
        <w:lastRenderedPageBreak/>
        <w:t>REFERÊNCIAS</w:t>
      </w:r>
      <w:r w:rsidR="00F97C22">
        <w:t xml:space="preserve"> </w:t>
      </w:r>
    </w:p>
    <w:p w14:paraId="7367EA6B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>ANAIS DA 8ª Conferência Nacional de Saúde. Brasília: Ministério da Saúde, 1986. Disponível em: https://bvsms.saude.gov.br/bvs/publicacoes/8_conferencia_nacional_saude_relatorio_final.pdf. Acesso em: 20 set. 2025.</w:t>
      </w:r>
    </w:p>
    <w:p w14:paraId="7498FE08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BARTALOTTI, Celina Camargo. </w:t>
      </w:r>
      <w:r w:rsidRPr="00A74F97">
        <w:rPr>
          <w:i/>
          <w:iCs/>
        </w:rPr>
        <w:t>Inclusão social das pessoas com deficiência: utopia ou possibilidade?</w:t>
      </w:r>
      <w:r w:rsidRPr="00A74F97">
        <w:t xml:space="preserve"> São Paulo: Paulus, 2006.</w:t>
      </w:r>
    </w:p>
    <w:p w14:paraId="2C568027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BRASIL. Ministério da Educação. Resolução n.º 7, de 18 de dezembro de 2018. Estabelece as Diretrizes para a Extensão na Educação Superior Brasileira. Brasília, DF: MEC, 2018. Disponível em: </w:t>
      </w:r>
      <w:hyperlink r:id="rId8" w:tgtFrame="_new" w:history="1">
        <w:r w:rsidRPr="00A74F97">
          <w:rPr>
            <w:rStyle w:val="Hyperlink"/>
          </w:rPr>
          <w:t>http://mec.gov.br</w:t>
        </w:r>
      </w:hyperlink>
      <w:r w:rsidRPr="00A74F97">
        <w:t>. Acesso em: 4 mar. 2022.</w:t>
      </w:r>
    </w:p>
    <w:p w14:paraId="0D7F2CC4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DEMO, Pedro. </w:t>
      </w:r>
      <w:r w:rsidRPr="00A74F97">
        <w:rPr>
          <w:i/>
          <w:iCs/>
        </w:rPr>
        <w:t>Metodologia científica em Ciências Sociais</w:t>
      </w:r>
      <w:r w:rsidRPr="00A74F97">
        <w:t>. São Paulo: Atlas, 1995.</w:t>
      </w:r>
    </w:p>
    <w:p w14:paraId="62E51173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DEWEY, John. </w:t>
      </w:r>
      <w:r w:rsidRPr="00A74F97">
        <w:rPr>
          <w:i/>
          <w:iCs/>
        </w:rPr>
        <w:t>Experiência e educação</w:t>
      </w:r>
      <w:r w:rsidRPr="00A74F97">
        <w:t>. São Paulo: Editora Nacional, 1959.</w:t>
      </w:r>
    </w:p>
    <w:p w14:paraId="08DB561A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>JANTSCH, A. P.; BIANCHETTI, L. (</w:t>
      </w:r>
      <w:proofErr w:type="spellStart"/>
      <w:r w:rsidRPr="00A74F97">
        <w:t>Orgs</w:t>
      </w:r>
      <w:proofErr w:type="spellEnd"/>
      <w:r w:rsidRPr="00A74F97">
        <w:t xml:space="preserve">.). </w:t>
      </w:r>
      <w:r w:rsidRPr="00A74F97">
        <w:rPr>
          <w:i/>
          <w:iCs/>
        </w:rPr>
        <w:t>Interdisciplinaridade: para além da filosofia do sujeito</w:t>
      </w:r>
      <w:r w:rsidRPr="00A74F97">
        <w:t>. Petrópolis: Vozes, 2002.</w:t>
      </w:r>
    </w:p>
    <w:p w14:paraId="6182D772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KIRK, David; MACPHAIL, Ann. </w:t>
      </w:r>
      <w:proofErr w:type="spellStart"/>
      <w:r w:rsidRPr="00A74F97">
        <w:t>Teaching</w:t>
      </w:r>
      <w:proofErr w:type="spellEnd"/>
      <w:r w:rsidRPr="00A74F97">
        <w:t xml:space="preserve"> games for </w:t>
      </w:r>
      <w:proofErr w:type="spellStart"/>
      <w:r w:rsidRPr="00A74F97">
        <w:t>understanding</w:t>
      </w:r>
      <w:proofErr w:type="spellEnd"/>
      <w:r w:rsidRPr="00A74F97">
        <w:t xml:space="preserve"> </w:t>
      </w:r>
      <w:proofErr w:type="spellStart"/>
      <w:r w:rsidRPr="00A74F97">
        <w:t>and</w:t>
      </w:r>
      <w:proofErr w:type="spellEnd"/>
      <w:r w:rsidRPr="00A74F97">
        <w:t xml:space="preserve"> </w:t>
      </w:r>
      <w:proofErr w:type="spellStart"/>
      <w:r w:rsidRPr="00A74F97">
        <w:t>situated</w:t>
      </w:r>
      <w:proofErr w:type="spellEnd"/>
      <w:r w:rsidRPr="00A74F97">
        <w:t xml:space="preserve"> learning: </w:t>
      </w:r>
      <w:proofErr w:type="spellStart"/>
      <w:r w:rsidRPr="00A74F97">
        <w:t>rethinking</w:t>
      </w:r>
      <w:proofErr w:type="spellEnd"/>
      <w:r w:rsidRPr="00A74F97">
        <w:t xml:space="preserve"> </w:t>
      </w:r>
      <w:proofErr w:type="spellStart"/>
      <w:r w:rsidRPr="00A74F97">
        <w:t>the</w:t>
      </w:r>
      <w:proofErr w:type="spellEnd"/>
      <w:r w:rsidRPr="00A74F97">
        <w:t xml:space="preserve"> Bunker-Thorpe model. </w:t>
      </w:r>
      <w:proofErr w:type="spellStart"/>
      <w:r w:rsidRPr="00A74F97">
        <w:rPr>
          <w:i/>
          <w:iCs/>
        </w:rPr>
        <w:t>Journal</w:t>
      </w:r>
      <w:proofErr w:type="spellEnd"/>
      <w:r w:rsidRPr="00A74F97">
        <w:rPr>
          <w:i/>
          <w:iCs/>
        </w:rPr>
        <w:t xml:space="preserve"> </w:t>
      </w:r>
      <w:proofErr w:type="spellStart"/>
      <w:r w:rsidRPr="00A74F97">
        <w:rPr>
          <w:i/>
          <w:iCs/>
        </w:rPr>
        <w:t>of</w:t>
      </w:r>
      <w:proofErr w:type="spellEnd"/>
      <w:r w:rsidRPr="00A74F97">
        <w:rPr>
          <w:i/>
          <w:iCs/>
        </w:rPr>
        <w:t xml:space="preserve"> </w:t>
      </w:r>
      <w:proofErr w:type="spellStart"/>
      <w:r w:rsidRPr="00A74F97">
        <w:rPr>
          <w:i/>
          <w:iCs/>
        </w:rPr>
        <w:t>Teaching</w:t>
      </w:r>
      <w:proofErr w:type="spellEnd"/>
      <w:r w:rsidRPr="00A74F97">
        <w:rPr>
          <w:i/>
          <w:iCs/>
        </w:rPr>
        <w:t xml:space="preserve"> in </w:t>
      </w:r>
      <w:proofErr w:type="spellStart"/>
      <w:r w:rsidRPr="00A74F97">
        <w:rPr>
          <w:i/>
          <w:iCs/>
        </w:rPr>
        <w:t>Physical</w:t>
      </w:r>
      <w:proofErr w:type="spellEnd"/>
      <w:r w:rsidRPr="00A74F97">
        <w:rPr>
          <w:i/>
          <w:iCs/>
        </w:rPr>
        <w:t xml:space="preserve"> </w:t>
      </w:r>
      <w:proofErr w:type="spellStart"/>
      <w:r w:rsidRPr="00A74F97">
        <w:rPr>
          <w:i/>
          <w:iCs/>
        </w:rPr>
        <w:t>Education</w:t>
      </w:r>
      <w:proofErr w:type="spellEnd"/>
      <w:r w:rsidRPr="00A74F97">
        <w:t xml:space="preserve">, </w:t>
      </w:r>
      <w:proofErr w:type="spellStart"/>
      <w:r w:rsidRPr="00A74F97">
        <w:t>Champaign</w:t>
      </w:r>
      <w:proofErr w:type="spellEnd"/>
      <w:r w:rsidRPr="00A74F97">
        <w:t>, v. 21, n. 2, p. 177-192, 2002. DOI: 10.1123/jtpe.21.2.177.</w:t>
      </w:r>
    </w:p>
    <w:p w14:paraId="73900C80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LE BOTERF, Guy. Pesquisa participante: propostas e reflexões metodológicas. In: BRANDÃO, C. R. (Org.). </w:t>
      </w:r>
      <w:r w:rsidRPr="00A74F97">
        <w:rPr>
          <w:i/>
          <w:iCs/>
        </w:rPr>
        <w:t>Repensando a pesquisa participante</w:t>
      </w:r>
      <w:r w:rsidRPr="00A74F97">
        <w:t>. São Paulo: Brasiliense, 1984. p. 15-45.</w:t>
      </w:r>
    </w:p>
    <w:p w14:paraId="783C6D67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MOSSTON, </w:t>
      </w:r>
      <w:proofErr w:type="spellStart"/>
      <w:r w:rsidRPr="00A74F97">
        <w:t>Muska</w:t>
      </w:r>
      <w:proofErr w:type="spellEnd"/>
      <w:r w:rsidRPr="00A74F97">
        <w:t xml:space="preserve">; ASHWORTH, Sara. </w:t>
      </w:r>
      <w:proofErr w:type="spellStart"/>
      <w:r w:rsidRPr="00A74F97">
        <w:rPr>
          <w:i/>
          <w:iCs/>
        </w:rPr>
        <w:t>Teaching</w:t>
      </w:r>
      <w:proofErr w:type="spellEnd"/>
      <w:r w:rsidRPr="00A74F97">
        <w:rPr>
          <w:i/>
          <w:iCs/>
        </w:rPr>
        <w:t xml:space="preserve"> </w:t>
      </w:r>
      <w:proofErr w:type="spellStart"/>
      <w:r w:rsidRPr="00A74F97">
        <w:rPr>
          <w:i/>
          <w:iCs/>
        </w:rPr>
        <w:t>physical</w:t>
      </w:r>
      <w:proofErr w:type="spellEnd"/>
      <w:r w:rsidRPr="00A74F97">
        <w:rPr>
          <w:i/>
          <w:iCs/>
        </w:rPr>
        <w:t xml:space="preserve"> </w:t>
      </w:r>
      <w:proofErr w:type="spellStart"/>
      <w:r w:rsidRPr="00A74F97">
        <w:rPr>
          <w:i/>
          <w:iCs/>
        </w:rPr>
        <w:t>education</w:t>
      </w:r>
      <w:proofErr w:type="spellEnd"/>
      <w:r w:rsidRPr="00A74F97">
        <w:rPr>
          <w:i/>
          <w:iCs/>
        </w:rPr>
        <w:t xml:space="preserve">: a </w:t>
      </w:r>
      <w:proofErr w:type="spellStart"/>
      <w:r w:rsidRPr="00A74F97">
        <w:rPr>
          <w:i/>
          <w:iCs/>
        </w:rPr>
        <w:t>guide</w:t>
      </w:r>
      <w:proofErr w:type="spellEnd"/>
      <w:r w:rsidRPr="00A74F97">
        <w:rPr>
          <w:i/>
          <w:iCs/>
        </w:rPr>
        <w:t xml:space="preserve"> for </w:t>
      </w:r>
      <w:proofErr w:type="spellStart"/>
      <w:r w:rsidRPr="00A74F97">
        <w:rPr>
          <w:i/>
          <w:iCs/>
        </w:rPr>
        <w:t>teachers</w:t>
      </w:r>
      <w:proofErr w:type="spellEnd"/>
      <w:r w:rsidRPr="00A74F97">
        <w:t>. San Francisco: Benjamin Cummings, 2002.</w:t>
      </w:r>
    </w:p>
    <w:p w14:paraId="413DFFA1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RAMOS, Valmor; GRAÇA, Amândio Braga; NASCIMENTO, Juarez Vieira do. O conhecimento pedagógico do conteúdo: estrutura e implicações à formação em Educação Física. </w:t>
      </w:r>
      <w:r w:rsidRPr="00A74F97">
        <w:rPr>
          <w:i/>
          <w:iCs/>
        </w:rPr>
        <w:t>Revista Brasileira de Educação Física e Esporte</w:t>
      </w:r>
      <w:r w:rsidRPr="00A74F97">
        <w:t>, São Paulo, v. 22, n. 2, p. 161-171, 2008.</w:t>
      </w:r>
    </w:p>
    <w:p w14:paraId="02849D08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SCHÖN, Donald A. </w:t>
      </w:r>
      <w:r w:rsidRPr="00A74F97">
        <w:rPr>
          <w:i/>
          <w:iCs/>
        </w:rPr>
        <w:t>Educando o profissional reflexivo: um novo design para o ensino e a aprendizagem</w:t>
      </w:r>
      <w:r w:rsidRPr="00A74F97">
        <w:t>. Porto Alegre: Artmed, 2000.</w:t>
      </w:r>
    </w:p>
    <w:p w14:paraId="3488F1B5" w14:textId="77777777" w:rsidR="00A74F97" w:rsidRPr="00A74F97" w:rsidRDefault="00A74F97" w:rsidP="008F4556">
      <w:pPr>
        <w:pStyle w:val="Texto"/>
        <w:ind w:firstLine="0"/>
        <w:jc w:val="left"/>
      </w:pPr>
      <w:r w:rsidRPr="00A74F97">
        <w:t xml:space="preserve">UNESCO. </w:t>
      </w:r>
      <w:proofErr w:type="spellStart"/>
      <w:r w:rsidRPr="00A74F97">
        <w:rPr>
          <w:i/>
          <w:iCs/>
        </w:rPr>
        <w:t>Quality</w:t>
      </w:r>
      <w:proofErr w:type="spellEnd"/>
      <w:r w:rsidRPr="00A74F97">
        <w:rPr>
          <w:i/>
          <w:iCs/>
        </w:rPr>
        <w:t xml:space="preserve"> </w:t>
      </w:r>
      <w:proofErr w:type="spellStart"/>
      <w:r w:rsidRPr="00A74F97">
        <w:rPr>
          <w:i/>
          <w:iCs/>
        </w:rPr>
        <w:t>Physical</w:t>
      </w:r>
      <w:proofErr w:type="spellEnd"/>
      <w:r w:rsidRPr="00A74F97">
        <w:rPr>
          <w:i/>
          <w:iCs/>
        </w:rPr>
        <w:t xml:space="preserve"> </w:t>
      </w:r>
      <w:proofErr w:type="spellStart"/>
      <w:r w:rsidRPr="00A74F97">
        <w:rPr>
          <w:i/>
          <w:iCs/>
        </w:rPr>
        <w:t>Education</w:t>
      </w:r>
      <w:proofErr w:type="spellEnd"/>
      <w:r w:rsidRPr="00A74F97">
        <w:rPr>
          <w:i/>
          <w:iCs/>
        </w:rPr>
        <w:t xml:space="preserve">: </w:t>
      </w:r>
      <w:proofErr w:type="spellStart"/>
      <w:r w:rsidRPr="00A74F97">
        <w:rPr>
          <w:i/>
          <w:iCs/>
        </w:rPr>
        <w:t>Guidelines</w:t>
      </w:r>
      <w:proofErr w:type="spellEnd"/>
      <w:r w:rsidRPr="00A74F97">
        <w:rPr>
          <w:i/>
          <w:iCs/>
        </w:rPr>
        <w:t xml:space="preserve"> for </w:t>
      </w:r>
      <w:proofErr w:type="spellStart"/>
      <w:r w:rsidRPr="00A74F97">
        <w:rPr>
          <w:i/>
          <w:iCs/>
        </w:rPr>
        <w:t>Policy-Makers</w:t>
      </w:r>
      <w:proofErr w:type="spellEnd"/>
      <w:r w:rsidRPr="00A74F97">
        <w:t>. Paris: UNESCO, 2021. Disponível em: https://unesdoc.unesco.org/ark:/48223/pf0000374260. Acesso em: 20 set. 2025.</w:t>
      </w:r>
    </w:p>
    <w:p w14:paraId="1CEA4D6E" w14:textId="77777777" w:rsidR="00597F8A" w:rsidRPr="004C446D" w:rsidRDefault="00597F8A" w:rsidP="009A33DE">
      <w:pPr>
        <w:pStyle w:val="Texto"/>
      </w:pPr>
    </w:p>
    <w:p w14:paraId="4D45BADC" w14:textId="54CEFA49" w:rsidR="00DF040B" w:rsidRPr="00CD581C" w:rsidRDefault="00DF040B" w:rsidP="00DF040B">
      <w:pPr>
        <w:pStyle w:val="TtulosNoNumerados"/>
      </w:pPr>
    </w:p>
    <w:sectPr w:rsidR="00DF040B" w:rsidRPr="00CD581C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84582" w14:textId="77777777" w:rsidR="00CC4145" w:rsidRDefault="00CC4145" w:rsidP="00026BCD">
      <w:pPr>
        <w:spacing w:line="240" w:lineRule="auto"/>
      </w:pPr>
      <w:r>
        <w:separator/>
      </w:r>
    </w:p>
  </w:endnote>
  <w:endnote w:type="continuationSeparator" w:id="0">
    <w:p w14:paraId="3746EB55" w14:textId="77777777" w:rsidR="00CC4145" w:rsidRDefault="00CC4145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67618" w14:textId="77777777" w:rsidR="00CC4145" w:rsidRDefault="00CC4145" w:rsidP="00026BCD">
      <w:pPr>
        <w:spacing w:line="240" w:lineRule="auto"/>
      </w:pPr>
      <w:r>
        <w:separator/>
      </w:r>
    </w:p>
  </w:footnote>
  <w:footnote w:type="continuationSeparator" w:id="0">
    <w:p w14:paraId="3F507901" w14:textId="77777777" w:rsidR="00CC4145" w:rsidRDefault="00CC4145" w:rsidP="00026BCD">
      <w:pPr>
        <w:spacing w:line="240" w:lineRule="auto"/>
      </w:pPr>
      <w:r>
        <w:continuationSeparator/>
      </w:r>
    </w:p>
  </w:footnote>
  <w:footnote w:id="1">
    <w:p w14:paraId="547BCA90" w14:textId="7A1042BE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DF040B">
        <w:rPr>
          <w:rFonts w:ascii="Arial" w:eastAsia="Arial" w:hAnsi="Arial" w:cs="Arial"/>
        </w:rPr>
        <w:t xml:space="preserve"> </w:t>
      </w:r>
      <w:r w:rsidR="00E632DC">
        <w:rPr>
          <w:rFonts w:ascii="Arial" w:eastAsia="Arial" w:hAnsi="Arial" w:cs="Arial"/>
        </w:rPr>
        <w:t>Doutor</w:t>
      </w:r>
      <w:r w:rsidR="00DF040B">
        <w:rPr>
          <w:rFonts w:ascii="Arial" w:eastAsia="Arial" w:hAnsi="Arial" w:cs="Arial"/>
        </w:rPr>
        <w:t xml:space="preserve">, </w:t>
      </w:r>
      <w:r w:rsidR="00E632DC">
        <w:rPr>
          <w:rFonts w:ascii="Arial" w:eastAsia="Arial" w:hAnsi="Arial" w:cs="Arial"/>
        </w:rPr>
        <w:t>Unifebe</w:t>
      </w:r>
      <w:r w:rsidR="00DF040B">
        <w:rPr>
          <w:rFonts w:ascii="Arial" w:eastAsia="Arial" w:hAnsi="Arial" w:cs="Arial"/>
        </w:rPr>
        <w:t xml:space="preserve">, </w:t>
      </w:r>
      <w:r w:rsidR="00E632DC">
        <w:rPr>
          <w:rFonts w:ascii="Arial" w:eastAsia="Arial" w:hAnsi="Arial" w:cs="Arial"/>
        </w:rPr>
        <w:t>Brusque</w:t>
      </w:r>
      <w:r w:rsidR="00DF040B">
        <w:rPr>
          <w:rFonts w:ascii="Arial" w:eastAsia="Arial" w:hAnsi="Arial" w:cs="Arial"/>
        </w:rPr>
        <w:t xml:space="preserve">, </w:t>
      </w:r>
      <w:r w:rsidR="00E632DC">
        <w:rPr>
          <w:rFonts w:ascii="Arial" w:eastAsia="Arial" w:hAnsi="Arial" w:cs="Arial"/>
        </w:rPr>
        <w:t>Santa Catarina</w:t>
      </w:r>
      <w:r w:rsidR="00DF040B">
        <w:rPr>
          <w:rFonts w:ascii="Arial" w:eastAsia="Arial" w:hAnsi="Arial" w:cs="Arial"/>
        </w:rPr>
        <w:t xml:space="preserve">, </w:t>
      </w:r>
      <w:r w:rsidR="00E632DC">
        <w:rPr>
          <w:rFonts w:ascii="Arial" w:eastAsia="Arial" w:hAnsi="Arial" w:cs="Arial"/>
        </w:rPr>
        <w:t>Brasil</w:t>
      </w:r>
      <w:r w:rsidR="00DF040B">
        <w:rPr>
          <w:rFonts w:ascii="Arial" w:eastAsia="Arial" w:hAnsi="Arial" w:cs="Arial"/>
        </w:rPr>
        <w:t xml:space="preserve">, </w:t>
      </w:r>
      <w:r w:rsidR="00E632DC">
        <w:rPr>
          <w:rFonts w:ascii="Arial" w:eastAsia="Arial" w:hAnsi="Arial" w:cs="Arial"/>
        </w:rPr>
        <w:t>wagner.estacio@unifebe.edu.br</w:t>
      </w:r>
    </w:p>
  </w:footnote>
  <w:footnote w:id="2">
    <w:p w14:paraId="6D2413CF" w14:textId="5CDD5C5F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r w:rsidR="00E632DC">
        <w:rPr>
          <w:rFonts w:ascii="Arial" w:eastAsia="Arial" w:hAnsi="Arial" w:cs="Arial"/>
        </w:rPr>
        <w:t>Doutor, Unifebe, Brusque, Santa Catarina, Brasil,</w:t>
      </w:r>
      <w:r w:rsidR="00996B33">
        <w:rPr>
          <w:rFonts w:ascii="Arial" w:eastAsia="Arial" w:hAnsi="Arial" w:cs="Arial"/>
        </w:rPr>
        <w:t xml:space="preserve"> andrebraz@unifebe.edu.br</w:t>
      </w:r>
    </w:p>
  </w:footnote>
  <w:footnote w:id="3">
    <w:p w14:paraId="5F25C380" w14:textId="332D9156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 </w:t>
      </w:r>
      <w:r w:rsidR="00E632DC">
        <w:rPr>
          <w:rFonts w:ascii="Arial" w:eastAsia="Arial" w:hAnsi="Arial" w:cs="Arial"/>
        </w:rPr>
        <w:t>Doutor, Unifebe, Brusque, Santa Catarina, Brasil</w:t>
      </w:r>
      <w:r w:rsidRPr="35BB4FFD">
        <w:rPr>
          <w:rFonts w:ascii="Arial" w:eastAsia="Arial" w:hAnsi="Arial" w:cs="Arial"/>
        </w:rPr>
        <w:t xml:space="preserve">, </w:t>
      </w:r>
      <w:r w:rsidR="00996B33">
        <w:rPr>
          <w:rFonts w:ascii="Arial" w:eastAsia="Arial" w:hAnsi="Arial" w:cs="Arial"/>
        </w:rPr>
        <w:t>derli@unifebe.edu.br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A66B61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34CB68DF" w:rsidRDefault="00A66B61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3.45pt;margin-top:-75.1pt;width:571.45pt;height:829.4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A66B61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01FA"/>
    <w:rsid w:val="000251AB"/>
    <w:rsid w:val="00026BCD"/>
    <w:rsid w:val="0004284F"/>
    <w:rsid w:val="00042954"/>
    <w:rsid w:val="00043EE8"/>
    <w:rsid w:val="00055BA2"/>
    <w:rsid w:val="00057443"/>
    <w:rsid w:val="00071D81"/>
    <w:rsid w:val="00083ECD"/>
    <w:rsid w:val="0008414C"/>
    <w:rsid w:val="00091F4C"/>
    <w:rsid w:val="000967A4"/>
    <w:rsid w:val="000B3107"/>
    <w:rsid w:val="000B3767"/>
    <w:rsid w:val="00116C61"/>
    <w:rsid w:val="001269F4"/>
    <w:rsid w:val="00126DD2"/>
    <w:rsid w:val="00127DB1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716F"/>
    <w:rsid w:val="001E75F3"/>
    <w:rsid w:val="001F6136"/>
    <w:rsid w:val="00217CF3"/>
    <w:rsid w:val="002365E1"/>
    <w:rsid w:val="00244A08"/>
    <w:rsid w:val="002506BE"/>
    <w:rsid w:val="00251815"/>
    <w:rsid w:val="0029403C"/>
    <w:rsid w:val="00297730"/>
    <w:rsid w:val="002A6224"/>
    <w:rsid w:val="002D4387"/>
    <w:rsid w:val="002E5744"/>
    <w:rsid w:val="0030144E"/>
    <w:rsid w:val="0030158D"/>
    <w:rsid w:val="003048C7"/>
    <w:rsid w:val="003063C9"/>
    <w:rsid w:val="00390C0D"/>
    <w:rsid w:val="00391E0A"/>
    <w:rsid w:val="00391F87"/>
    <w:rsid w:val="003A16B9"/>
    <w:rsid w:val="003A53FB"/>
    <w:rsid w:val="003B1142"/>
    <w:rsid w:val="003B2FAA"/>
    <w:rsid w:val="003B5B9D"/>
    <w:rsid w:val="003B6045"/>
    <w:rsid w:val="003D08B6"/>
    <w:rsid w:val="003E279A"/>
    <w:rsid w:val="003F656B"/>
    <w:rsid w:val="00403677"/>
    <w:rsid w:val="00421450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4F34DD"/>
    <w:rsid w:val="00501902"/>
    <w:rsid w:val="00522804"/>
    <w:rsid w:val="00526D12"/>
    <w:rsid w:val="00531E8C"/>
    <w:rsid w:val="00541BBA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3049B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C695C"/>
    <w:rsid w:val="007D0EAE"/>
    <w:rsid w:val="007E2E87"/>
    <w:rsid w:val="007E33B8"/>
    <w:rsid w:val="00816790"/>
    <w:rsid w:val="00816D36"/>
    <w:rsid w:val="00823FCA"/>
    <w:rsid w:val="00836A3A"/>
    <w:rsid w:val="00852E20"/>
    <w:rsid w:val="008562B7"/>
    <w:rsid w:val="00865FF8"/>
    <w:rsid w:val="0087040B"/>
    <w:rsid w:val="00887252"/>
    <w:rsid w:val="00892CA9"/>
    <w:rsid w:val="008967EE"/>
    <w:rsid w:val="008B711F"/>
    <w:rsid w:val="008C02E5"/>
    <w:rsid w:val="008C6DFB"/>
    <w:rsid w:val="008F32E8"/>
    <w:rsid w:val="008F3891"/>
    <w:rsid w:val="008F4556"/>
    <w:rsid w:val="0090786F"/>
    <w:rsid w:val="00915550"/>
    <w:rsid w:val="009173EC"/>
    <w:rsid w:val="00944D8A"/>
    <w:rsid w:val="00965B62"/>
    <w:rsid w:val="009676AF"/>
    <w:rsid w:val="00971680"/>
    <w:rsid w:val="0098531D"/>
    <w:rsid w:val="00996B33"/>
    <w:rsid w:val="009A0059"/>
    <w:rsid w:val="009A33DE"/>
    <w:rsid w:val="009B4393"/>
    <w:rsid w:val="009E3B90"/>
    <w:rsid w:val="009E6C0F"/>
    <w:rsid w:val="009F7D4F"/>
    <w:rsid w:val="00A161E5"/>
    <w:rsid w:val="00A223FB"/>
    <w:rsid w:val="00A27006"/>
    <w:rsid w:val="00A35ED3"/>
    <w:rsid w:val="00A3614D"/>
    <w:rsid w:val="00A47061"/>
    <w:rsid w:val="00A47C24"/>
    <w:rsid w:val="00A66B61"/>
    <w:rsid w:val="00A74F97"/>
    <w:rsid w:val="00AB2173"/>
    <w:rsid w:val="00AB47AE"/>
    <w:rsid w:val="00AB6141"/>
    <w:rsid w:val="00AB6BC4"/>
    <w:rsid w:val="00AC6898"/>
    <w:rsid w:val="00AD5392"/>
    <w:rsid w:val="00AD658C"/>
    <w:rsid w:val="00AF346D"/>
    <w:rsid w:val="00AF4418"/>
    <w:rsid w:val="00B2706C"/>
    <w:rsid w:val="00B31EAA"/>
    <w:rsid w:val="00B35ECD"/>
    <w:rsid w:val="00B43052"/>
    <w:rsid w:val="00B47A4E"/>
    <w:rsid w:val="00B61B60"/>
    <w:rsid w:val="00B6500C"/>
    <w:rsid w:val="00B663F7"/>
    <w:rsid w:val="00B7745C"/>
    <w:rsid w:val="00B801C6"/>
    <w:rsid w:val="00B831A9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1250B"/>
    <w:rsid w:val="00C8769A"/>
    <w:rsid w:val="00CA612A"/>
    <w:rsid w:val="00CC3A42"/>
    <w:rsid w:val="00CC4145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D36F5"/>
    <w:rsid w:val="00DE30BE"/>
    <w:rsid w:val="00DF040B"/>
    <w:rsid w:val="00E044EA"/>
    <w:rsid w:val="00E05F28"/>
    <w:rsid w:val="00E406F6"/>
    <w:rsid w:val="00E57BDA"/>
    <w:rsid w:val="00E632DC"/>
    <w:rsid w:val="00E65BC9"/>
    <w:rsid w:val="00E73320"/>
    <w:rsid w:val="00E91D9C"/>
    <w:rsid w:val="00EA0B86"/>
    <w:rsid w:val="00EC1F91"/>
    <w:rsid w:val="00ED4385"/>
    <w:rsid w:val="00ED7BE5"/>
    <w:rsid w:val="00EE2639"/>
    <w:rsid w:val="00F05192"/>
    <w:rsid w:val="00F27CE0"/>
    <w:rsid w:val="00F46CF2"/>
    <w:rsid w:val="00F647DC"/>
    <w:rsid w:val="00F72FD3"/>
    <w:rsid w:val="00F97363"/>
    <w:rsid w:val="00F97C22"/>
    <w:rsid w:val="00FA3E5F"/>
    <w:rsid w:val="00FB7715"/>
    <w:rsid w:val="00FC02FB"/>
    <w:rsid w:val="00FC4166"/>
    <w:rsid w:val="00FC6AF0"/>
    <w:rsid w:val="00FD0708"/>
    <w:rsid w:val="00FD0AF1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c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1862</Words>
  <Characters>10056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Wagner Estácio de Paula</cp:lastModifiedBy>
  <cp:revision>2</cp:revision>
  <dcterms:created xsi:type="dcterms:W3CDTF">2025-11-05T01:20:00Z</dcterms:created>
  <dcterms:modified xsi:type="dcterms:W3CDTF">2025-11-05T01:20:00Z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