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43EC0" w14:textId="0B5E23A4" w:rsidR="000B3107" w:rsidRDefault="008562B7" w:rsidP="00235F24">
      <w:pPr>
        <w:pStyle w:val="PargrafodaLista"/>
        <w:tabs>
          <w:tab w:val="left" w:pos="5871"/>
        </w:tabs>
        <w:jc w:val="left"/>
        <w:rPr>
          <w:rFonts w:ascii="Arial" w:hAnsi="Arial" w:cs="Arial"/>
          <w:sz w:val="24"/>
          <w:szCs w:val="24"/>
        </w:rPr>
      </w:pPr>
      <w:bookmarkStart w:id="0" w:name="_GoBack"/>
      <w:bookmarkEnd w:id="0"/>
      <w:r>
        <w:rPr>
          <w:rFonts w:ascii="Arial" w:hAnsi="Arial" w:cs="Arial"/>
          <w:sz w:val="24"/>
          <w:szCs w:val="24"/>
        </w:rPr>
        <w:tab/>
      </w: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76D58E5E" w:rsidR="0491D5EE" w:rsidRPr="001F6136" w:rsidRDefault="2BF74FE8" w:rsidP="001F6136">
      <w:pPr>
        <w:ind w:firstLine="0"/>
        <w:rPr>
          <w:rFonts w:ascii="Arial" w:hAnsi="Arial" w:cs="Arial"/>
          <w:sz w:val="24"/>
          <w:szCs w:val="24"/>
        </w:rPr>
      </w:pPr>
      <w:r w:rsidRPr="001F6136">
        <w:rPr>
          <w:rFonts w:ascii="Arial" w:hAnsi="Arial" w:cs="Arial"/>
          <w:sz w:val="24"/>
          <w:szCs w:val="24"/>
        </w:rPr>
        <w:t>Grupo de Trabalho (GT</w:t>
      </w:r>
      <w:r w:rsidRPr="00C5233B">
        <w:rPr>
          <w:rFonts w:ascii="Arial" w:hAnsi="Arial" w:cs="Arial"/>
          <w:sz w:val="24"/>
          <w:szCs w:val="24"/>
        </w:rPr>
        <w:t xml:space="preserve">): </w:t>
      </w:r>
      <w:r w:rsidR="0084089D" w:rsidRPr="00C5233B">
        <w:rPr>
          <w:rFonts w:ascii="Arial" w:hAnsi="Arial" w:cs="Arial"/>
          <w:sz w:val="24"/>
          <w:szCs w:val="24"/>
        </w:rPr>
        <w:t xml:space="preserve">GT-1: </w:t>
      </w:r>
      <w:r w:rsidR="0084089D" w:rsidRPr="00C5233B">
        <w:rPr>
          <w:rFonts w:ascii="Arial" w:hAnsi="Arial" w:cs="Arial"/>
          <w:i/>
          <w:iCs/>
          <w:sz w:val="24"/>
          <w:szCs w:val="24"/>
        </w:rPr>
        <w:t>Convivência escolar e enfrentamento à violência: práticas que desenvolvemos para a melhoria da qualidade da escolarização.</w:t>
      </w:r>
    </w:p>
    <w:p w14:paraId="7E19E27C" w14:textId="759E3003"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r w:rsidR="0084089D">
        <w:rPr>
          <w:rFonts w:ascii="Arial" w:hAnsi="Arial" w:cs="Arial"/>
          <w:sz w:val="24"/>
          <w:szCs w:val="24"/>
        </w:rPr>
        <w:t>.</w:t>
      </w:r>
    </w:p>
    <w:p w14:paraId="1572CD5D" w14:textId="5EFC8CF2"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on</w:t>
      </w:r>
      <w:r w:rsidR="00250E5E">
        <w:rPr>
          <w:rFonts w:ascii="Arial" w:hAnsi="Arial" w:cs="Arial"/>
          <w:sz w:val="24"/>
          <w:szCs w:val="24"/>
        </w:rPr>
        <w:t>-</w:t>
      </w:r>
      <w:r w:rsidRPr="001F6136">
        <w:rPr>
          <w:rFonts w:ascii="Arial" w:hAnsi="Arial" w:cs="Arial"/>
          <w:sz w:val="24"/>
          <w:szCs w:val="24"/>
        </w:rPr>
        <w:t>line</w:t>
      </w:r>
      <w:r w:rsidR="0084089D">
        <w:rPr>
          <w:rFonts w:ascii="Arial" w:hAnsi="Arial" w:cs="Arial"/>
          <w:sz w:val="24"/>
          <w:szCs w:val="24"/>
        </w:rPr>
        <w:t>.</w:t>
      </w:r>
    </w:p>
    <w:p w14:paraId="5191CADF" w14:textId="5F803C52" w:rsidR="0491D5EE" w:rsidRDefault="0491D5EE" w:rsidP="00E73320">
      <w:pPr>
        <w:pStyle w:val="Texto"/>
      </w:pPr>
    </w:p>
    <w:p w14:paraId="04254D81" w14:textId="58D7E3CC" w:rsidR="00A817C2" w:rsidRPr="00BA0A30" w:rsidRDefault="003C3BB1" w:rsidP="00A817C2">
      <w:pPr>
        <w:jc w:val="center"/>
        <w:rPr>
          <w:rFonts w:ascii="Arial" w:hAnsi="Arial" w:cs="Arial"/>
          <w:b/>
          <w:bCs/>
          <w:sz w:val="24"/>
          <w:szCs w:val="24"/>
        </w:rPr>
      </w:pPr>
      <w:r w:rsidRPr="00BA0A30">
        <w:rPr>
          <w:rFonts w:ascii="Arial" w:hAnsi="Arial" w:cs="Arial"/>
          <w:b/>
          <w:bCs/>
          <w:sz w:val="24"/>
          <w:szCs w:val="24"/>
        </w:rPr>
        <w:t>EDUCAÇÃO EM DIREITOS HUMANOS NO ENSINO DE FILOSOFIA: DEBATES SOBRE O DIREITO AO FILOSOFAR NO BRASIL</w:t>
      </w:r>
    </w:p>
    <w:p w14:paraId="53C693EA" w14:textId="77777777" w:rsidR="00A817C2" w:rsidRPr="00A817C2" w:rsidRDefault="00A817C2" w:rsidP="00A817C2"/>
    <w:p w14:paraId="5A1B1E66" w14:textId="6C5C168C" w:rsidR="78AE189E" w:rsidRPr="00DA1797" w:rsidRDefault="78AE189E" w:rsidP="00E73320">
      <w:pPr>
        <w:pStyle w:val="Texto"/>
      </w:pPr>
    </w:p>
    <w:p w14:paraId="7DC4BC66" w14:textId="67A2AC1B" w:rsidR="00A161E5" w:rsidRPr="00DA1797" w:rsidRDefault="00BA0A30" w:rsidP="004C446D">
      <w:pPr>
        <w:pStyle w:val="Autoria"/>
        <w:rPr>
          <w:sz w:val="24"/>
        </w:rPr>
      </w:pPr>
      <w:r>
        <w:rPr>
          <w:sz w:val="24"/>
        </w:rPr>
        <w:t>Amanda Veloso Garcia</w:t>
      </w:r>
      <w:r w:rsidR="00250E5E">
        <w:rPr>
          <w:rStyle w:val="Refdenotaderodap"/>
          <w:sz w:val="24"/>
        </w:rPr>
        <w:footnoteReference w:id="1"/>
      </w:r>
    </w:p>
    <w:p w14:paraId="4F47D999" w14:textId="323E0AE3" w:rsidR="00DF040B" w:rsidRPr="00DA1797" w:rsidRDefault="00250E5E" w:rsidP="00250E5E">
      <w:pPr>
        <w:pStyle w:val="Texto"/>
        <w:tabs>
          <w:tab w:val="clear" w:pos="4819"/>
          <w:tab w:val="left" w:pos="5760"/>
        </w:tabs>
      </w:pPr>
      <w:r>
        <w:tab/>
      </w:r>
    </w:p>
    <w:p w14:paraId="7783C2E5" w14:textId="4ABC4FC0" w:rsidR="00BB3206" w:rsidRPr="00274FB1" w:rsidRDefault="00BD0F6C" w:rsidP="00442C14">
      <w:pPr>
        <w:pStyle w:val="Resumo"/>
      </w:pPr>
      <w:r w:rsidRPr="001A1913">
        <w:rPr>
          <w:b/>
          <w:bCs/>
        </w:rPr>
        <w:t xml:space="preserve">PALAVRAS-CHAVE: </w:t>
      </w:r>
      <w:r w:rsidR="00274FB1" w:rsidRPr="00274FB1">
        <w:t>Direitos Humanos; Interculturalidade; Interseccionalidad</w:t>
      </w:r>
      <w:r w:rsidR="00274FB1">
        <w:t>e; Ensino de Filosofia; Filosofia Brasileira.</w:t>
      </w:r>
    </w:p>
    <w:p w14:paraId="7237142C" w14:textId="77777777" w:rsidR="00597F8A" w:rsidRDefault="00597F8A" w:rsidP="009A33DE">
      <w:pPr>
        <w:pStyle w:val="Texto"/>
      </w:pPr>
    </w:p>
    <w:p w14:paraId="3982CFE3" w14:textId="3E45718A" w:rsidR="00707214" w:rsidRPr="00536C28" w:rsidRDefault="0060173B" w:rsidP="00536C28">
      <w:pPr>
        <w:pStyle w:val="Ttulo1"/>
        <w:rPr>
          <w:rFonts w:cs="Arial"/>
          <w:szCs w:val="24"/>
        </w:rPr>
      </w:pPr>
      <w:r>
        <w:t xml:space="preserve">1 </w:t>
      </w:r>
      <w:r w:rsidR="00707214" w:rsidRPr="00536C28">
        <w:rPr>
          <w:rFonts w:cs="Arial"/>
          <w:szCs w:val="24"/>
        </w:rPr>
        <w:t>INTRODUÇÃO</w:t>
      </w:r>
      <w:r w:rsidR="00804ED6" w:rsidRPr="00536C28">
        <w:rPr>
          <w:rFonts w:cs="Arial"/>
          <w:szCs w:val="24"/>
        </w:rPr>
        <w:t xml:space="preserve"> E METODOLOGIA</w:t>
      </w:r>
    </w:p>
    <w:p w14:paraId="430D7F2A" w14:textId="1F2D0FAC" w:rsidR="00A817C2" w:rsidRPr="00536C28" w:rsidRDefault="00A817C2" w:rsidP="00536C28">
      <w:pPr>
        <w:spacing w:line="360" w:lineRule="auto"/>
        <w:ind w:firstLine="708"/>
        <w:rPr>
          <w:rFonts w:ascii="Arial" w:eastAsia="Times New Roman" w:hAnsi="Arial" w:cs="Arial"/>
          <w:bCs/>
          <w:color w:val="000000"/>
          <w:sz w:val="24"/>
          <w:szCs w:val="24"/>
        </w:rPr>
      </w:pPr>
      <w:r w:rsidRPr="00536C28">
        <w:rPr>
          <w:rFonts w:ascii="Arial" w:hAnsi="Arial" w:cs="Arial"/>
          <w:sz w:val="24"/>
          <w:szCs w:val="24"/>
        </w:rPr>
        <w:t xml:space="preserve">Toda concepção de ensino de filosofia carrega como pressuposta uma epistemologia, que determina o que significa conhecer, ensinar, aprender, avaliar, bem como o que é conhecimento válido, que tipo de ser humano se busca formar e o que significa filosofar. </w:t>
      </w:r>
      <w:r w:rsidRPr="00536C28">
        <w:rPr>
          <w:rFonts w:ascii="Arial" w:eastAsia="Times New Roman" w:hAnsi="Arial" w:cs="Arial"/>
          <w:bCs/>
          <w:color w:val="000000"/>
          <w:sz w:val="24"/>
          <w:szCs w:val="24"/>
        </w:rPr>
        <w:t xml:space="preserve">Diante disso, este </w:t>
      </w:r>
      <w:r w:rsidR="00177757">
        <w:rPr>
          <w:rFonts w:ascii="Arial" w:eastAsia="Times New Roman" w:hAnsi="Arial" w:cs="Arial"/>
          <w:bCs/>
          <w:color w:val="000000"/>
          <w:sz w:val="24"/>
          <w:szCs w:val="24"/>
        </w:rPr>
        <w:t>trabalho</w:t>
      </w:r>
      <w:r w:rsidRPr="00536C28">
        <w:rPr>
          <w:rFonts w:ascii="Arial" w:eastAsia="Times New Roman" w:hAnsi="Arial" w:cs="Arial"/>
          <w:bCs/>
          <w:color w:val="000000"/>
          <w:sz w:val="24"/>
          <w:szCs w:val="24"/>
        </w:rPr>
        <w:t xml:space="preserve"> pretende discutir o problema “O que envolve o direito ao filosofar no Brasil?”, com o objetivo de propor bases epistemológicas inclusivas e adequadas à realidade brasileira através de um ensino de Filosofia ancorado em uma perspectiva intercultural e interseccional. </w:t>
      </w:r>
    </w:p>
    <w:p w14:paraId="77D43B95" w14:textId="77777777" w:rsidR="00A817C2" w:rsidRPr="00536C28" w:rsidRDefault="00A817C2" w:rsidP="00536C28">
      <w:pPr>
        <w:spacing w:line="360" w:lineRule="auto"/>
        <w:ind w:firstLine="708"/>
        <w:rPr>
          <w:rFonts w:ascii="Arial" w:eastAsia="Times New Roman" w:hAnsi="Arial" w:cs="Arial"/>
          <w:sz w:val="24"/>
          <w:szCs w:val="24"/>
        </w:rPr>
      </w:pPr>
      <w:r w:rsidRPr="00536C28">
        <w:rPr>
          <w:rFonts w:ascii="Arial" w:eastAsia="Times New Roman" w:hAnsi="Arial" w:cs="Arial"/>
          <w:sz w:val="24"/>
          <w:szCs w:val="24"/>
        </w:rPr>
        <w:t>Inicialmente faremos um p</w:t>
      </w:r>
      <w:r w:rsidRPr="00536C28">
        <w:rPr>
          <w:rFonts w:ascii="Arial" w:hAnsi="Arial" w:cs="Arial"/>
          <w:sz w:val="24"/>
          <w:szCs w:val="24"/>
        </w:rPr>
        <w:t xml:space="preserve">anorama geral da discussão sobre o ensino de filosofia no Brasil com foco na pergunta “Docentes e estudantes podem ser filósofos/as/es?”, analisando </w:t>
      </w:r>
      <w:r w:rsidRPr="00536C28">
        <w:rPr>
          <w:rFonts w:ascii="Arial" w:eastAsia="Times New Roman" w:hAnsi="Arial" w:cs="Arial"/>
          <w:bCs/>
          <w:color w:val="000000"/>
          <w:sz w:val="24"/>
          <w:szCs w:val="24"/>
        </w:rPr>
        <w:t xml:space="preserve">se existe incentivo ao filosofar </w:t>
      </w:r>
      <w:r w:rsidRPr="00536C28">
        <w:rPr>
          <w:rFonts w:ascii="Arial" w:eastAsia="Times New Roman" w:hAnsi="Arial" w:cs="Arial"/>
          <w:sz w:val="24"/>
          <w:szCs w:val="24"/>
        </w:rPr>
        <w:t>acerca da realidade brasileira tanto na formação quanto no ensino de Filosofia</w:t>
      </w:r>
      <w:r w:rsidRPr="00536C28">
        <w:rPr>
          <w:rFonts w:ascii="Arial" w:hAnsi="Arial" w:cs="Arial"/>
          <w:sz w:val="24"/>
          <w:szCs w:val="24"/>
        </w:rPr>
        <w:t xml:space="preserve">. </w:t>
      </w:r>
      <w:r w:rsidRPr="00536C28">
        <w:rPr>
          <w:rFonts w:ascii="Arial" w:eastAsia="Times New Roman" w:hAnsi="Arial" w:cs="Arial"/>
          <w:sz w:val="24"/>
          <w:szCs w:val="24"/>
        </w:rPr>
        <w:t xml:space="preserve">Ao final desta análise, apontaremos alguns desafios e caminhos possíveis para um ensino de filosofia a partir do Brasil articulado a seus problemas e territórios. </w:t>
      </w:r>
    </w:p>
    <w:p w14:paraId="23FEAE5A" w14:textId="77777777" w:rsidR="00A817C2" w:rsidRPr="00536C28" w:rsidRDefault="00A817C2" w:rsidP="00536C28">
      <w:pPr>
        <w:spacing w:line="360" w:lineRule="auto"/>
        <w:ind w:firstLine="708"/>
        <w:rPr>
          <w:rFonts w:ascii="Arial" w:hAnsi="Arial" w:cs="Arial"/>
          <w:sz w:val="24"/>
          <w:szCs w:val="24"/>
        </w:rPr>
      </w:pPr>
      <w:r w:rsidRPr="00536C28">
        <w:rPr>
          <w:rFonts w:ascii="Arial" w:eastAsia="Times New Roman" w:hAnsi="Arial" w:cs="Arial"/>
          <w:sz w:val="24"/>
          <w:szCs w:val="24"/>
        </w:rPr>
        <w:t xml:space="preserve">A filosofia ocidental hegemônica carrega uma concepção de humanidade excludente dos povos originários, afro-brasileiros e das mulheres, grupos </w:t>
      </w:r>
      <w:r w:rsidRPr="00536C28">
        <w:rPr>
          <w:rFonts w:ascii="Arial" w:eastAsia="Times New Roman" w:hAnsi="Arial" w:cs="Arial"/>
          <w:sz w:val="24"/>
          <w:szCs w:val="24"/>
        </w:rPr>
        <w:lastRenderedPageBreak/>
        <w:t xml:space="preserve">fundamentais para compreender os problemas e o pensamento produzido no contexto nacional. </w:t>
      </w:r>
      <w:r w:rsidRPr="00536C28">
        <w:rPr>
          <w:rFonts w:ascii="Arial" w:hAnsi="Arial" w:cs="Arial"/>
          <w:sz w:val="24"/>
          <w:szCs w:val="24"/>
        </w:rPr>
        <w:t xml:space="preserve">Defenderemos que só é possível encontrar a filosofia no Brasil fazendo uma virada epistemológica, que exige ampliar os parâmetros sobre o que entendemos por filosofia e filosofar, o que é consequência de uma visão mais ampla de humanidade. Ou seja, o que está envolvido na discussão acerca do direito ao filosofar é um questionamento sobre a superioridade das ontologias ocidentais hegemônicas diante das ontologias “marginais”, como às dos africanos, afrodescendentes, ameríndios, mulheres, pessoas com deficiências, pessoas LGBTQIAPN+. </w:t>
      </w:r>
      <w:r w:rsidRPr="00536C28">
        <w:rPr>
          <w:rFonts w:ascii="Arial" w:eastAsia="Times New Roman" w:hAnsi="Arial" w:cs="Arial"/>
          <w:sz w:val="24"/>
          <w:szCs w:val="24"/>
        </w:rPr>
        <w:t>O direito ao filosofar aqui é entendido não apenas no estímulo ao filosofar como metodologia, elemento bastante defendido na educação básica e bastante restrito no ensino superior, mas com um ensino que tem sua fonte de filosofar a partir de uma perspectiva intercultural e interseccional sobre as pessoas e os problemas que emergem no cotidiano.</w:t>
      </w:r>
    </w:p>
    <w:p w14:paraId="251506C0" w14:textId="77777777" w:rsidR="00435A4C" w:rsidRPr="00536C28" w:rsidRDefault="00435A4C" w:rsidP="00536C28">
      <w:pPr>
        <w:pStyle w:val="Texto"/>
      </w:pPr>
    </w:p>
    <w:p w14:paraId="41EEC0FF" w14:textId="3B5B7B8E" w:rsidR="00435A4C" w:rsidRPr="00536C28" w:rsidRDefault="00FC4166" w:rsidP="00536C28">
      <w:pPr>
        <w:pStyle w:val="Ttulo1"/>
        <w:rPr>
          <w:rFonts w:cs="Arial"/>
          <w:szCs w:val="24"/>
        </w:rPr>
      </w:pPr>
      <w:r w:rsidRPr="00536C28">
        <w:rPr>
          <w:rFonts w:cs="Arial"/>
          <w:szCs w:val="24"/>
        </w:rPr>
        <w:t>2</w:t>
      </w:r>
      <w:r w:rsidR="00D97213" w:rsidRPr="00536C28">
        <w:rPr>
          <w:rFonts w:cs="Arial"/>
          <w:szCs w:val="24"/>
        </w:rPr>
        <w:t xml:space="preserve"> </w:t>
      </w:r>
      <w:r w:rsidR="00055BA2" w:rsidRPr="00536C28">
        <w:rPr>
          <w:rFonts w:cs="Arial"/>
          <w:szCs w:val="24"/>
        </w:rPr>
        <w:t>REFERENCIAL TEÓRICO</w:t>
      </w:r>
      <w:r w:rsidR="00804ED6" w:rsidRPr="00536C28">
        <w:rPr>
          <w:rFonts w:cs="Arial"/>
          <w:szCs w:val="24"/>
        </w:rPr>
        <w:t xml:space="preserve"> E DISCUSSÃO</w:t>
      </w:r>
    </w:p>
    <w:p w14:paraId="71B54FA3" w14:textId="524615D4" w:rsidR="001217D7" w:rsidRPr="00536C28" w:rsidRDefault="001217D7" w:rsidP="00536C28">
      <w:pPr>
        <w:spacing w:line="360" w:lineRule="auto"/>
        <w:ind w:firstLine="709"/>
        <w:rPr>
          <w:rFonts w:ascii="Arial" w:hAnsi="Arial" w:cs="Arial"/>
          <w:sz w:val="24"/>
          <w:szCs w:val="24"/>
        </w:rPr>
      </w:pPr>
      <w:r w:rsidRPr="00536C28">
        <w:rPr>
          <w:rFonts w:ascii="Arial" w:hAnsi="Arial" w:cs="Arial"/>
          <w:sz w:val="24"/>
          <w:szCs w:val="24"/>
        </w:rPr>
        <w:t xml:space="preserve">Um dos primeiros elementos a se considerar para responder a questão “Docentes e estudantes podem ser filósofos/as/es?”, é analisar o viés da formação e do ensino na área, verificando se incentiva o filosofar. </w:t>
      </w:r>
    </w:p>
    <w:p w14:paraId="53BD1301" w14:textId="2442A916" w:rsidR="001217D7" w:rsidRPr="00536C28" w:rsidRDefault="001217D7" w:rsidP="00536C28">
      <w:pPr>
        <w:spacing w:line="360" w:lineRule="auto"/>
        <w:ind w:firstLine="709"/>
        <w:rPr>
          <w:rFonts w:ascii="Arial" w:hAnsi="Arial" w:cs="Arial"/>
          <w:sz w:val="24"/>
          <w:szCs w:val="24"/>
        </w:rPr>
      </w:pPr>
      <w:r w:rsidRPr="00536C28">
        <w:rPr>
          <w:rFonts w:ascii="Arial" w:hAnsi="Arial" w:cs="Arial"/>
          <w:sz w:val="24"/>
          <w:szCs w:val="24"/>
        </w:rPr>
        <w:t xml:space="preserve">Já é amplamente discutido o fato de que os currículos das Licenciaturas em Filosofia e, consequentemente, os currículos da Educação Básica, são, em sua maioria, eurocêntricos e patriarcais, haja vista que é raro encontrar pessoas não-brancas, mulheres e pessoas LGBTQIAPN+ como referências, bem como os temas que são caros a esses grupos. Para além disso, é importante observar que as metodologias também são em geral eurocêntricas e patriarcais quando não há o reconhecimento da oralidade como ferramenta filosófica, sendo a formação e o ensino baseados exclusivamente na leitura e escrita de textos. Também não há o reconhecimento como legítimas de outras formas de expressão de pensamentos como, por exemplo, desenhos, pinturas corporais, ação, dança, entre outros. </w:t>
      </w:r>
    </w:p>
    <w:p w14:paraId="178EF1B2" w14:textId="77777777" w:rsidR="001217D7" w:rsidRPr="00536C28" w:rsidRDefault="001217D7" w:rsidP="00536C28">
      <w:pPr>
        <w:spacing w:line="360" w:lineRule="auto"/>
        <w:ind w:firstLine="709"/>
        <w:rPr>
          <w:rFonts w:ascii="Arial" w:hAnsi="Arial" w:cs="Arial"/>
          <w:sz w:val="24"/>
          <w:szCs w:val="24"/>
        </w:rPr>
      </w:pPr>
      <w:r w:rsidRPr="00536C28">
        <w:rPr>
          <w:rFonts w:ascii="Arial" w:hAnsi="Arial" w:cs="Arial"/>
          <w:sz w:val="24"/>
          <w:szCs w:val="24"/>
        </w:rPr>
        <w:t>Podemos entender essa exclusão como uma forma de epistemicídio. O epistemicídio significa “a destruição de conhecimentos ligada à destruição de seres humanos” (Grosfoguel, 2016, p. 26), ou seja, a exclusão da epistemologia de povos não dominantes por meio de escravidão, evangelização, doenças, escolarização, genocídio ou até mesmo devastação ambiental. Como discute a filósofa Sueli Carneiro:</w:t>
      </w:r>
    </w:p>
    <w:p w14:paraId="3E303C01" w14:textId="17FBDD5B" w:rsidR="001217D7" w:rsidRDefault="001217D7" w:rsidP="0035009A">
      <w:pPr>
        <w:pStyle w:val="Standard"/>
        <w:ind w:left="2268"/>
        <w:jc w:val="both"/>
        <w:rPr>
          <w:rFonts w:ascii="Arial" w:hAnsi="Arial"/>
          <w:sz w:val="20"/>
          <w:szCs w:val="20"/>
        </w:rPr>
      </w:pPr>
      <w:r w:rsidRPr="0035009A">
        <w:rPr>
          <w:rFonts w:ascii="Arial" w:hAnsi="Arial"/>
          <w:sz w:val="20"/>
          <w:szCs w:val="20"/>
        </w:rPr>
        <w:lastRenderedPageBreak/>
        <w:t>Para nós, porém, o epistemicídio é, para além da anulação e desqualificação do conhecimento dos povos subjugados, um processo persistente de produção da indigência cultural: pela negação ao acesso à educação, sobretudo de qualidade; pela produção da inferiorização intelectual; pelos diferentes mecanismos de deslegitimação do negro como portador e produtor de conhecimento e de rebaixamento da capacidade cognitiva pela carência material e/ou pelo comprometimento da auto-estima pelos processos de discriminação correntes no processo educativo. Isto porque não é possível desqualificar as formas de conhecimento dos povos dominados sem desqualificá-los também, individual e coletivamente, como sujeitos cognoscentes. E, ao fazê-lo, destitui-lhe a razão, a condição para alcançar o conhecimento “legítimo” ou legitimado. Por isso o epistemicídio fere de morte a racionalidade do subjugado ou a seqüestra, mutila a capacidade de aprender etc. É uma forma de seqüestro da razão em duplo sentido: pela negação da racionalidade do Outro ou pela assimilação cultural que em outros casos lhe é imposta. (Carneiro, 2015, p. 97)</w:t>
      </w:r>
    </w:p>
    <w:p w14:paraId="3467ADEC" w14:textId="77777777" w:rsidR="0035009A" w:rsidRDefault="0035009A" w:rsidP="0035009A">
      <w:pPr>
        <w:pStyle w:val="Standard"/>
        <w:ind w:left="2268"/>
        <w:jc w:val="both"/>
        <w:rPr>
          <w:rFonts w:cs="Times New Roman"/>
        </w:rPr>
      </w:pPr>
    </w:p>
    <w:p w14:paraId="5B7AC3CF" w14:textId="77777777" w:rsidR="001217D7" w:rsidRPr="00536C28" w:rsidRDefault="001217D7" w:rsidP="00536C28">
      <w:pPr>
        <w:spacing w:line="360" w:lineRule="auto"/>
        <w:ind w:firstLine="709"/>
        <w:rPr>
          <w:rFonts w:ascii="Arial" w:hAnsi="Arial" w:cs="Arial"/>
          <w:sz w:val="24"/>
          <w:szCs w:val="24"/>
        </w:rPr>
      </w:pPr>
      <w:r w:rsidRPr="00536C28">
        <w:rPr>
          <w:rFonts w:ascii="Arial" w:hAnsi="Arial" w:cs="Arial"/>
          <w:sz w:val="24"/>
          <w:szCs w:val="24"/>
        </w:rPr>
        <w:t>Diante disso, compartilhamos da hipótese pluriversal acerca da Filosofia. Como explica Renato Noguera,</w:t>
      </w:r>
    </w:p>
    <w:p w14:paraId="71FEF1F2" w14:textId="77777777" w:rsidR="001217D7" w:rsidRPr="00E2403F" w:rsidRDefault="001217D7" w:rsidP="00E2403F">
      <w:pPr>
        <w:spacing w:line="240" w:lineRule="auto"/>
        <w:ind w:left="2268" w:firstLine="0"/>
        <w:rPr>
          <w:rFonts w:ascii="Arial" w:hAnsi="Arial" w:cs="Arial"/>
          <w:sz w:val="20"/>
          <w:szCs w:val="20"/>
        </w:rPr>
      </w:pPr>
      <w:r w:rsidRPr="00E2403F">
        <w:rPr>
          <w:rFonts w:ascii="Arial" w:hAnsi="Arial" w:cs="Arial"/>
          <w:sz w:val="20"/>
          <w:szCs w:val="20"/>
        </w:rPr>
        <w:t xml:space="preserve">No caso: “Quem ou que povo ‘inventou’ a filosofia?” Fenômenos como música, filosofia ou arquitetura nascem em regiões particulares, mas, devido o caráter pluriversal da realidade, as produções humanas ocorrem em diversas regiões do mundo enfrentando problemas e demandas comuns. </w:t>
      </w:r>
    </w:p>
    <w:p w14:paraId="5C94C1E8" w14:textId="77777777" w:rsidR="001217D7" w:rsidRPr="00E2403F" w:rsidRDefault="001217D7" w:rsidP="00E2403F">
      <w:pPr>
        <w:spacing w:line="240" w:lineRule="auto"/>
        <w:ind w:left="2268" w:firstLine="0"/>
        <w:rPr>
          <w:rFonts w:ascii="Arial" w:hAnsi="Arial" w:cs="Arial"/>
          <w:sz w:val="20"/>
          <w:szCs w:val="20"/>
        </w:rPr>
      </w:pPr>
      <w:r w:rsidRPr="00E2403F">
        <w:rPr>
          <w:rFonts w:ascii="Arial" w:hAnsi="Arial" w:cs="Arial"/>
          <w:sz w:val="20"/>
          <w:szCs w:val="20"/>
        </w:rPr>
        <w:t>Em poucas palavras, é contra o racismo epistêmico, o racismo antinegro e todos os tipos de racismo que entendo que devemos sustentar a validade da filosofia como pluriversal e, por conseguinte, a existência da filosofia africana. Como já foi dito, as pesquisas de James, Diop e Obenga sistematizaram escritos filosóficos egípcios anteriores aos textos dos gregos; mas isso não significa que foram os africanos que inventaram a filosofia. Tampouco a anterioridade de alguns textos indianos e chineses em relação aos escritos gregos indicaria um tipo de precedência. Porque é importante desvincular a ausência de registros escritos da inexistência de reflexões filosóficas. Por outro lado, também não estamos buscando resolver um tipo de mistérios da natureza: “Quem nasceu primeiro: o ovo ou a galinha?” O meu ponto de vista é que as reflexões filosóficas são, em certa medida, “congênitas” à própria “condição humana”. Diferentemente da invenção do avião, a filosofia não pode ser entendida, apenas, como o resultado de avanços técnicos e científicos. Filosofia, tal como a arquitetura, se enquadra em “produções humanas verificáveis em todas as sociedades e culturas, sem datação determinada e sem local específico de surgimento”. Por exemplo, é inegável que grandes obras clássicas da arquitetura grega são distintas; mas os esforços em busca da construção de abrigos, moradas, templos e espaços para atividades específicas estavam presentes nessas três sociedades. E, sem exageros, vale a pena repetir: dizer que um povo “inventou” a arquitetura seria esdrúxulo. Pois bem, advogo que o mesmo deve ser aplicado à filosofia.</w:t>
      </w:r>
    </w:p>
    <w:p w14:paraId="51DFB7D3" w14:textId="77777777" w:rsidR="001217D7" w:rsidRPr="00E2403F" w:rsidRDefault="001217D7" w:rsidP="00E2403F">
      <w:pPr>
        <w:spacing w:line="240" w:lineRule="auto"/>
        <w:ind w:left="2268" w:firstLine="0"/>
        <w:rPr>
          <w:rFonts w:ascii="Arial" w:hAnsi="Arial" w:cs="Arial"/>
          <w:sz w:val="20"/>
          <w:szCs w:val="20"/>
        </w:rPr>
      </w:pPr>
      <w:r w:rsidRPr="00E2403F">
        <w:rPr>
          <w:rFonts w:ascii="Arial" w:hAnsi="Arial" w:cs="Arial"/>
          <w:sz w:val="20"/>
          <w:szCs w:val="20"/>
        </w:rPr>
        <w:t>Cabe a ressalva de que não se trata de querer uma descrição essencialista que contemple todas as atividades, pesquisas, investigações e produções sob a nomenclatura de filosofia. Mas, tão somente, de buscar e sustentar uma resposta plausível e, além disso, razoável, justificada e coerente a respeito deste tipo de atividade presente em todas as sociedades humanas. (Noguera, 2014, p. 63-64).</w:t>
      </w:r>
    </w:p>
    <w:p w14:paraId="0E9BEBA1" w14:textId="77777777" w:rsidR="001217D7" w:rsidRDefault="001217D7" w:rsidP="001217D7">
      <w:pPr>
        <w:ind w:firstLine="709"/>
        <w:rPr>
          <w:rFonts w:cs="Times New Roman"/>
          <w:szCs w:val="24"/>
        </w:rPr>
      </w:pPr>
    </w:p>
    <w:p w14:paraId="0EAB2807" w14:textId="77777777" w:rsidR="001217D7" w:rsidRPr="00725463" w:rsidRDefault="001217D7" w:rsidP="00725463">
      <w:pPr>
        <w:spacing w:line="360" w:lineRule="auto"/>
        <w:ind w:firstLine="709"/>
        <w:rPr>
          <w:rFonts w:ascii="Arial" w:hAnsi="Arial" w:cs="Arial"/>
          <w:sz w:val="24"/>
          <w:szCs w:val="24"/>
        </w:rPr>
      </w:pPr>
      <w:r w:rsidRPr="00725463">
        <w:rPr>
          <w:rFonts w:ascii="Arial" w:hAnsi="Arial" w:cs="Arial"/>
          <w:sz w:val="24"/>
          <w:szCs w:val="24"/>
        </w:rPr>
        <w:t xml:space="preserve">No exemplo trazido por Noguera em outro trecho do livro há a argumentação de que seria esdrúxulo afirmar que um povo “inventou” a religião, pois existem manifestações religiosas com diferentes origens e todas as pessoas reconhecem isto </w:t>
      </w:r>
      <w:r w:rsidRPr="00725463">
        <w:rPr>
          <w:rFonts w:ascii="Arial" w:hAnsi="Arial" w:cs="Arial"/>
          <w:sz w:val="24"/>
          <w:szCs w:val="24"/>
        </w:rPr>
        <w:lastRenderedPageBreak/>
        <w:t>sem nenhuma dúvida. Como ele escreve: “Por exemplo, o candomblé é uma religião de matriz africana, o budismo tem raízes na Índia. Mas não é pertinente afirmar que a invenção da religião foi obra do povo iorubá. Entretanto, podemos dizer que o povo iorubá é protagonista na criação e na sistematização do Culto a Ifá” (Noguera, 2014, p. 62-63). Para o filósofo, do mesmo modo que consideramos diferentes gêneros e subgêneros de música, podemos considerar as diferentes filosofias plurais manifestações do pensamento filosófico.</w:t>
      </w:r>
    </w:p>
    <w:p w14:paraId="572B5248" w14:textId="76A3266D" w:rsidR="001217D7" w:rsidRPr="00725463" w:rsidRDefault="001217D7" w:rsidP="00725463">
      <w:pPr>
        <w:spacing w:line="360" w:lineRule="auto"/>
        <w:ind w:firstLine="709"/>
        <w:rPr>
          <w:rFonts w:ascii="Arial" w:hAnsi="Arial" w:cs="Arial"/>
          <w:sz w:val="24"/>
          <w:szCs w:val="24"/>
        </w:rPr>
      </w:pPr>
      <w:r w:rsidRPr="00725463">
        <w:rPr>
          <w:rFonts w:ascii="Arial" w:hAnsi="Arial" w:cs="Arial"/>
          <w:sz w:val="24"/>
          <w:szCs w:val="24"/>
        </w:rPr>
        <w:t xml:space="preserve">No entanto, também destacamos outras duas dimensões em que há a predominância do paradigma eurocêntrico e patriarcal hegemônico: o campo dos conceitos e dos problemas. No que diz respeito aos conceitos é possível observar a relação entre a criação de conceitos e o território. Por exemplo, conceitos como a ética do bem-viver, e seus diversos correlatos em línguas indígenas da América Latina, foram pensados em territórios específicos em relação simbiótica com a natureza e apresentam filosofias subjacentes com perspectiva ética na maneira de lidar com o território e as pessoas que o compõem, trazendo a noção de sujeito coletivo como fundamental. </w:t>
      </w:r>
    </w:p>
    <w:p w14:paraId="340087C6" w14:textId="5AE591D3" w:rsidR="001217D7" w:rsidRPr="00725463" w:rsidRDefault="001217D7" w:rsidP="00725463">
      <w:pPr>
        <w:spacing w:line="360" w:lineRule="auto"/>
        <w:ind w:firstLine="709"/>
        <w:rPr>
          <w:rFonts w:ascii="Arial" w:hAnsi="Arial" w:cs="Arial"/>
          <w:sz w:val="24"/>
          <w:szCs w:val="24"/>
        </w:rPr>
      </w:pPr>
      <w:r w:rsidRPr="00725463">
        <w:rPr>
          <w:rFonts w:ascii="Arial" w:hAnsi="Arial" w:cs="Arial"/>
          <w:sz w:val="24"/>
          <w:szCs w:val="24"/>
        </w:rPr>
        <w:t xml:space="preserve">Outro exemplo é o conceito de liberdade. A perspectiva europeia que está nos currículos se apoia em concepções de autodeterminação e autocausalidade, enquanto as perspectivas como as indígenas e quilombolas trazem a liberdade vinculada à demarcação do território e à preservação dos direitos coletivos dos grupos a que estão vinculados. Assim como as mulheres quando pensam em liberdade trazem à tona elementos relacionados à maternidade e os direitos dos/as filhos/as. Também podemos citar como exemplo o trabalho da filósofa Lélia Gonzalez que ao se debruçar sobre a realidade brasileira sentiu a necessidade de nomear nossa língua com o conceito de </w:t>
      </w:r>
      <w:r w:rsidRPr="00725463">
        <w:rPr>
          <w:rFonts w:ascii="Arial" w:hAnsi="Arial" w:cs="Arial"/>
          <w:i/>
          <w:iCs/>
          <w:sz w:val="24"/>
          <w:szCs w:val="24"/>
        </w:rPr>
        <w:t>pretuguês</w:t>
      </w:r>
      <w:r w:rsidRPr="00725463">
        <w:rPr>
          <w:rFonts w:ascii="Arial" w:hAnsi="Arial" w:cs="Arial"/>
          <w:sz w:val="24"/>
          <w:szCs w:val="24"/>
        </w:rPr>
        <w:t xml:space="preserve"> e o nosso continente como </w:t>
      </w:r>
      <w:r w:rsidRPr="00725463">
        <w:rPr>
          <w:rFonts w:ascii="Arial" w:hAnsi="Arial" w:cs="Arial"/>
          <w:i/>
          <w:iCs/>
          <w:sz w:val="24"/>
          <w:szCs w:val="24"/>
        </w:rPr>
        <w:t>Améfrica Ladina</w:t>
      </w:r>
      <w:r w:rsidRPr="00725463">
        <w:rPr>
          <w:rFonts w:ascii="Arial" w:hAnsi="Arial" w:cs="Arial"/>
          <w:sz w:val="24"/>
          <w:szCs w:val="24"/>
        </w:rPr>
        <w:t xml:space="preserve">, correspondendo as características da população e a história do território em que vivemos. </w:t>
      </w:r>
    </w:p>
    <w:p w14:paraId="1E44F5E6" w14:textId="21A9CA5D" w:rsidR="001217D7" w:rsidRPr="00725463" w:rsidRDefault="001217D7" w:rsidP="009973F8">
      <w:pPr>
        <w:spacing w:line="360" w:lineRule="auto"/>
        <w:ind w:firstLine="709"/>
        <w:rPr>
          <w:rFonts w:ascii="Arial" w:hAnsi="Arial" w:cs="Arial"/>
          <w:sz w:val="24"/>
          <w:szCs w:val="24"/>
        </w:rPr>
      </w:pPr>
      <w:r w:rsidRPr="00725463">
        <w:rPr>
          <w:rFonts w:ascii="Arial" w:hAnsi="Arial" w:cs="Arial"/>
          <w:sz w:val="24"/>
          <w:szCs w:val="24"/>
        </w:rPr>
        <w:t xml:space="preserve">No âmbito dos problemas é preciso observar que muito do que é produzido está restrito àquilo que os autores europeus consideram problemas filosóficos. Por exemplo, como aponta </w:t>
      </w:r>
      <w:r w:rsidRPr="00725463">
        <w:rPr>
          <w:rFonts w:ascii="Arial" w:eastAsia="Times New Roman" w:hAnsi="Arial" w:cs="Arial"/>
          <w:sz w:val="24"/>
          <w:szCs w:val="24"/>
          <w:lang w:eastAsia="pt-BR"/>
        </w:rPr>
        <w:t xml:space="preserve">Oyèrónkẹ Oyěwùmí, </w:t>
      </w:r>
      <w:r w:rsidRPr="00725463">
        <w:rPr>
          <w:rFonts w:ascii="Arial" w:hAnsi="Arial" w:cs="Arial"/>
          <w:sz w:val="24"/>
          <w:szCs w:val="24"/>
        </w:rPr>
        <w:t xml:space="preserve">“Quer a acusação seja de que para a África é cedo ou tarde demais para fazer filosofia, a ideia é que o tipo ocidental de filosofia é um universal humano” (Oyěwùmí, 2021, p. 53). O exemplo trazido pela autora é fundamental para entender como o paradigma eurocêntrico e patriarcal altera </w:t>
      </w:r>
      <w:r w:rsidRPr="00725463">
        <w:rPr>
          <w:rFonts w:ascii="Arial" w:hAnsi="Arial" w:cs="Arial"/>
          <w:sz w:val="24"/>
          <w:szCs w:val="24"/>
        </w:rPr>
        <w:lastRenderedPageBreak/>
        <w:t xml:space="preserve">a percepção que temos dos problemas. Dedicamos nossas pesquisas e trabalhos a estudar e difundir problemas que podem não ser relevantes para o contexto em que vivemos. Ao invés de olhar para o que essas filosofias hegemônicas causaram à América Latina, continuamos a procurar contribuições de autores europeus para problemas que são </w:t>
      </w:r>
      <w:r w:rsidRPr="00725463">
        <w:rPr>
          <w:rFonts w:ascii="Arial" w:hAnsi="Arial" w:cs="Arial"/>
          <w:i/>
          <w:iCs/>
          <w:sz w:val="24"/>
          <w:szCs w:val="24"/>
        </w:rPr>
        <w:t xml:space="preserve">ladinoamefricanos </w:t>
      </w:r>
      <w:r w:rsidRPr="00725463">
        <w:rPr>
          <w:rFonts w:ascii="Arial" w:hAnsi="Arial" w:cs="Arial"/>
          <w:sz w:val="24"/>
          <w:szCs w:val="24"/>
        </w:rPr>
        <w:t>(Gonzalez, 1988). Ou dedicamos nossos estudos a responder acusações de que não existem filósofos/as brasileiros/as ou filósofas ao invés de nos dedicarmos aos problemas que nos afetam.</w:t>
      </w:r>
    </w:p>
    <w:p w14:paraId="033335CF" w14:textId="09C51DFE" w:rsidR="001217D7" w:rsidRPr="00725463" w:rsidRDefault="001217D7" w:rsidP="009973F8">
      <w:pPr>
        <w:spacing w:line="360" w:lineRule="auto"/>
        <w:ind w:firstLine="708"/>
        <w:rPr>
          <w:rFonts w:ascii="Arial" w:hAnsi="Arial" w:cs="Arial"/>
          <w:sz w:val="24"/>
          <w:szCs w:val="24"/>
        </w:rPr>
      </w:pPr>
      <w:r w:rsidRPr="00725463">
        <w:rPr>
          <w:rFonts w:ascii="Arial" w:hAnsi="Arial" w:cs="Arial"/>
          <w:sz w:val="24"/>
          <w:szCs w:val="24"/>
        </w:rPr>
        <w:t xml:space="preserve">Além disso, é preciso reconhecer os problemas do território, e, no caso desse trabalho que pensa o ensino de Filosofia, especialmente os problemas da escola, como problemas filosóficos. Problemas como o racismo, a fome, poluição e devastação ambiental, assédio sexual, violações de direitos humanos, questões relacionadas à demarcação de terras, mobilidade urbana, entre outros, são infelizmente muito presentes no cotidiano das instituições em geral. Por que não tratar tais problemas como dignos de serem investigados profundamente pela metodologia filosófica? </w:t>
      </w:r>
    </w:p>
    <w:p w14:paraId="5EA3EF69" w14:textId="1F996AF8" w:rsidR="001217D7" w:rsidRPr="00725463" w:rsidRDefault="001217D7" w:rsidP="00725463">
      <w:pPr>
        <w:spacing w:line="360" w:lineRule="auto"/>
        <w:rPr>
          <w:rFonts w:ascii="Arial" w:hAnsi="Arial" w:cs="Arial"/>
          <w:sz w:val="24"/>
          <w:szCs w:val="24"/>
        </w:rPr>
      </w:pPr>
      <w:r w:rsidRPr="00725463">
        <w:rPr>
          <w:rFonts w:ascii="Arial" w:hAnsi="Arial" w:cs="Arial"/>
          <w:sz w:val="24"/>
          <w:szCs w:val="24"/>
        </w:rPr>
        <w:tab/>
        <w:t>Predomina no Brasil uma formação e ensino conteudista acerca da Filosofia que tem a história da Filosofia como centro do ensino, aceitando exclusivamente o estudo e comentário sobre filósofos europeus canônicos como única metodologia possível para aprender Filosofia. Tal compreensão muitas vezes se alicerça na ideia de que não há filosofias relevantes no Brasil, ou que é preciso estudar filosofias europeias para se inserir no pensamento filosófico. Contudo, podemos dizer que estudantes não são vistos como capazes de filosofar, haja vista que o ensino é baseado em geral na reprodução de filosofias de homens europeus e os problemas da escola não são vistos como filosóficos.</w:t>
      </w:r>
    </w:p>
    <w:p w14:paraId="2AFE91A5" w14:textId="5BA97F43" w:rsidR="001217D7" w:rsidRPr="00725463" w:rsidRDefault="001217D7" w:rsidP="009973F8">
      <w:pPr>
        <w:spacing w:line="360" w:lineRule="auto"/>
        <w:rPr>
          <w:rFonts w:ascii="Arial" w:hAnsi="Arial" w:cs="Arial"/>
          <w:sz w:val="24"/>
          <w:szCs w:val="24"/>
        </w:rPr>
      </w:pPr>
      <w:r w:rsidRPr="00725463">
        <w:rPr>
          <w:rFonts w:ascii="Arial" w:hAnsi="Arial" w:cs="Arial"/>
          <w:sz w:val="24"/>
          <w:szCs w:val="24"/>
        </w:rPr>
        <w:tab/>
        <w:t xml:space="preserve">Por outro lado, para responder se “Docentes e estudantes podem ser filósofos/as?” é preciso analisar se há o incentivo ao filosofar na formação. Há um imaginário de que o/a docente de Filosofia não pode ser filósofo. Isso pode ser notado pela ausência de uma perspectiva filosófica acerca do ensino de Filosofia nos cursos da área. Por exemplo, não há a área do “Ensino de Filosofia” em pós-graduações de Filosofia. Em geral, quem quer estudar esse tema acaba tendo que fazer pós-graduação na área da Educação. É possível verificar que a formação docente é desvalorizada especialmente por sua suposta condição “pedagógica”, isto é, não filosófica. </w:t>
      </w:r>
    </w:p>
    <w:p w14:paraId="33E74A63" w14:textId="37A65842" w:rsidR="001217D7" w:rsidRPr="00725463" w:rsidRDefault="001217D7" w:rsidP="002B21DA">
      <w:pPr>
        <w:spacing w:line="360" w:lineRule="auto"/>
        <w:rPr>
          <w:rFonts w:ascii="Arial" w:hAnsi="Arial" w:cs="Arial"/>
          <w:bCs/>
          <w:sz w:val="24"/>
          <w:szCs w:val="24"/>
        </w:rPr>
      </w:pPr>
      <w:r w:rsidRPr="00725463">
        <w:rPr>
          <w:rFonts w:ascii="Arial" w:hAnsi="Arial" w:cs="Arial"/>
          <w:bCs/>
          <w:sz w:val="24"/>
          <w:szCs w:val="24"/>
        </w:rPr>
        <w:lastRenderedPageBreak/>
        <w:t>Um desafio a ser pensado é se “Iremos derrubar as estátuas dos filósofos?” (Andrade, Coluna ANPOF, 2021). Não podemos esquecer que há filósofos que fundamentaram a desumanização de alguns grupos como africanos, indígenas, mulheres, entre outros. A questão levantada por Katiúscia Ribeiro aponta para os pressupostos de teorias ligadas a esse paradigma de desumanização: “como os sujeitos africanos poderiam produzir filosofia, se não seriam humanos?” (Ribeiro, 2021, p. 34).</w:t>
      </w:r>
    </w:p>
    <w:p w14:paraId="45AC3D52" w14:textId="77777777" w:rsidR="001217D7" w:rsidRPr="00725463" w:rsidRDefault="001217D7" w:rsidP="00725463">
      <w:pPr>
        <w:spacing w:line="360" w:lineRule="auto"/>
        <w:ind w:firstLine="708"/>
        <w:rPr>
          <w:rFonts w:ascii="Arial" w:hAnsi="Arial" w:cs="Arial"/>
          <w:sz w:val="24"/>
          <w:szCs w:val="24"/>
        </w:rPr>
      </w:pPr>
      <w:r w:rsidRPr="00725463">
        <w:rPr>
          <w:rFonts w:ascii="Arial" w:hAnsi="Arial" w:cs="Arial"/>
          <w:bCs/>
          <w:sz w:val="24"/>
          <w:szCs w:val="24"/>
        </w:rPr>
        <w:t xml:space="preserve">Além da diversificação do currículo, a interculturalidade passa pelo </w:t>
      </w:r>
      <w:r w:rsidRPr="00725463">
        <w:rPr>
          <w:rFonts w:ascii="Arial" w:eastAsia="Times New Roman" w:hAnsi="Arial" w:cs="Arial"/>
          <w:sz w:val="24"/>
          <w:szCs w:val="24"/>
        </w:rPr>
        <w:t>rompimento com a ideia de que a diferença é um problema, já que há um imaginário de que a homogeneização é um fator que facilita o trabalho pedagógico. É preciso compreender que a interculturalidade, em uma sociedade como a brasileira, já faz parte de qualquer realidade. Também está relacionada ao enfrentamento de violências raciais cometidas na escola e seu entorno, bem como o oferecimento de letramento racial. Mas tal interculturalidade não deve reproduzir discursos essencialistas ou de tolerância. Tomaz Tadeu da Silva (1999) aponta que o currículo deve questionar as relações de poder que construíram as diferenças como desigualdades. Por outro lado, Catherine Walsh (2009) aponta que a interculturalidade sem uma perspectiva crítica pode ser funcional para o neoliberalismo, pois esvazia o sentido da pluralidade e colabora para a dominação já que</w:t>
      </w:r>
      <w:r w:rsidRPr="00725463">
        <w:rPr>
          <w:rFonts w:ascii="Arial" w:hAnsi="Arial" w:cs="Arial"/>
          <w:sz w:val="24"/>
          <w:szCs w:val="24"/>
        </w:rPr>
        <w:t xml:space="preserve"> “permite reduzir conflitos étnicos e incrementar a eficiência econômica da ação estatal” (Walsh, 2009, p. 19). Assim, mantém a diferença colonial sob a aparência de inclusão, como afirma Cusicanqui (2010, p. 62, tradução nossa), pode se tratar de “Uma “mudança para que nada mude” que dá reconhecimento retórico”.</w:t>
      </w:r>
    </w:p>
    <w:p w14:paraId="4669AC60" w14:textId="2C7EE996" w:rsidR="0C591BAA" w:rsidRDefault="0C591BAA" w:rsidP="00DF040B">
      <w:pPr>
        <w:pStyle w:val="Texto"/>
      </w:pPr>
    </w:p>
    <w:p w14:paraId="48D133EA" w14:textId="5A1AD5CE" w:rsidR="00707214" w:rsidRPr="0004092D" w:rsidRDefault="007E76C8" w:rsidP="0004092D">
      <w:pPr>
        <w:pStyle w:val="Ttulo1"/>
        <w:rPr>
          <w:rFonts w:cs="Arial"/>
          <w:szCs w:val="24"/>
        </w:rPr>
      </w:pPr>
      <w:r>
        <w:t>3</w:t>
      </w:r>
      <w:r w:rsidR="0060173B">
        <w:t xml:space="preserve"> </w:t>
      </w:r>
      <w:r w:rsidR="00707214" w:rsidRPr="0004092D">
        <w:rPr>
          <w:rFonts w:cs="Arial"/>
          <w:szCs w:val="24"/>
        </w:rPr>
        <w:t>CONSIDERAÇÕES FINAIS</w:t>
      </w:r>
    </w:p>
    <w:p w14:paraId="72D5A27A" w14:textId="77777777" w:rsidR="00804ED6" w:rsidRPr="0004092D" w:rsidRDefault="00804ED6" w:rsidP="0004092D">
      <w:pPr>
        <w:spacing w:line="360" w:lineRule="auto"/>
        <w:rPr>
          <w:rFonts w:ascii="Arial" w:hAnsi="Arial" w:cs="Arial"/>
          <w:sz w:val="24"/>
          <w:szCs w:val="24"/>
        </w:rPr>
      </w:pPr>
      <w:r w:rsidRPr="0004092D">
        <w:rPr>
          <w:rFonts w:ascii="Arial" w:hAnsi="Arial" w:cs="Arial"/>
          <w:sz w:val="24"/>
          <w:szCs w:val="24"/>
        </w:rPr>
        <w:t xml:space="preserve">Para promover um ensino de Filosofia que seja inclusivo é preciso que a interculturalidade e a interseccionalidade guiem toda a dinâmica de ensino e aprendizagem. Candau e Koff (2006) alertam para alguns riscos de a interculturalidade se situar na lógica de importação sem dialogar profundamente com as características do multiculturalismo na sociedade brasileira, algo que demonstramos preocupação ao questionar a colonialidade dos conceitos. Ou ser reduzido a momentos pontuais, como, por exemplo, o Dia da Consciência Negra, e </w:t>
      </w:r>
      <w:r w:rsidRPr="0004092D">
        <w:rPr>
          <w:rFonts w:ascii="Arial" w:hAnsi="Arial" w:cs="Arial"/>
          <w:sz w:val="24"/>
          <w:szCs w:val="24"/>
        </w:rPr>
        <w:lastRenderedPageBreak/>
        <w:t xml:space="preserve">ficar no plano conceitual esquecendo que a diferença é parte da dinâmica concreta das escolas. </w:t>
      </w:r>
    </w:p>
    <w:p w14:paraId="5892F6E0" w14:textId="0E4DCD61" w:rsidR="00804ED6" w:rsidRPr="0004092D" w:rsidRDefault="00804ED6" w:rsidP="007B26E0">
      <w:pPr>
        <w:spacing w:line="360" w:lineRule="auto"/>
        <w:ind w:firstLine="360"/>
        <w:rPr>
          <w:rFonts w:ascii="Arial" w:hAnsi="Arial" w:cs="Arial"/>
          <w:sz w:val="24"/>
          <w:szCs w:val="24"/>
        </w:rPr>
      </w:pPr>
      <w:r w:rsidRPr="0004092D">
        <w:rPr>
          <w:rFonts w:ascii="Arial" w:hAnsi="Arial" w:cs="Arial"/>
          <w:sz w:val="24"/>
          <w:szCs w:val="24"/>
        </w:rPr>
        <w:tab/>
        <w:t>Por outro lado, destacamos as contribuições de uma abordagem intercultural e interseccional no ensino de Filosofia, pois ao romper com a reprodução de filosofias europeias canônicas e colocar problemas relevantes do território para debate, possibilita o incentivo ao filosofar no ensino, tanto para estudantes quanto para docentes. No mesmo sentido, podemos dizer que pode favorecer processos de humanização de si e do outro ao questionar como as categorias hegemônicas entendem brasileiros/as, bem como povos africanos e indígenas, as mulheres, entre outros grupos marginalizados.</w:t>
      </w:r>
      <w:r w:rsidR="007B26E0">
        <w:rPr>
          <w:rFonts w:ascii="Arial" w:hAnsi="Arial" w:cs="Arial"/>
          <w:sz w:val="24"/>
          <w:szCs w:val="24"/>
        </w:rPr>
        <w:t xml:space="preserve"> </w:t>
      </w:r>
      <w:r w:rsidRPr="0004092D">
        <w:rPr>
          <w:rFonts w:ascii="Arial" w:hAnsi="Arial" w:cs="Arial"/>
          <w:sz w:val="24"/>
          <w:szCs w:val="24"/>
        </w:rPr>
        <w:t xml:space="preserve">Além disso, a abertura para filosofias outras pode potencializar as filosofias em sua pluralidade e na relação com os problemas brasileiros, possibilitando também pensar soluções para problemas locais das escolas. No entanto, só é possível encontrar a filosofia no Brasil fazendo uma virada epistemológica, que exige ampliar os parâmetros sobre o que entendemos por Filosofia e filosofar, o que é consequência de uma visão mais ampla de humanidade. </w:t>
      </w:r>
    </w:p>
    <w:p w14:paraId="08D9E910" w14:textId="77777777" w:rsidR="004075C9" w:rsidRPr="0004092D" w:rsidRDefault="004075C9" w:rsidP="0004092D">
      <w:pPr>
        <w:pStyle w:val="Texto"/>
      </w:pPr>
    </w:p>
    <w:p w14:paraId="7F32F155" w14:textId="16B56780" w:rsidR="006306D9" w:rsidRPr="0004092D" w:rsidRDefault="00707214" w:rsidP="0004092D">
      <w:pPr>
        <w:pStyle w:val="TtulosNoNumerados"/>
        <w:spacing w:line="240" w:lineRule="auto"/>
      </w:pPr>
      <w:r w:rsidRPr="0004092D">
        <w:t>REFERÊNCIAS</w:t>
      </w:r>
      <w:r w:rsidR="00F97C22" w:rsidRPr="0004092D">
        <w:t xml:space="preserve"> </w:t>
      </w:r>
    </w:p>
    <w:p w14:paraId="0F32D3DD" w14:textId="77777777" w:rsidR="007E76C8" w:rsidRPr="002B21DA" w:rsidRDefault="00B12FB7" w:rsidP="007E76C8">
      <w:pPr>
        <w:spacing w:before="60" w:line="240" w:lineRule="auto"/>
        <w:ind w:firstLine="0"/>
        <w:jc w:val="left"/>
        <w:rPr>
          <w:rFonts w:ascii="Arial" w:eastAsia="Times New Roman" w:hAnsi="Arial" w:cs="Arial"/>
          <w:sz w:val="24"/>
          <w:szCs w:val="24"/>
        </w:rPr>
      </w:pPr>
      <w:r w:rsidRPr="002B21DA">
        <w:rPr>
          <w:rFonts w:ascii="Arial" w:eastAsia="Times New Roman" w:hAnsi="Arial" w:cs="Arial"/>
          <w:sz w:val="24"/>
          <w:szCs w:val="24"/>
        </w:rPr>
        <w:t xml:space="preserve">CANDAU, V. M.; KOFF, A. M. N. S. Conversas com... sobre a didática e a perspectiva multi/intercultural. </w:t>
      </w:r>
      <w:r w:rsidRPr="002B21DA">
        <w:rPr>
          <w:rFonts w:ascii="Arial" w:eastAsia="Times New Roman" w:hAnsi="Arial" w:cs="Arial"/>
          <w:i/>
          <w:sz w:val="24"/>
          <w:szCs w:val="24"/>
        </w:rPr>
        <w:t>Educação &amp; Sociedade</w:t>
      </w:r>
      <w:r w:rsidRPr="002B21DA">
        <w:rPr>
          <w:rFonts w:ascii="Arial" w:eastAsia="Times New Roman" w:hAnsi="Arial" w:cs="Arial"/>
          <w:sz w:val="24"/>
          <w:szCs w:val="24"/>
        </w:rPr>
        <w:t>, São Paulo, v. 27, n. 95, p. 471-493, 2006.</w:t>
      </w:r>
    </w:p>
    <w:p w14:paraId="2D66FDC3" w14:textId="747387EF" w:rsidR="00B12FB7" w:rsidRPr="002B21DA" w:rsidRDefault="00B12FB7" w:rsidP="007E76C8">
      <w:pPr>
        <w:spacing w:before="60" w:line="240" w:lineRule="auto"/>
        <w:ind w:firstLine="0"/>
        <w:jc w:val="left"/>
        <w:rPr>
          <w:rFonts w:ascii="Arial" w:eastAsia="Times New Roman" w:hAnsi="Arial" w:cs="Arial"/>
          <w:sz w:val="24"/>
          <w:szCs w:val="24"/>
        </w:rPr>
      </w:pPr>
      <w:r w:rsidRPr="002B21DA">
        <w:rPr>
          <w:rFonts w:ascii="Arial" w:hAnsi="Arial"/>
          <w:sz w:val="24"/>
          <w:szCs w:val="24"/>
          <w:shd w:val="clear" w:color="auto" w:fill="FFFFFF"/>
        </w:rPr>
        <w:t xml:space="preserve">CARNEIRO, Aparecida Sueli. </w:t>
      </w:r>
      <w:r w:rsidRPr="002B21DA">
        <w:rPr>
          <w:rFonts w:ascii="Arial" w:hAnsi="Arial"/>
          <w:i/>
          <w:sz w:val="24"/>
          <w:szCs w:val="24"/>
          <w:shd w:val="clear" w:color="auto" w:fill="FFFFFF"/>
        </w:rPr>
        <w:t>A construção do outro como não-ser como fundamento do ser.</w:t>
      </w:r>
      <w:r w:rsidRPr="002B21DA">
        <w:rPr>
          <w:rFonts w:ascii="Arial" w:hAnsi="Arial"/>
          <w:sz w:val="24"/>
          <w:szCs w:val="24"/>
          <w:shd w:val="clear" w:color="auto" w:fill="FFFFFF"/>
        </w:rPr>
        <w:t xml:space="preserve"> Tese (Doutorado em educação). Universidade de São Paulo, São Paulo, 2005.</w:t>
      </w:r>
    </w:p>
    <w:p w14:paraId="26FDF3B3" w14:textId="77777777" w:rsidR="00B12FB7" w:rsidRPr="002B21DA" w:rsidRDefault="00B12FB7" w:rsidP="007E76C8">
      <w:pPr>
        <w:autoSpaceDE w:val="0"/>
        <w:autoSpaceDN w:val="0"/>
        <w:adjustRightInd w:val="0"/>
        <w:spacing w:line="240" w:lineRule="auto"/>
        <w:ind w:firstLine="0"/>
        <w:jc w:val="left"/>
        <w:rPr>
          <w:rFonts w:ascii="Arial" w:eastAsia="AGaramondPro-Regular" w:hAnsi="Arial" w:cs="Arial"/>
          <w:sz w:val="24"/>
          <w:szCs w:val="24"/>
        </w:rPr>
      </w:pPr>
      <w:r w:rsidRPr="002B21DA">
        <w:rPr>
          <w:rFonts w:ascii="Arial" w:eastAsia="AGaramondPro-Regular" w:hAnsi="Arial" w:cs="Arial"/>
          <w:sz w:val="24"/>
          <w:szCs w:val="24"/>
        </w:rPr>
        <w:t xml:space="preserve">CUSICANQUI, Silvia Rivera. </w:t>
      </w:r>
      <w:r w:rsidRPr="002B21DA">
        <w:rPr>
          <w:rFonts w:ascii="Arial" w:eastAsia="AGaramondPro-Regular" w:hAnsi="Arial" w:cs="Arial"/>
          <w:i/>
          <w:iCs/>
          <w:sz w:val="24"/>
          <w:szCs w:val="24"/>
        </w:rPr>
        <w:t>Ch’ixinakak utxiwa: una reflexión sobre prácticas y discursos descolonizadores</w:t>
      </w:r>
      <w:r w:rsidRPr="002B21DA">
        <w:rPr>
          <w:rFonts w:ascii="Arial" w:eastAsia="AGaramondPro-Regular" w:hAnsi="Arial" w:cs="Arial"/>
          <w:sz w:val="24"/>
          <w:szCs w:val="24"/>
        </w:rPr>
        <w:t>. Buenos Aires: Tinta Limón Ediciones, 2010.</w:t>
      </w:r>
    </w:p>
    <w:p w14:paraId="12F2B9BF" w14:textId="77777777" w:rsidR="00B12FB7" w:rsidRPr="0004092D" w:rsidRDefault="00B12FB7" w:rsidP="007E76C8">
      <w:pPr>
        <w:spacing w:line="240" w:lineRule="auto"/>
        <w:ind w:firstLine="0"/>
        <w:jc w:val="left"/>
        <w:rPr>
          <w:rFonts w:ascii="Arial" w:eastAsia="Times New Roman" w:hAnsi="Arial" w:cs="Arial"/>
          <w:sz w:val="24"/>
          <w:szCs w:val="24"/>
          <w:highlight w:val="white"/>
          <w:lang w:eastAsia="pt-BR"/>
        </w:rPr>
      </w:pPr>
      <w:r w:rsidRPr="002B21DA">
        <w:rPr>
          <w:rFonts w:ascii="Arial" w:eastAsia="Times New Roman" w:hAnsi="Arial" w:cs="Arial"/>
          <w:sz w:val="24"/>
          <w:szCs w:val="24"/>
          <w:highlight w:val="white"/>
          <w:lang w:eastAsia="pt-BR"/>
        </w:rPr>
        <w:t xml:space="preserve">GONZALEZ, Lélia. A categoria político-cultural da amefricanidade. In: </w:t>
      </w:r>
      <w:r w:rsidRPr="002B21DA">
        <w:rPr>
          <w:rFonts w:ascii="Arial" w:eastAsia="Times New Roman" w:hAnsi="Arial" w:cs="Arial"/>
          <w:i/>
          <w:iCs/>
          <w:sz w:val="24"/>
          <w:szCs w:val="24"/>
          <w:highlight w:val="white"/>
          <w:lang w:eastAsia="pt-BR"/>
        </w:rPr>
        <w:t>Tempo Brasileiro</w:t>
      </w:r>
      <w:r w:rsidRPr="002B21DA">
        <w:rPr>
          <w:rFonts w:ascii="Arial" w:eastAsia="Times New Roman" w:hAnsi="Arial" w:cs="Arial"/>
          <w:sz w:val="24"/>
          <w:szCs w:val="24"/>
          <w:highlight w:val="white"/>
          <w:lang w:eastAsia="pt-BR"/>
        </w:rPr>
        <w:t>. n. 92-93. Rio</w:t>
      </w:r>
      <w:r w:rsidRPr="0004092D">
        <w:rPr>
          <w:rFonts w:ascii="Arial" w:eastAsia="Times New Roman" w:hAnsi="Arial" w:cs="Arial"/>
          <w:sz w:val="24"/>
          <w:szCs w:val="24"/>
          <w:highlight w:val="white"/>
          <w:lang w:eastAsia="pt-BR"/>
        </w:rPr>
        <w:t xml:space="preserve"> de Janeiro: Ed. Global, jan./jun. 1988.</w:t>
      </w:r>
    </w:p>
    <w:p w14:paraId="3653F1A5" w14:textId="77777777" w:rsidR="00B12FB7" w:rsidRPr="0004092D" w:rsidRDefault="00B12FB7" w:rsidP="007E76C8">
      <w:pPr>
        <w:spacing w:line="240" w:lineRule="auto"/>
        <w:ind w:firstLine="0"/>
        <w:jc w:val="left"/>
        <w:rPr>
          <w:rFonts w:ascii="Arial" w:hAnsi="Arial" w:cs="Arial"/>
          <w:sz w:val="24"/>
          <w:szCs w:val="24"/>
        </w:rPr>
      </w:pPr>
      <w:r w:rsidRPr="0004092D">
        <w:rPr>
          <w:rFonts w:ascii="Arial" w:hAnsi="Arial" w:cs="Arial"/>
          <w:sz w:val="24"/>
          <w:szCs w:val="24"/>
        </w:rPr>
        <w:t xml:space="preserve">GROSFOGUEL, Ramón. </w:t>
      </w:r>
      <w:r w:rsidRPr="0004092D">
        <w:rPr>
          <w:rFonts w:ascii="Arial" w:hAnsi="Arial" w:cs="Arial"/>
          <w:i/>
          <w:iCs/>
          <w:sz w:val="24"/>
          <w:szCs w:val="24"/>
        </w:rPr>
        <w:t>A estrutura do conhecimento nas universidades ocidentalizadas</w:t>
      </w:r>
      <w:r w:rsidRPr="0004092D">
        <w:rPr>
          <w:rFonts w:ascii="Arial" w:hAnsi="Arial" w:cs="Arial"/>
          <w:sz w:val="24"/>
          <w:szCs w:val="24"/>
        </w:rPr>
        <w:t xml:space="preserve">: racismo/sexismo epistêmico e os quatro genocídios/epistemicídios do longo século XVI. </w:t>
      </w:r>
      <w:r w:rsidRPr="0004092D">
        <w:rPr>
          <w:rFonts w:ascii="Arial" w:hAnsi="Arial" w:cs="Arial"/>
          <w:i/>
          <w:sz w:val="24"/>
          <w:szCs w:val="24"/>
        </w:rPr>
        <w:t>Soc. estado.</w:t>
      </w:r>
      <w:r w:rsidRPr="0004092D">
        <w:rPr>
          <w:rFonts w:ascii="Arial" w:hAnsi="Arial" w:cs="Arial"/>
          <w:sz w:val="24"/>
          <w:szCs w:val="24"/>
        </w:rPr>
        <w:t xml:space="preserve"> [online]. 2016a, vol.31, n.1, pp.25-49. ISSN 0102-6992. Disponível em: http://dx.doi.org/10.1590/S0102-69922016000100003.</w:t>
      </w:r>
    </w:p>
    <w:p w14:paraId="5474D9F1" w14:textId="77777777" w:rsidR="00B12FB7" w:rsidRPr="0004092D" w:rsidRDefault="00B12FB7" w:rsidP="007E76C8">
      <w:pPr>
        <w:spacing w:line="240" w:lineRule="auto"/>
        <w:ind w:firstLine="0"/>
        <w:jc w:val="left"/>
        <w:rPr>
          <w:rFonts w:ascii="Arial" w:eastAsia="Times New Roman" w:hAnsi="Arial" w:cs="Arial"/>
          <w:sz w:val="24"/>
          <w:szCs w:val="24"/>
          <w:highlight w:val="white"/>
          <w:lang w:eastAsia="pt-BR"/>
        </w:rPr>
      </w:pPr>
      <w:r w:rsidRPr="0004092D">
        <w:rPr>
          <w:rFonts w:ascii="Arial" w:eastAsia="Times New Roman" w:hAnsi="Arial" w:cs="Arial"/>
          <w:sz w:val="24"/>
          <w:szCs w:val="24"/>
          <w:highlight w:val="white"/>
          <w:lang w:eastAsia="pt-BR"/>
        </w:rPr>
        <w:t xml:space="preserve">OYĚWÙMÍ, Oyèrónkẹ ́. </w:t>
      </w:r>
      <w:r w:rsidRPr="0004092D">
        <w:rPr>
          <w:rFonts w:ascii="Arial" w:eastAsia="Times New Roman" w:hAnsi="Arial" w:cs="Arial"/>
          <w:i/>
          <w:iCs/>
          <w:sz w:val="24"/>
          <w:szCs w:val="24"/>
          <w:highlight w:val="white"/>
          <w:lang w:eastAsia="pt-BR"/>
        </w:rPr>
        <w:t>A invenção das mulheres</w:t>
      </w:r>
      <w:r w:rsidRPr="0004092D">
        <w:rPr>
          <w:rFonts w:ascii="Arial" w:eastAsia="Times New Roman" w:hAnsi="Arial" w:cs="Arial"/>
          <w:sz w:val="24"/>
          <w:szCs w:val="24"/>
          <w:highlight w:val="white"/>
          <w:lang w:eastAsia="pt-BR"/>
        </w:rPr>
        <w:t>: construindo um sentido africano para os discursos ocidentais de gênero. Rio de Janeiro: Bazar do Tempo, 2021.</w:t>
      </w:r>
    </w:p>
    <w:p w14:paraId="04593D30" w14:textId="77777777" w:rsidR="00B12FB7" w:rsidRPr="0004092D" w:rsidRDefault="00B12FB7" w:rsidP="007E76C8">
      <w:pPr>
        <w:spacing w:line="240" w:lineRule="auto"/>
        <w:ind w:firstLine="0"/>
        <w:jc w:val="left"/>
        <w:rPr>
          <w:rFonts w:ascii="Arial" w:eastAsia="Times New Roman" w:hAnsi="Arial" w:cs="Arial"/>
          <w:sz w:val="24"/>
          <w:szCs w:val="24"/>
          <w:highlight w:val="white"/>
          <w:lang w:eastAsia="pt-BR"/>
        </w:rPr>
      </w:pPr>
      <w:r w:rsidRPr="0004092D">
        <w:rPr>
          <w:rFonts w:ascii="Arial" w:eastAsia="Times New Roman" w:hAnsi="Arial" w:cs="Arial"/>
          <w:sz w:val="24"/>
          <w:szCs w:val="24"/>
          <w:highlight w:val="white"/>
          <w:lang w:eastAsia="pt-BR"/>
        </w:rPr>
        <w:t xml:space="preserve">RIBEIRO, Katiúscia. A legitimidade da filosofia africana no Brasil. In: </w:t>
      </w:r>
      <w:r w:rsidRPr="0004092D">
        <w:rPr>
          <w:rFonts w:ascii="Arial" w:eastAsia="Times New Roman" w:hAnsi="Arial" w:cs="Arial"/>
          <w:i/>
          <w:iCs/>
          <w:sz w:val="24"/>
          <w:szCs w:val="24"/>
          <w:highlight w:val="white"/>
          <w:lang w:eastAsia="pt-BR"/>
        </w:rPr>
        <w:t>REVISTA CULT</w:t>
      </w:r>
      <w:r w:rsidRPr="0004092D">
        <w:rPr>
          <w:rFonts w:ascii="Arial" w:eastAsia="Times New Roman" w:hAnsi="Arial" w:cs="Arial"/>
          <w:sz w:val="24"/>
          <w:szCs w:val="24"/>
          <w:highlight w:val="white"/>
          <w:lang w:eastAsia="pt-BR"/>
        </w:rPr>
        <w:t xml:space="preserve">. Dossiê: A história da filosofia no Brasil. Ano 24, abril 2021, edição 268. </w:t>
      </w:r>
    </w:p>
    <w:p w14:paraId="2A27792C" w14:textId="77777777" w:rsidR="00B12FB7" w:rsidRPr="0004092D" w:rsidRDefault="00B12FB7" w:rsidP="007E76C8">
      <w:pPr>
        <w:spacing w:line="240" w:lineRule="auto"/>
        <w:ind w:firstLine="0"/>
        <w:jc w:val="left"/>
        <w:rPr>
          <w:rFonts w:ascii="Arial" w:hAnsi="Arial" w:cs="Arial"/>
          <w:sz w:val="24"/>
          <w:szCs w:val="24"/>
        </w:rPr>
      </w:pPr>
      <w:r w:rsidRPr="0004092D">
        <w:rPr>
          <w:rFonts w:ascii="Arial" w:hAnsi="Arial" w:cs="Arial"/>
          <w:sz w:val="24"/>
          <w:szCs w:val="24"/>
        </w:rPr>
        <w:t xml:space="preserve">SILVA, Tomaz Tadeu da. </w:t>
      </w:r>
      <w:r w:rsidRPr="0004092D">
        <w:rPr>
          <w:rFonts w:ascii="Arial" w:hAnsi="Arial" w:cs="Arial"/>
          <w:i/>
          <w:iCs/>
          <w:sz w:val="24"/>
          <w:szCs w:val="24"/>
        </w:rPr>
        <w:t>Documentos de identidade</w:t>
      </w:r>
      <w:r w:rsidRPr="0004092D">
        <w:rPr>
          <w:rFonts w:ascii="Arial" w:hAnsi="Arial" w:cs="Arial"/>
          <w:sz w:val="24"/>
          <w:szCs w:val="24"/>
        </w:rPr>
        <w:t>: uma Introdução às teorias do currículo. Belo Horizonte: Autêntica, 1999.</w:t>
      </w:r>
    </w:p>
    <w:p w14:paraId="0E7D2C5C" w14:textId="77777777" w:rsidR="00B12FB7" w:rsidRPr="0004092D" w:rsidRDefault="00B12FB7" w:rsidP="007E76C8">
      <w:pPr>
        <w:spacing w:line="240" w:lineRule="auto"/>
        <w:ind w:firstLine="0"/>
        <w:jc w:val="left"/>
        <w:rPr>
          <w:rFonts w:ascii="Arial" w:hAnsi="Arial" w:cs="Arial"/>
          <w:sz w:val="24"/>
          <w:szCs w:val="24"/>
        </w:rPr>
      </w:pPr>
      <w:r w:rsidRPr="0004092D">
        <w:rPr>
          <w:rFonts w:ascii="Arial" w:hAnsi="Arial" w:cs="Arial"/>
          <w:sz w:val="24"/>
          <w:szCs w:val="24"/>
        </w:rPr>
        <w:t>WALSH, Catherine. Interculturalidade crítica e pedagogia decolonial: in-surgir, re-existir e re-viver. In. CANDAU, Vera Maria (Org.). </w:t>
      </w:r>
      <w:r w:rsidRPr="0004092D">
        <w:rPr>
          <w:rFonts w:ascii="Arial" w:hAnsi="Arial" w:cs="Arial"/>
          <w:i/>
          <w:iCs/>
          <w:sz w:val="24"/>
          <w:szCs w:val="24"/>
        </w:rPr>
        <w:t>Educação intercultural na América Latina</w:t>
      </w:r>
      <w:r w:rsidRPr="0004092D">
        <w:rPr>
          <w:rFonts w:ascii="Arial" w:hAnsi="Arial" w:cs="Arial"/>
          <w:sz w:val="24"/>
          <w:szCs w:val="24"/>
        </w:rPr>
        <w:t>: entre concepções, tensões e propostas. Rio de Janeiro: 7 Letras, 2009. p. 12-43.</w:t>
      </w:r>
    </w:p>
    <w:sectPr w:rsidR="00B12FB7" w:rsidRPr="0004092D"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23961" w14:textId="77777777" w:rsidR="00604715" w:rsidRDefault="00604715" w:rsidP="00026BCD">
      <w:pPr>
        <w:spacing w:line="240" w:lineRule="auto"/>
      </w:pPr>
      <w:r>
        <w:separator/>
      </w:r>
    </w:p>
  </w:endnote>
  <w:endnote w:type="continuationSeparator" w:id="0">
    <w:p w14:paraId="2BC3AD26" w14:textId="77777777" w:rsidR="00604715" w:rsidRDefault="00604715"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GaramondPro-Regular">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81850" w14:textId="77777777" w:rsidR="00604715" w:rsidRDefault="00604715" w:rsidP="00026BCD">
      <w:pPr>
        <w:spacing w:line="240" w:lineRule="auto"/>
      </w:pPr>
      <w:r>
        <w:separator/>
      </w:r>
    </w:p>
  </w:footnote>
  <w:footnote w:type="continuationSeparator" w:id="0">
    <w:p w14:paraId="6EC3F2E8" w14:textId="77777777" w:rsidR="00604715" w:rsidRDefault="00604715" w:rsidP="00026BCD">
      <w:pPr>
        <w:spacing w:line="240" w:lineRule="auto"/>
      </w:pPr>
      <w:r>
        <w:continuationSeparator/>
      </w:r>
    </w:p>
  </w:footnote>
  <w:footnote w:id="1">
    <w:p w14:paraId="05AF248C" w14:textId="22544721" w:rsidR="00D95927" w:rsidRPr="00CD1A2A" w:rsidRDefault="00250E5E" w:rsidP="00D95927">
      <w:pPr>
        <w:pStyle w:val="TtulosNoNumerados"/>
        <w:spacing w:line="240" w:lineRule="auto"/>
        <w:jc w:val="both"/>
        <w:rPr>
          <w:rFonts w:ascii="Times New Roman" w:hAnsi="Times New Roman" w:cs="Times New Roman"/>
        </w:rPr>
      </w:pPr>
      <w:r w:rsidRPr="00250E5E">
        <w:rPr>
          <w:rStyle w:val="Refdenotaderodap"/>
          <w:b w:val="0"/>
          <w:bCs w:val="0"/>
          <w:sz w:val="22"/>
          <w:szCs w:val="22"/>
        </w:rPr>
        <w:footnoteRef/>
      </w:r>
      <w:r w:rsidRPr="00250E5E">
        <w:rPr>
          <w:b w:val="0"/>
          <w:bCs w:val="0"/>
          <w:sz w:val="22"/>
          <w:szCs w:val="22"/>
        </w:rPr>
        <w:t xml:space="preserve"> </w:t>
      </w:r>
      <w:r w:rsidR="00D95927" w:rsidRPr="00D95927">
        <w:rPr>
          <w:rFonts w:ascii="Times New Roman" w:hAnsi="Times New Roman" w:cs="Times New Roman"/>
          <w:b w:val="0"/>
          <w:bCs w:val="0"/>
          <w:sz w:val="20"/>
          <w:szCs w:val="20"/>
        </w:rPr>
        <w:t>Licenciatura (2012) e Mestrado (2016) em Filosofia e Doutorado (2021) e Pós-Doutorado (2023) em Educação pela UNESP/Marília. É docente do IFRJ/Pinheiral. Lattes: http://lattes.cnpq.br/4460179213419650.</w:t>
      </w:r>
    </w:p>
    <w:p w14:paraId="1E001EED" w14:textId="77777777" w:rsidR="00D95927" w:rsidRPr="00250E5E" w:rsidRDefault="00D95927" w:rsidP="00250E5E">
      <w:pPr>
        <w:pStyle w:val="TtulosNoNumerados"/>
        <w:rPr>
          <w:b w:val="0"/>
          <w:bCs w:val="0"/>
          <w:sz w:val="22"/>
          <w:szCs w:val="22"/>
        </w:rPr>
      </w:pPr>
    </w:p>
    <w:p w14:paraId="22FD869C" w14:textId="0A693264" w:rsidR="00250E5E" w:rsidRDefault="00250E5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B65E4" w14:textId="604B6F8E" w:rsidR="008562B7" w:rsidRDefault="00604715">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C001" w14:textId="675325A4" w:rsidR="34CB68DF" w:rsidRDefault="00604715"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8FA9C" w14:textId="4E46BFD7" w:rsidR="008562B7" w:rsidRDefault="00604715">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1810"/>
    <w:rsid w:val="000045B3"/>
    <w:rsid w:val="00017230"/>
    <w:rsid w:val="000251AB"/>
    <w:rsid w:val="00026BCD"/>
    <w:rsid w:val="0004092D"/>
    <w:rsid w:val="0004284F"/>
    <w:rsid w:val="00042954"/>
    <w:rsid w:val="00055BA2"/>
    <w:rsid w:val="00057443"/>
    <w:rsid w:val="00083ECD"/>
    <w:rsid w:val="0008414C"/>
    <w:rsid w:val="00091F4C"/>
    <w:rsid w:val="000B3107"/>
    <w:rsid w:val="000B3767"/>
    <w:rsid w:val="000C759F"/>
    <w:rsid w:val="000D4380"/>
    <w:rsid w:val="00116C61"/>
    <w:rsid w:val="001217D7"/>
    <w:rsid w:val="00126DD2"/>
    <w:rsid w:val="00133DE8"/>
    <w:rsid w:val="00143DA4"/>
    <w:rsid w:val="0015196A"/>
    <w:rsid w:val="00154AF7"/>
    <w:rsid w:val="00163493"/>
    <w:rsid w:val="00172360"/>
    <w:rsid w:val="00177757"/>
    <w:rsid w:val="00194448"/>
    <w:rsid w:val="001A1913"/>
    <w:rsid w:val="001A3BDA"/>
    <w:rsid w:val="001B0B31"/>
    <w:rsid w:val="001D23A0"/>
    <w:rsid w:val="001E54C1"/>
    <w:rsid w:val="001E75F3"/>
    <w:rsid w:val="001F6136"/>
    <w:rsid w:val="00217CF3"/>
    <w:rsid w:val="00235F24"/>
    <w:rsid w:val="002506BE"/>
    <w:rsid w:val="00250E5E"/>
    <w:rsid w:val="00251815"/>
    <w:rsid w:val="00255D68"/>
    <w:rsid w:val="00274FB1"/>
    <w:rsid w:val="00275DB9"/>
    <w:rsid w:val="0029403C"/>
    <w:rsid w:val="00297730"/>
    <w:rsid w:val="002A6224"/>
    <w:rsid w:val="002B21DA"/>
    <w:rsid w:val="002D4387"/>
    <w:rsid w:val="002E5744"/>
    <w:rsid w:val="0030144E"/>
    <w:rsid w:val="0030158D"/>
    <w:rsid w:val="003063C9"/>
    <w:rsid w:val="0035009A"/>
    <w:rsid w:val="00390C0D"/>
    <w:rsid w:val="00391E0A"/>
    <w:rsid w:val="00391F87"/>
    <w:rsid w:val="003A16B9"/>
    <w:rsid w:val="003A53FB"/>
    <w:rsid w:val="003B2FAA"/>
    <w:rsid w:val="003B5B9D"/>
    <w:rsid w:val="003B6045"/>
    <w:rsid w:val="003C3BB1"/>
    <w:rsid w:val="003D08B6"/>
    <w:rsid w:val="003E0D5F"/>
    <w:rsid w:val="003E279A"/>
    <w:rsid w:val="003F656B"/>
    <w:rsid w:val="00403677"/>
    <w:rsid w:val="004075C9"/>
    <w:rsid w:val="00435A4C"/>
    <w:rsid w:val="004371A8"/>
    <w:rsid w:val="00442C14"/>
    <w:rsid w:val="00454912"/>
    <w:rsid w:val="00483A93"/>
    <w:rsid w:val="00485239"/>
    <w:rsid w:val="00485697"/>
    <w:rsid w:val="004B0EE5"/>
    <w:rsid w:val="004C0FF1"/>
    <w:rsid w:val="004C10A5"/>
    <w:rsid w:val="004C446D"/>
    <w:rsid w:val="004D022B"/>
    <w:rsid w:val="004F1FEC"/>
    <w:rsid w:val="00501902"/>
    <w:rsid w:val="00522804"/>
    <w:rsid w:val="00526D12"/>
    <w:rsid w:val="00531E8C"/>
    <w:rsid w:val="00536C28"/>
    <w:rsid w:val="0057474E"/>
    <w:rsid w:val="00576DF9"/>
    <w:rsid w:val="00597F8A"/>
    <w:rsid w:val="005A2B0A"/>
    <w:rsid w:val="005B11F7"/>
    <w:rsid w:val="005C5724"/>
    <w:rsid w:val="005C58D8"/>
    <w:rsid w:val="005D3A9E"/>
    <w:rsid w:val="0060173B"/>
    <w:rsid w:val="006017C1"/>
    <w:rsid w:val="006032B4"/>
    <w:rsid w:val="00604715"/>
    <w:rsid w:val="006306D9"/>
    <w:rsid w:val="00646D7A"/>
    <w:rsid w:val="0068327B"/>
    <w:rsid w:val="00695D93"/>
    <w:rsid w:val="006C2E27"/>
    <w:rsid w:val="006D2F5D"/>
    <w:rsid w:val="006D3ABF"/>
    <w:rsid w:val="006E7866"/>
    <w:rsid w:val="007016EA"/>
    <w:rsid w:val="00704890"/>
    <w:rsid w:val="00707214"/>
    <w:rsid w:val="00717678"/>
    <w:rsid w:val="00725463"/>
    <w:rsid w:val="0074462C"/>
    <w:rsid w:val="00760B15"/>
    <w:rsid w:val="0076389E"/>
    <w:rsid w:val="00777399"/>
    <w:rsid w:val="00777958"/>
    <w:rsid w:val="007A1F67"/>
    <w:rsid w:val="007B26E0"/>
    <w:rsid w:val="007B3083"/>
    <w:rsid w:val="007B7881"/>
    <w:rsid w:val="007C257B"/>
    <w:rsid w:val="007D0EAE"/>
    <w:rsid w:val="007E2E87"/>
    <w:rsid w:val="007E33B8"/>
    <w:rsid w:val="007E76C8"/>
    <w:rsid w:val="00804ED6"/>
    <w:rsid w:val="00812F49"/>
    <w:rsid w:val="00816D36"/>
    <w:rsid w:val="00823FCA"/>
    <w:rsid w:val="00836A3A"/>
    <w:rsid w:val="0084089D"/>
    <w:rsid w:val="008562B7"/>
    <w:rsid w:val="00865FF8"/>
    <w:rsid w:val="0087040B"/>
    <w:rsid w:val="00892CA9"/>
    <w:rsid w:val="008967EE"/>
    <w:rsid w:val="008B711F"/>
    <w:rsid w:val="008C02E5"/>
    <w:rsid w:val="008C6DFB"/>
    <w:rsid w:val="008F32E8"/>
    <w:rsid w:val="008F3891"/>
    <w:rsid w:val="0090786F"/>
    <w:rsid w:val="00915550"/>
    <w:rsid w:val="009173EC"/>
    <w:rsid w:val="00926A02"/>
    <w:rsid w:val="00965B62"/>
    <w:rsid w:val="009676AF"/>
    <w:rsid w:val="00971680"/>
    <w:rsid w:val="0098531D"/>
    <w:rsid w:val="009973F8"/>
    <w:rsid w:val="009A0059"/>
    <w:rsid w:val="009A33DE"/>
    <w:rsid w:val="009B4393"/>
    <w:rsid w:val="009E3B90"/>
    <w:rsid w:val="009E6C0F"/>
    <w:rsid w:val="00A161E5"/>
    <w:rsid w:val="00A223FB"/>
    <w:rsid w:val="00A27006"/>
    <w:rsid w:val="00A35ED3"/>
    <w:rsid w:val="00A47061"/>
    <w:rsid w:val="00A817C2"/>
    <w:rsid w:val="00AB2173"/>
    <w:rsid w:val="00AB47AE"/>
    <w:rsid w:val="00AD5392"/>
    <w:rsid w:val="00AD658C"/>
    <w:rsid w:val="00AF346D"/>
    <w:rsid w:val="00AF4418"/>
    <w:rsid w:val="00B12FB7"/>
    <w:rsid w:val="00B2706C"/>
    <w:rsid w:val="00B31EAA"/>
    <w:rsid w:val="00B35ECD"/>
    <w:rsid w:val="00B42A60"/>
    <w:rsid w:val="00B47A4E"/>
    <w:rsid w:val="00B61B60"/>
    <w:rsid w:val="00B6500C"/>
    <w:rsid w:val="00B663F7"/>
    <w:rsid w:val="00B7745C"/>
    <w:rsid w:val="00B801C6"/>
    <w:rsid w:val="00BA0A30"/>
    <w:rsid w:val="00BA460D"/>
    <w:rsid w:val="00BA68B0"/>
    <w:rsid w:val="00BB3206"/>
    <w:rsid w:val="00BB34FF"/>
    <w:rsid w:val="00BD004B"/>
    <w:rsid w:val="00BD042D"/>
    <w:rsid w:val="00BD0F6C"/>
    <w:rsid w:val="00BD278E"/>
    <w:rsid w:val="00BD722D"/>
    <w:rsid w:val="00BE76DE"/>
    <w:rsid w:val="00BF09E3"/>
    <w:rsid w:val="00C5233B"/>
    <w:rsid w:val="00C6312E"/>
    <w:rsid w:val="00C8769A"/>
    <w:rsid w:val="00CA612A"/>
    <w:rsid w:val="00CC3A42"/>
    <w:rsid w:val="00CD2AF8"/>
    <w:rsid w:val="00CD581C"/>
    <w:rsid w:val="00CD7E56"/>
    <w:rsid w:val="00CF427F"/>
    <w:rsid w:val="00D07AAE"/>
    <w:rsid w:val="00D16DAA"/>
    <w:rsid w:val="00D17DEF"/>
    <w:rsid w:val="00D4622B"/>
    <w:rsid w:val="00D77336"/>
    <w:rsid w:val="00D86381"/>
    <w:rsid w:val="00D922E9"/>
    <w:rsid w:val="00D95927"/>
    <w:rsid w:val="00D97213"/>
    <w:rsid w:val="00DA1797"/>
    <w:rsid w:val="00DC0714"/>
    <w:rsid w:val="00DE30BE"/>
    <w:rsid w:val="00DF040B"/>
    <w:rsid w:val="00E044EA"/>
    <w:rsid w:val="00E05F28"/>
    <w:rsid w:val="00E173F3"/>
    <w:rsid w:val="00E2403F"/>
    <w:rsid w:val="00E31A9B"/>
    <w:rsid w:val="00E406F6"/>
    <w:rsid w:val="00E57BDA"/>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qFormat/>
    <w:rsid w:val="00B12FB7"/>
    <w:pPr>
      <w:suppressAutoHyphens/>
      <w:spacing w:line="240" w:lineRule="auto"/>
      <w:ind w:firstLine="0"/>
      <w:jc w:val="left"/>
    </w:pPr>
    <w:rPr>
      <w:rFonts w:ascii="Liberation Serif" w:eastAsia="NSimSun" w:hAnsi="Liberation Serif" w:cs="Arial"/>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C4EDC-D1D2-4A15-B95B-C2748E535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2771</Words>
  <Characters>14965</Characters>
  <Application>Microsoft Office Word</Application>
  <DocSecurity>0</DocSecurity>
  <Lines>124</Lines>
  <Paragraphs>35</Paragraphs>
  <ScaleCrop>false</ScaleCrop>
  <Company/>
  <LinksUpToDate>false</LinksUpToDate>
  <CharactersWithSpaces>17701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Amanda Veloso Garcia</cp:lastModifiedBy>
  <cp:revision>2</cp:revision>
  <dcterms:created xsi:type="dcterms:W3CDTF">2025-11-04T20:16:00Z</dcterms:created>
  <dcterms:modified xsi:type="dcterms:W3CDTF">2025-11-04T20:16:00Z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