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847F" w14:textId="0B6389E7" w:rsidR="003949CE" w:rsidRDefault="008C0B94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ANÁLISE </w:t>
      </w:r>
      <w:r w:rsidR="00141429">
        <w:rPr>
          <w:b/>
          <w:sz w:val="24"/>
          <w:szCs w:val="24"/>
        </w:rPr>
        <w:t xml:space="preserve">DOS FOCOS DE CALOR NA </w:t>
      </w:r>
      <w:r w:rsidR="00D0216F">
        <w:rPr>
          <w:b/>
          <w:sz w:val="24"/>
          <w:szCs w:val="24"/>
        </w:rPr>
        <w:t xml:space="preserve">AMAZÔNIA ORIENTAL: ESTUDO DE CASO </w:t>
      </w:r>
      <w:r w:rsidR="00D544D9">
        <w:rPr>
          <w:b/>
          <w:sz w:val="24"/>
          <w:szCs w:val="24"/>
        </w:rPr>
        <w:t xml:space="preserve">DO </w:t>
      </w:r>
      <w:r w:rsidR="00141429">
        <w:rPr>
          <w:b/>
          <w:sz w:val="24"/>
          <w:szCs w:val="24"/>
        </w:rPr>
        <w:t>NORDESTE PARAENSE ENTRE OS ANOS DE 2014 E 2024</w:t>
      </w:r>
    </w:p>
    <w:p w14:paraId="24ECE530" w14:textId="2DFFD0EA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488A52A5" w14:textId="4E476D0A" w:rsidR="003949CE" w:rsidRPr="004E0590" w:rsidRDefault="004E0590" w:rsidP="004E0590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Jones Remo Barbosa Vale</w:t>
      </w:r>
      <w:r>
        <w:rPr>
          <w:sz w:val="24"/>
          <w:szCs w:val="24"/>
          <w:vertAlign w:val="superscript"/>
        </w:rPr>
        <w:t>1</w:t>
      </w:r>
      <w:r w:rsidRPr="009B3058">
        <w:rPr>
          <w:sz w:val="24"/>
          <w:szCs w:val="24"/>
        </w:rPr>
        <w:t xml:space="preserve"> Nayarley Saba Castelo Branco</w:t>
      </w:r>
      <w:r>
        <w:rPr>
          <w:sz w:val="24"/>
          <w:szCs w:val="24"/>
          <w:vertAlign w:val="superscript"/>
        </w:rPr>
        <w:t>2</w:t>
      </w:r>
    </w:p>
    <w:p w14:paraId="7D915DB4" w14:textId="19C0CBC3" w:rsidR="003949CE" w:rsidRDefault="003949CE" w:rsidP="00576208">
      <w:pPr>
        <w:shd w:val="clear" w:color="auto" w:fill="FFFFFF"/>
        <w:tabs>
          <w:tab w:val="left" w:pos="2500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4E0590">
        <w:rPr>
          <w:sz w:val="24"/>
          <w:szCs w:val="24"/>
        </w:rPr>
        <w:t>Doutorando em Agronomia. Universidade Federal Rural da Amazônia.</w:t>
      </w:r>
      <w:r w:rsidR="00576208">
        <w:rPr>
          <w:sz w:val="24"/>
          <w:szCs w:val="24"/>
        </w:rPr>
        <w:t xml:space="preserve"> E-mail: </w:t>
      </w:r>
      <w:r w:rsidR="004E0590">
        <w:rPr>
          <w:sz w:val="24"/>
          <w:szCs w:val="24"/>
        </w:rPr>
        <w:t>jonesremo</w:t>
      </w:r>
      <w:r w:rsidR="00576208" w:rsidRPr="007C1E7E">
        <w:rPr>
          <w:sz w:val="24"/>
          <w:szCs w:val="24"/>
        </w:rPr>
        <w:t>@</w:t>
      </w:r>
      <w:r w:rsidR="004E0590">
        <w:rPr>
          <w:sz w:val="24"/>
          <w:szCs w:val="24"/>
        </w:rPr>
        <w:t>hot</w:t>
      </w:r>
      <w:r w:rsidR="00576208" w:rsidRPr="007C1E7E">
        <w:rPr>
          <w:sz w:val="24"/>
          <w:szCs w:val="24"/>
        </w:rPr>
        <w:t>mail.com</w:t>
      </w:r>
    </w:p>
    <w:p w14:paraId="31256D17" w14:textId="1455B369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4E0590">
        <w:rPr>
          <w:sz w:val="24"/>
          <w:szCs w:val="24"/>
        </w:rPr>
        <w:t>Mestrando em Agronomia. Universidade Federal Rural da Amazônia.</w:t>
      </w: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6C242CCB" w14:textId="017699F6" w:rsidR="003949CE" w:rsidRPr="00803C29" w:rsidRDefault="00041067" w:rsidP="00041067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041067">
        <w:rPr>
          <w:sz w:val="24"/>
          <w:szCs w:val="24"/>
        </w:rPr>
        <w:t>O Nordeste Paraense é uma mesorregião do Estado do Pará na qual fatores como a agropecuária, a atividade da dendeicultura e a proximidade com centros urbanos contribuíram para o processo de ocupação e desenvolvimento econômico. Em decorrência disso, verificam-se elevados índices de focos de calor na região, configurando-a como uma área de atenção para o monitoramento ambiental. Este estudo teve como objetivo analisar as ocorrências de focos de calor no Nordeste Paraense entre os anos de 2014 e 2024, buscando subsidiar estratégias de mitigação e gestão territorial. Para o desenvolvimento do trabalho, foram utilizados os dados do satélite AQUA (sensor MODIS), disponibilizados gratuitamente pelo Projeto Queimadas do Instituto Nacional de Pesquisas Espaciais (INPE). Para avaliar a distribuição espacial e temporal dos focos, aplicou-se o estimador de densidade Kernel, e as análises e produções cartográficas foram realizadas em ambiente de Sistema de Informação Geográfica (SIG).</w:t>
      </w:r>
      <w:r>
        <w:rPr>
          <w:sz w:val="24"/>
          <w:szCs w:val="24"/>
        </w:rPr>
        <w:t xml:space="preserve"> </w:t>
      </w:r>
      <w:r w:rsidRPr="00041067">
        <w:rPr>
          <w:sz w:val="24"/>
          <w:szCs w:val="24"/>
        </w:rPr>
        <w:t>Os resultados indicam que, entre 2014 e 2024, foram registrados 55.803 focos de calor, com aumento de 19% ao longo do período, destacando-se 2023 como o ano de maior incidência. A concentração dos focos ocorreu predominantemente nas proximidades das rodovias estaduais e federais, com destaque para os municípios de Acará, Concórdia do Pará, Moju, Tailândia e Tomé-Açu, que se configuram como centralidade devido à concentração da maior parte da produção de palma de óleo do Estado, respondendo por mais de 80% da produção paraense.</w:t>
      </w:r>
      <w:r>
        <w:rPr>
          <w:sz w:val="24"/>
          <w:szCs w:val="24"/>
        </w:rPr>
        <w:t xml:space="preserve"> </w:t>
      </w:r>
      <w:r w:rsidRPr="00041067">
        <w:rPr>
          <w:sz w:val="24"/>
          <w:szCs w:val="24"/>
        </w:rPr>
        <w:t>Assim, a pesquisa ratifica a eficiência da metodologia aplicada, demonstrando que o uso de geotecnologias possibilita a obtenção de dados confiáveis e precisos, fundamentais para o desenvolvimento de políticas públicas mais eficazes voltadas à proteção e conservação ambiental.</w:t>
      </w:r>
    </w:p>
    <w:p w14:paraId="42D75990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5A93BFDA" w14:textId="16610826" w:rsidR="003949CE" w:rsidRDefault="003949C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056015" w:rsidRPr="00056015">
        <w:rPr>
          <w:bCs/>
          <w:sz w:val="24"/>
          <w:szCs w:val="24"/>
        </w:rPr>
        <w:t xml:space="preserve">Queimadas. </w:t>
      </w:r>
      <w:r w:rsidR="00041067" w:rsidRPr="00056015">
        <w:rPr>
          <w:bCs/>
          <w:sz w:val="24"/>
          <w:szCs w:val="24"/>
        </w:rPr>
        <w:t>Monitoramento ambiental. Geotecnologias.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3EB5E4E" w14:textId="3F65781F" w:rsidR="003949CE" w:rsidRDefault="003949C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5F2B18" w:rsidRPr="005F2B18">
        <w:rPr>
          <w:sz w:val="24"/>
          <w:szCs w:val="24"/>
        </w:rPr>
        <w:t>Metodologias, geotecnologias, estatística, e divulgação</w:t>
      </w:r>
      <w:r w:rsidR="00056015" w:rsidRPr="00056015">
        <w:rPr>
          <w:sz w:val="24"/>
          <w:szCs w:val="24"/>
        </w:rPr>
        <w:t>.</w:t>
      </w:r>
    </w:p>
    <w:p w14:paraId="45B27B6B" w14:textId="7082936C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6B35A14B" w14:textId="1050E4C6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1. INTRODUÇÃO</w:t>
      </w:r>
    </w:p>
    <w:p w14:paraId="38D85C0C" w14:textId="0341259C" w:rsidR="00C4340C" w:rsidRDefault="00C4340C" w:rsidP="001E2193">
      <w:pPr>
        <w:spacing w:line="360" w:lineRule="auto"/>
        <w:ind w:firstLine="709"/>
        <w:jc w:val="both"/>
        <w:rPr>
          <w:bCs/>
          <w:color w:val="0D0D0D"/>
          <w:spacing w:val="-4"/>
          <w:sz w:val="24"/>
          <w:szCs w:val="24"/>
        </w:rPr>
      </w:pPr>
      <w:r w:rsidRPr="00C4340C">
        <w:rPr>
          <w:bCs/>
          <w:color w:val="0D0D0D"/>
          <w:spacing w:val="-4"/>
          <w:sz w:val="24"/>
          <w:szCs w:val="24"/>
        </w:rPr>
        <w:t>As florestas tropicais ao redor do mundo têm sofrido intensas transformações em suas paisagens, principalmente em razão da exploração excessiva dos recursos naturais e da conversão dessas áreas para diferentes formas de uso do solo (</w:t>
      </w:r>
      <w:r w:rsidR="00554FFC" w:rsidRPr="00C4340C">
        <w:rPr>
          <w:bCs/>
          <w:color w:val="0D0D0D"/>
          <w:spacing w:val="-4"/>
          <w:sz w:val="24"/>
          <w:szCs w:val="24"/>
        </w:rPr>
        <w:t>Domingues; Bermann</w:t>
      </w:r>
      <w:r w:rsidRPr="00C4340C">
        <w:rPr>
          <w:bCs/>
          <w:color w:val="0D0D0D"/>
          <w:spacing w:val="-4"/>
          <w:sz w:val="24"/>
          <w:szCs w:val="24"/>
        </w:rPr>
        <w:t>, 2012). O Brasil destaca-se por abrigar uma das maiores extensões de floresta tropical úmida do planeta</w:t>
      </w:r>
      <w:r>
        <w:rPr>
          <w:bCs/>
          <w:color w:val="0D0D0D"/>
          <w:spacing w:val="-4"/>
          <w:sz w:val="24"/>
          <w:szCs w:val="24"/>
        </w:rPr>
        <w:t xml:space="preserve">, a Floresta </w:t>
      </w:r>
      <w:r w:rsidRPr="00C4340C">
        <w:rPr>
          <w:bCs/>
          <w:color w:val="0D0D0D"/>
          <w:spacing w:val="-4"/>
          <w:sz w:val="24"/>
          <w:szCs w:val="24"/>
        </w:rPr>
        <w:t>Amazôni</w:t>
      </w:r>
      <w:r>
        <w:rPr>
          <w:bCs/>
          <w:color w:val="0D0D0D"/>
          <w:spacing w:val="-4"/>
          <w:sz w:val="24"/>
          <w:szCs w:val="24"/>
        </w:rPr>
        <w:t>ca</w:t>
      </w:r>
      <w:r w:rsidRPr="00C4340C">
        <w:rPr>
          <w:bCs/>
          <w:color w:val="0D0D0D"/>
          <w:spacing w:val="-4"/>
          <w:sz w:val="24"/>
          <w:szCs w:val="24"/>
        </w:rPr>
        <w:t xml:space="preserve"> cobre cerca de 40% do território nacional. Essa floresta é reconhecida como a maior formação tropical contínua do mundo, apresentando grande complexidade ecológica, com variados ecótonos, e sendo responsável por aproximadamente 15% da fotossíntese terrestre global (</w:t>
      </w:r>
      <w:r w:rsidR="00554FFC" w:rsidRPr="00C4340C">
        <w:rPr>
          <w:bCs/>
          <w:color w:val="0D0D0D"/>
          <w:spacing w:val="-4"/>
          <w:sz w:val="24"/>
          <w:szCs w:val="24"/>
        </w:rPr>
        <w:t xml:space="preserve">Malhi </w:t>
      </w:r>
      <w:r w:rsidR="00554FFC">
        <w:rPr>
          <w:bCs/>
          <w:i/>
          <w:iCs/>
          <w:color w:val="0D0D0D"/>
          <w:spacing w:val="-4"/>
          <w:sz w:val="24"/>
          <w:szCs w:val="24"/>
        </w:rPr>
        <w:t>e</w:t>
      </w:r>
      <w:r w:rsidR="00554FFC" w:rsidRPr="00E456F0">
        <w:rPr>
          <w:bCs/>
          <w:i/>
          <w:iCs/>
          <w:color w:val="0D0D0D"/>
          <w:spacing w:val="-4"/>
          <w:sz w:val="24"/>
          <w:szCs w:val="24"/>
        </w:rPr>
        <w:t xml:space="preserve">t </w:t>
      </w:r>
      <w:r w:rsidR="00554FFC">
        <w:rPr>
          <w:bCs/>
          <w:i/>
          <w:iCs/>
          <w:color w:val="0D0D0D"/>
          <w:spacing w:val="-4"/>
          <w:sz w:val="24"/>
          <w:szCs w:val="24"/>
        </w:rPr>
        <w:t>a</w:t>
      </w:r>
      <w:r w:rsidR="00554FFC" w:rsidRPr="00E456F0">
        <w:rPr>
          <w:bCs/>
          <w:i/>
          <w:iCs/>
          <w:color w:val="0D0D0D"/>
          <w:spacing w:val="-4"/>
          <w:sz w:val="24"/>
          <w:szCs w:val="24"/>
        </w:rPr>
        <w:t>l.</w:t>
      </w:r>
      <w:r w:rsidR="00554FFC" w:rsidRPr="00C4340C">
        <w:rPr>
          <w:bCs/>
          <w:color w:val="0D0D0D"/>
          <w:spacing w:val="-4"/>
          <w:sz w:val="24"/>
          <w:szCs w:val="24"/>
        </w:rPr>
        <w:t xml:space="preserve">, 2008; Diniz </w:t>
      </w:r>
      <w:r w:rsidRPr="00E456F0">
        <w:rPr>
          <w:bCs/>
          <w:i/>
          <w:iCs/>
          <w:color w:val="0D0D0D"/>
          <w:spacing w:val="-4"/>
          <w:sz w:val="24"/>
          <w:szCs w:val="24"/>
        </w:rPr>
        <w:t>et al</w:t>
      </w:r>
      <w:r w:rsidRPr="00C4340C">
        <w:rPr>
          <w:bCs/>
          <w:color w:val="0D0D0D"/>
          <w:spacing w:val="-4"/>
          <w:sz w:val="24"/>
          <w:szCs w:val="24"/>
        </w:rPr>
        <w:t>., 2015).</w:t>
      </w:r>
    </w:p>
    <w:p w14:paraId="4222DEA0" w14:textId="1766BFA0" w:rsidR="0019705C" w:rsidRDefault="0019705C" w:rsidP="00086736">
      <w:pPr>
        <w:spacing w:line="360" w:lineRule="auto"/>
        <w:ind w:firstLine="709"/>
        <w:jc w:val="both"/>
        <w:rPr>
          <w:bCs/>
          <w:color w:val="0D0D0D"/>
          <w:spacing w:val="-4"/>
          <w:sz w:val="24"/>
          <w:szCs w:val="24"/>
        </w:rPr>
      </w:pPr>
      <w:r w:rsidRPr="0019705C">
        <w:rPr>
          <w:bCs/>
          <w:color w:val="0D0D0D"/>
          <w:spacing w:val="-4"/>
          <w:sz w:val="24"/>
          <w:szCs w:val="24"/>
        </w:rPr>
        <w:t>Os sucessivos ciclos de ocupação, transformação e exploração do espaço amazônico deram origem, ao longo do tempo, a complexas relações entre diferentes agentes sociais, econômicos e políticos (</w:t>
      </w:r>
      <w:r w:rsidR="00554FFC" w:rsidRPr="0019705C">
        <w:rPr>
          <w:bCs/>
          <w:color w:val="0D0D0D"/>
          <w:spacing w:val="-4"/>
          <w:sz w:val="24"/>
          <w:szCs w:val="24"/>
        </w:rPr>
        <w:t>Becker</w:t>
      </w:r>
      <w:r w:rsidRPr="0019705C">
        <w:rPr>
          <w:bCs/>
          <w:color w:val="0D0D0D"/>
          <w:spacing w:val="-4"/>
          <w:sz w:val="24"/>
          <w:szCs w:val="24"/>
        </w:rPr>
        <w:t xml:space="preserve">, </w:t>
      </w:r>
      <w:r w:rsidR="00086736">
        <w:rPr>
          <w:bCs/>
          <w:color w:val="0D0D0D"/>
          <w:spacing w:val="-4"/>
          <w:sz w:val="24"/>
          <w:szCs w:val="24"/>
        </w:rPr>
        <w:t>1998</w:t>
      </w:r>
      <w:r w:rsidRPr="0019705C">
        <w:rPr>
          <w:bCs/>
          <w:color w:val="0D0D0D"/>
          <w:spacing w:val="-4"/>
          <w:sz w:val="24"/>
          <w:szCs w:val="24"/>
        </w:rPr>
        <w:t>). A partir da década de 1940, o território amazônico passou a ser alvo de diversos projetos e incentivos fiscais, implementados por meio de políticas públicas voltadas à ocupação e ao desenvolvimento regional (</w:t>
      </w:r>
      <w:r w:rsidR="00554FFC" w:rsidRPr="0019705C">
        <w:rPr>
          <w:bCs/>
          <w:color w:val="0D0D0D"/>
          <w:spacing w:val="-4"/>
          <w:sz w:val="24"/>
          <w:szCs w:val="24"/>
        </w:rPr>
        <w:t>Castro,</w:t>
      </w:r>
      <w:r w:rsidRPr="0019705C">
        <w:rPr>
          <w:bCs/>
          <w:color w:val="0D0D0D"/>
          <w:spacing w:val="-4"/>
          <w:sz w:val="24"/>
          <w:szCs w:val="24"/>
        </w:rPr>
        <w:t xml:space="preserve"> 2005). O avanço do desmatamento na Amazônia está diretamente relacionado a fatores macroeconômicos, como a exploração madeireira (</w:t>
      </w:r>
      <w:r w:rsidR="00554FFC" w:rsidRPr="0019705C">
        <w:rPr>
          <w:bCs/>
          <w:color w:val="0D0D0D"/>
          <w:spacing w:val="-4"/>
          <w:sz w:val="24"/>
          <w:szCs w:val="24"/>
        </w:rPr>
        <w:t xml:space="preserve">Nepstad </w:t>
      </w:r>
      <w:r w:rsidRPr="00086736">
        <w:rPr>
          <w:bCs/>
          <w:i/>
          <w:iCs/>
          <w:color w:val="0D0D0D"/>
          <w:spacing w:val="-4"/>
          <w:sz w:val="24"/>
          <w:szCs w:val="24"/>
        </w:rPr>
        <w:t>et al</w:t>
      </w:r>
      <w:r w:rsidRPr="0019705C">
        <w:rPr>
          <w:bCs/>
          <w:color w:val="0D0D0D"/>
          <w:spacing w:val="-4"/>
          <w:sz w:val="24"/>
          <w:szCs w:val="24"/>
        </w:rPr>
        <w:t>., 2000), a expansão da pecuária (</w:t>
      </w:r>
      <w:r w:rsidR="00554FFC" w:rsidRPr="0019705C">
        <w:rPr>
          <w:bCs/>
          <w:color w:val="0D0D0D"/>
          <w:spacing w:val="-4"/>
          <w:sz w:val="24"/>
          <w:szCs w:val="24"/>
        </w:rPr>
        <w:t>Castro</w:t>
      </w:r>
      <w:r w:rsidRPr="0019705C">
        <w:rPr>
          <w:bCs/>
          <w:color w:val="0D0D0D"/>
          <w:spacing w:val="-4"/>
          <w:sz w:val="24"/>
          <w:szCs w:val="24"/>
        </w:rPr>
        <w:t>, 2007), o crescimento das áreas agrícolas (</w:t>
      </w:r>
      <w:r w:rsidR="00554FFC" w:rsidRPr="0019705C">
        <w:rPr>
          <w:bCs/>
          <w:color w:val="0D0D0D"/>
          <w:spacing w:val="-4"/>
          <w:sz w:val="24"/>
          <w:szCs w:val="24"/>
        </w:rPr>
        <w:t>Fearnside</w:t>
      </w:r>
      <w:r w:rsidRPr="0019705C">
        <w:rPr>
          <w:bCs/>
          <w:color w:val="0D0D0D"/>
          <w:spacing w:val="-4"/>
          <w:sz w:val="24"/>
          <w:szCs w:val="24"/>
        </w:rPr>
        <w:t>, 200</w:t>
      </w:r>
      <w:r w:rsidR="001B494A">
        <w:rPr>
          <w:bCs/>
          <w:color w:val="0D0D0D"/>
          <w:spacing w:val="-4"/>
          <w:sz w:val="24"/>
          <w:szCs w:val="24"/>
        </w:rPr>
        <w:t>5</w:t>
      </w:r>
      <w:r w:rsidRPr="0019705C">
        <w:rPr>
          <w:bCs/>
          <w:color w:val="0D0D0D"/>
          <w:spacing w:val="-4"/>
          <w:sz w:val="24"/>
          <w:szCs w:val="24"/>
        </w:rPr>
        <w:t>) e os investimentos em infraestrutura, especialmente na abertura e pavimentação de rodovias e na construção de portos (N</w:t>
      </w:r>
      <w:r w:rsidR="00554FFC" w:rsidRPr="0019705C">
        <w:rPr>
          <w:bCs/>
          <w:color w:val="0D0D0D"/>
          <w:spacing w:val="-4"/>
          <w:sz w:val="24"/>
          <w:szCs w:val="24"/>
        </w:rPr>
        <w:t xml:space="preserve">epstad </w:t>
      </w:r>
      <w:r w:rsidRPr="0019705C">
        <w:rPr>
          <w:bCs/>
          <w:i/>
          <w:iCs/>
          <w:color w:val="0D0D0D"/>
          <w:spacing w:val="-4"/>
          <w:sz w:val="24"/>
          <w:szCs w:val="24"/>
        </w:rPr>
        <w:t>et al</w:t>
      </w:r>
      <w:r w:rsidRPr="0019705C">
        <w:rPr>
          <w:bCs/>
          <w:color w:val="0D0D0D"/>
          <w:spacing w:val="-4"/>
          <w:sz w:val="24"/>
          <w:szCs w:val="24"/>
        </w:rPr>
        <w:t>., 2000; L</w:t>
      </w:r>
      <w:r w:rsidR="00554FFC" w:rsidRPr="0019705C">
        <w:rPr>
          <w:bCs/>
          <w:color w:val="0D0D0D"/>
          <w:spacing w:val="-4"/>
          <w:sz w:val="24"/>
          <w:szCs w:val="24"/>
        </w:rPr>
        <w:t>aurance</w:t>
      </w:r>
      <w:r w:rsidRPr="0019705C">
        <w:rPr>
          <w:bCs/>
          <w:color w:val="0D0D0D"/>
          <w:spacing w:val="-4"/>
          <w:sz w:val="24"/>
          <w:szCs w:val="24"/>
        </w:rPr>
        <w:t xml:space="preserve"> </w:t>
      </w:r>
      <w:r w:rsidRPr="0019705C">
        <w:rPr>
          <w:bCs/>
          <w:i/>
          <w:iCs/>
          <w:color w:val="0D0D0D"/>
          <w:spacing w:val="-4"/>
          <w:sz w:val="24"/>
          <w:szCs w:val="24"/>
        </w:rPr>
        <w:t>et al</w:t>
      </w:r>
      <w:r w:rsidRPr="0019705C">
        <w:rPr>
          <w:bCs/>
          <w:color w:val="0D0D0D"/>
          <w:spacing w:val="-4"/>
          <w:sz w:val="24"/>
          <w:szCs w:val="24"/>
        </w:rPr>
        <w:t>., 2001).</w:t>
      </w:r>
    </w:p>
    <w:p w14:paraId="76FC8E36" w14:textId="293A82EC" w:rsidR="0019705C" w:rsidRDefault="0019705C" w:rsidP="001E2193">
      <w:pPr>
        <w:spacing w:line="360" w:lineRule="auto"/>
        <w:ind w:firstLine="709"/>
        <w:jc w:val="both"/>
        <w:rPr>
          <w:bCs/>
          <w:color w:val="0D0D0D"/>
          <w:spacing w:val="-4"/>
          <w:sz w:val="24"/>
          <w:szCs w:val="24"/>
        </w:rPr>
      </w:pPr>
      <w:r w:rsidRPr="0019705C">
        <w:rPr>
          <w:bCs/>
          <w:color w:val="0D0D0D"/>
          <w:spacing w:val="-4"/>
          <w:sz w:val="24"/>
          <w:szCs w:val="24"/>
        </w:rPr>
        <w:t>No estado do Pará, as queimadas configuram um grave problema ambiental. A região, marcada pela intensa atividade agropecuária e pela exploração de recursos naturais, apresenta altos índices de focos de calor, sobretudo durante o período seco. Pesquisas apontam que, entre 2001 e 2018, mais de 5,5% das florestas da bacia amazônica foram diretamente afetadas pelo fogo, pela fragmentação florestal e pela extração madeireira (Mc</w:t>
      </w:r>
      <w:r w:rsidR="00554FFC" w:rsidRPr="0019705C">
        <w:rPr>
          <w:bCs/>
          <w:color w:val="0D0D0D"/>
          <w:spacing w:val="-4"/>
          <w:sz w:val="24"/>
          <w:szCs w:val="24"/>
        </w:rPr>
        <w:t>guire</w:t>
      </w:r>
      <w:r w:rsidRPr="0019705C">
        <w:rPr>
          <w:bCs/>
          <w:color w:val="0D0D0D"/>
          <w:spacing w:val="-4"/>
          <w:sz w:val="24"/>
          <w:szCs w:val="24"/>
        </w:rPr>
        <w:t xml:space="preserve"> </w:t>
      </w:r>
      <w:r w:rsidRPr="0019705C">
        <w:rPr>
          <w:bCs/>
          <w:i/>
          <w:iCs/>
          <w:color w:val="0D0D0D"/>
          <w:spacing w:val="-4"/>
          <w:sz w:val="24"/>
          <w:szCs w:val="24"/>
        </w:rPr>
        <w:t>et al</w:t>
      </w:r>
      <w:r w:rsidRPr="0019705C">
        <w:rPr>
          <w:bCs/>
          <w:color w:val="0D0D0D"/>
          <w:spacing w:val="-4"/>
          <w:sz w:val="24"/>
          <w:szCs w:val="24"/>
        </w:rPr>
        <w:t>., 2016).</w:t>
      </w:r>
    </w:p>
    <w:p w14:paraId="01E30A79" w14:textId="1A3AFA3C" w:rsidR="00834101" w:rsidRDefault="00CC4E1D" w:rsidP="001E2193">
      <w:pPr>
        <w:spacing w:line="360" w:lineRule="auto"/>
        <w:ind w:firstLine="709"/>
        <w:jc w:val="both"/>
        <w:rPr>
          <w:bCs/>
          <w:color w:val="0D0D0D"/>
          <w:spacing w:val="-4"/>
          <w:sz w:val="24"/>
          <w:szCs w:val="24"/>
        </w:rPr>
      </w:pPr>
      <w:r w:rsidRPr="00CC4E1D">
        <w:rPr>
          <w:bCs/>
          <w:color w:val="0D0D0D"/>
          <w:spacing w:val="-4"/>
          <w:sz w:val="24"/>
          <w:szCs w:val="24"/>
        </w:rPr>
        <w:t xml:space="preserve">Nesse contexto de expansão e exploração, o </w:t>
      </w:r>
      <w:r>
        <w:rPr>
          <w:bCs/>
          <w:color w:val="0D0D0D"/>
          <w:spacing w:val="-4"/>
          <w:sz w:val="24"/>
          <w:szCs w:val="24"/>
        </w:rPr>
        <w:t>Nord</w:t>
      </w:r>
      <w:r w:rsidRPr="00CC4E1D">
        <w:rPr>
          <w:bCs/>
          <w:color w:val="0D0D0D"/>
          <w:spacing w:val="-4"/>
          <w:sz w:val="24"/>
          <w:szCs w:val="24"/>
        </w:rPr>
        <w:t>este Paraense destaca-se como uma das áreas da Amazônia que mais apresentam intensas transformações em suas paisagens</w:t>
      </w:r>
      <w:r>
        <w:rPr>
          <w:bCs/>
          <w:color w:val="0D0D0D"/>
          <w:spacing w:val="-4"/>
          <w:sz w:val="24"/>
          <w:szCs w:val="24"/>
        </w:rPr>
        <w:t>, em decorrencia da proximidade e forte contato com a Região Metropolitana de Belém</w:t>
      </w:r>
      <w:r w:rsidR="0038736A">
        <w:rPr>
          <w:bCs/>
          <w:color w:val="0D0D0D"/>
          <w:spacing w:val="-4"/>
          <w:sz w:val="24"/>
          <w:szCs w:val="24"/>
        </w:rPr>
        <w:t>, a</w:t>
      </w:r>
      <w:r w:rsidRPr="00CC4E1D">
        <w:rPr>
          <w:bCs/>
          <w:color w:val="0D0D0D"/>
          <w:spacing w:val="-4"/>
          <w:sz w:val="24"/>
          <w:szCs w:val="24"/>
        </w:rPr>
        <w:t xml:space="preserve">s atividades econômicas desenvolvidas na região têm contribuído significativamente para o aumento das taxas de desmatamento e para a elevada incidência de focos de calor, resultantes dos diferentes tipos de uso da terra. O dinamismo </w:t>
      </w:r>
      <w:r w:rsidR="0038736A">
        <w:rPr>
          <w:bCs/>
          <w:color w:val="0D0D0D"/>
          <w:spacing w:val="-4"/>
          <w:sz w:val="24"/>
          <w:szCs w:val="24"/>
        </w:rPr>
        <w:t>dos diferentes usos na área ocorrem em virtude</w:t>
      </w:r>
      <w:r w:rsidRPr="00CC4E1D">
        <w:rPr>
          <w:bCs/>
          <w:color w:val="0D0D0D"/>
          <w:spacing w:val="-4"/>
          <w:sz w:val="24"/>
          <w:szCs w:val="24"/>
        </w:rPr>
        <w:t xml:space="preserve">: </w:t>
      </w:r>
      <w:r w:rsidR="00EA3A46">
        <w:rPr>
          <w:bCs/>
          <w:color w:val="0D0D0D"/>
          <w:spacing w:val="-4"/>
          <w:sz w:val="24"/>
          <w:szCs w:val="24"/>
        </w:rPr>
        <w:t>d</w:t>
      </w:r>
      <w:r w:rsidRPr="00CC4E1D">
        <w:rPr>
          <w:bCs/>
          <w:color w:val="0D0D0D"/>
          <w:spacing w:val="-4"/>
          <w:sz w:val="24"/>
          <w:szCs w:val="24"/>
        </w:rPr>
        <w:t xml:space="preserve">as políticas públicas </w:t>
      </w:r>
      <w:r w:rsidRPr="00CC4E1D">
        <w:rPr>
          <w:bCs/>
          <w:color w:val="0D0D0D"/>
          <w:spacing w:val="-4"/>
          <w:sz w:val="24"/>
          <w:szCs w:val="24"/>
        </w:rPr>
        <w:lastRenderedPageBreak/>
        <w:t>voltadas ao incentivo da ocupação territorial (</w:t>
      </w:r>
      <w:r w:rsidR="00554FFC" w:rsidRPr="00CC4E1D">
        <w:rPr>
          <w:bCs/>
          <w:color w:val="0D0D0D"/>
          <w:spacing w:val="-4"/>
          <w:sz w:val="24"/>
          <w:szCs w:val="24"/>
        </w:rPr>
        <w:t>Fearnside, 200</w:t>
      </w:r>
      <w:r w:rsidR="00554FFC">
        <w:rPr>
          <w:bCs/>
          <w:color w:val="0D0D0D"/>
          <w:spacing w:val="-4"/>
          <w:sz w:val="24"/>
          <w:szCs w:val="24"/>
        </w:rPr>
        <w:t>5</w:t>
      </w:r>
      <w:r w:rsidR="00554FFC" w:rsidRPr="00CC4E1D">
        <w:rPr>
          <w:bCs/>
          <w:color w:val="0D0D0D"/>
          <w:spacing w:val="-4"/>
          <w:sz w:val="24"/>
          <w:szCs w:val="24"/>
        </w:rPr>
        <w:t xml:space="preserve">; Silva </w:t>
      </w:r>
      <w:r w:rsidRPr="00EA3A46">
        <w:rPr>
          <w:bCs/>
          <w:i/>
          <w:iCs/>
          <w:color w:val="0D0D0D"/>
          <w:spacing w:val="-4"/>
          <w:sz w:val="24"/>
          <w:szCs w:val="24"/>
        </w:rPr>
        <w:t>et al</w:t>
      </w:r>
      <w:r w:rsidRPr="00CC4E1D">
        <w:rPr>
          <w:bCs/>
          <w:color w:val="0D0D0D"/>
          <w:spacing w:val="-4"/>
          <w:sz w:val="24"/>
          <w:szCs w:val="24"/>
        </w:rPr>
        <w:t>., 2013); a construção de portos e a pavimentação de rodovias, que favorecem o escoamento da produção e o fluxo econômico; e a disponibilidade de grande quantidade de matéria-prima de elevado valor comercial (</w:t>
      </w:r>
      <w:r w:rsidR="00554FFC" w:rsidRPr="00CC4E1D">
        <w:rPr>
          <w:bCs/>
          <w:color w:val="0D0D0D"/>
          <w:spacing w:val="-4"/>
          <w:sz w:val="24"/>
          <w:szCs w:val="24"/>
        </w:rPr>
        <w:t xml:space="preserve">Becker, 1998; Nepstad </w:t>
      </w:r>
      <w:r w:rsidRPr="00EA3A46">
        <w:rPr>
          <w:bCs/>
          <w:i/>
          <w:iCs/>
          <w:color w:val="0D0D0D"/>
          <w:spacing w:val="-4"/>
          <w:sz w:val="24"/>
          <w:szCs w:val="24"/>
        </w:rPr>
        <w:t>et al</w:t>
      </w:r>
      <w:r w:rsidRPr="00CC4E1D">
        <w:rPr>
          <w:bCs/>
          <w:color w:val="0D0D0D"/>
          <w:spacing w:val="-4"/>
          <w:sz w:val="24"/>
          <w:szCs w:val="24"/>
        </w:rPr>
        <w:t>., 2000).</w:t>
      </w:r>
    </w:p>
    <w:p w14:paraId="3486E835" w14:textId="55638BFA" w:rsidR="005A0CD8" w:rsidRDefault="001B5147" w:rsidP="00834101">
      <w:pPr>
        <w:tabs>
          <w:tab w:val="left" w:pos="7230"/>
        </w:tabs>
        <w:spacing w:line="360" w:lineRule="auto"/>
        <w:ind w:firstLine="709"/>
        <w:jc w:val="both"/>
        <w:rPr>
          <w:bCs/>
          <w:color w:val="0D0D0D"/>
          <w:spacing w:val="-4"/>
          <w:sz w:val="24"/>
          <w:szCs w:val="24"/>
        </w:rPr>
      </w:pPr>
      <w:r w:rsidRPr="001B5147">
        <w:rPr>
          <w:bCs/>
          <w:color w:val="0D0D0D"/>
          <w:spacing w:val="-4"/>
          <w:sz w:val="24"/>
          <w:szCs w:val="24"/>
        </w:rPr>
        <w:t xml:space="preserve">Desse modo, a análise desse dinamismo é essencial para promover uma gestão territorial mais eficiente. O monitoramento e a mensuração das transformações ocorridas no tempo e no espaço possibilitam identificar as transições da paisagem e realizar simulações de cenários futuros. Nesse contexto, </w:t>
      </w:r>
      <w:r w:rsidR="0014785A">
        <w:rPr>
          <w:bCs/>
          <w:color w:val="0D0D0D"/>
          <w:spacing w:val="-4"/>
          <w:sz w:val="24"/>
          <w:szCs w:val="24"/>
        </w:rPr>
        <w:t>a</w:t>
      </w:r>
      <w:r w:rsidR="0014785A" w:rsidRPr="0014785A">
        <w:rPr>
          <w:bCs/>
          <w:color w:val="0D0D0D"/>
          <w:spacing w:val="-4"/>
          <w:sz w:val="24"/>
          <w:szCs w:val="24"/>
        </w:rPr>
        <w:t>s geotecnologias são essenciais no monitoramento de focos de calor, pois permitem a detecção rápida e precisa de queimadas por meio de imagens de satélite e sistemas de informação geográfica</w:t>
      </w:r>
      <w:r w:rsidR="00452913">
        <w:rPr>
          <w:bCs/>
          <w:color w:val="0D0D0D"/>
          <w:spacing w:val="-4"/>
          <w:sz w:val="24"/>
          <w:szCs w:val="24"/>
        </w:rPr>
        <w:t xml:space="preserve"> (F</w:t>
      </w:r>
      <w:r w:rsidR="00554FFC">
        <w:rPr>
          <w:bCs/>
          <w:color w:val="0D0D0D"/>
          <w:spacing w:val="-4"/>
          <w:sz w:val="24"/>
          <w:szCs w:val="24"/>
        </w:rPr>
        <w:t>itz</w:t>
      </w:r>
      <w:r w:rsidR="00452913">
        <w:rPr>
          <w:bCs/>
          <w:color w:val="0D0D0D"/>
          <w:spacing w:val="-4"/>
          <w:sz w:val="24"/>
          <w:szCs w:val="24"/>
        </w:rPr>
        <w:t>, 2008).</w:t>
      </w:r>
    </w:p>
    <w:p w14:paraId="5788B912" w14:textId="33BDC4ED" w:rsidR="00CF03A4" w:rsidRPr="00EE52DB" w:rsidRDefault="008648F3" w:rsidP="00EE52DB">
      <w:pPr>
        <w:tabs>
          <w:tab w:val="left" w:pos="7230"/>
        </w:tabs>
        <w:spacing w:line="360" w:lineRule="auto"/>
        <w:ind w:firstLine="709"/>
        <w:jc w:val="both"/>
        <w:rPr>
          <w:bCs/>
          <w:color w:val="0D0D0D"/>
          <w:spacing w:val="-4"/>
          <w:sz w:val="24"/>
          <w:szCs w:val="24"/>
          <w:lang w:val="pt-BR"/>
        </w:rPr>
      </w:pPr>
      <w:r w:rsidRPr="008648F3">
        <w:rPr>
          <w:bCs/>
          <w:color w:val="0D0D0D"/>
          <w:spacing w:val="-4"/>
          <w:sz w:val="24"/>
          <w:szCs w:val="24"/>
          <w:lang w:val="pt-BR"/>
        </w:rPr>
        <w:t>Mediante as diversas transformações que ocorrem no espaço territorial amazônico é necessária uma análise com compreensão de dados espaciais. Assim, as geotecnologias têm sido bastante utilizadas na análise da dinâmica da paisagem para a compreensão da organização do espaço.</w:t>
      </w:r>
      <w:r w:rsidR="00EE52DB">
        <w:rPr>
          <w:bCs/>
          <w:color w:val="0D0D0D"/>
          <w:spacing w:val="-4"/>
          <w:sz w:val="24"/>
          <w:szCs w:val="24"/>
          <w:lang w:val="pt-BR"/>
        </w:rPr>
        <w:t xml:space="preserve"> Esse</w:t>
      </w:r>
      <w:r w:rsidRPr="008648F3">
        <w:rPr>
          <w:bCs/>
          <w:color w:val="0D0D0D"/>
          <w:spacing w:val="-4"/>
          <w:sz w:val="24"/>
          <w:szCs w:val="24"/>
          <w:lang w:val="pt-BR"/>
        </w:rPr>
        <w:t xml:space="preserve"> </w:t>
      </w:r>
      <w:r w:rsidR="00EE52DB" w:rsidRPr="00EE52DB">
        <w:rPr>
          <w:bCs/>
          <w:color w:val="0D0D0D"/>
          <w:spacing w:val="-4"/>
          <w:sz w:val="24"/>
          <w:szCs w:val="24"/>
          <w:lang w:val="pt-BR"/>
        </w:rPr>
        <w:t>conjunto ferramentas e de programas computacionais, o qual integra dados, equipamentos e pessoas com o objetivo de coletar, armazenar, recuperar, manipular, visualizar e analisar dados espacialmente referenciados a um sistema de coordenadas conhecidas (F</w:t>
      </w:r>
      <w:r w:rsidR="00554FFC" w:rsidRPr="00EE52DB">
        <w:rPr>
          <w:bCs/>
          <w:color w:val="0D0D0D"/>
          <w:spacing w:val="-4"/>
          <w:sz w:val="24"/>
          <w:szCs w:val="24"/>
          <w:lang w:val="pt-BR"/>
        </w:rPr>
        <w:t>itz</w:t>
      </w:r>
      <w:r w:rsidR="00EE52DB" w:rsidRPr="00EE52DB">
        <w:rPr>
          <w:bCs/>
          <w:color w:val="0D0D0D"/>
          <w:spacing w:val="-4"/>
          <w:sz w:val="24"/>
          <w:szCs w:val="24"/>
          <w:lang w:val="pt-BR"/>
        </w:rPr>
        <w:t>, 2008</w:t>
      </w:r>
      <w:r w:rsidRPr="008648F3">
        <w:rPr>
          <w:bCs/>
          <w:color w:val="0D0D0D"/>
          <w:spacing w:val="-4"/>
          <w:sz w:val="24"/>
          <w:szCs w:val="24"/>
          <w:lang w:val="pt-BR"/>
        </w:rPr>
        <w:t>).</w:t>
      </w:r>
    </w:p>
    <w:p w14:paraId="0ED8DCE2" w14:textId="34338DF2" w:rsidR="003949CE" w:rsidRDefault="001B5147" w:rsidP="00F354FE">
      <w:pPr>
        <w:tabs>
          <w:tab w:val="left" w:pos="7230"/>
        </w:tabs>
        <w:spacing w:line="360" w:lineRule="auto"/>
        <w:ind w:firstLine="709"/>
        <w:jc w:val="both"/>
        <w:rPr>
          <w:bCs/>
          <w:color w:val="0D0D0D"/>
          <w:spacing w:val="-4"/>
          <w:sz w:val="24"/>
          <w:szCs w:val="24"/>
        </w:rPr>
      </w:pPr>
      <w:r w:rsidRPr="001B5147">
        <w:rPr>
          <w:bCs/>
          <w:color w:val="0D0D0D"/>
          <w:spacing w:val="-4"/>
          <w:sz w:val="24"/>
          <w:szCs w:val="24"/>
        </w:rPr>
        <w:t xml:space="preserve">Sob essa perspectiva, o presente estudo tem como objetivo analisar </w:t>
      </w:r>
      <w:r w:rsidR="00CF03A4">
        <w:rPr>
          <w:bCs/>
          <w:color w:val="0D0D0D"/>
          <w:spacing w:val="-4"/>
          <w:sz w:val="24"/>
          <w:szCs w:val="24"/>
        </w:rPr>
        <w:t xml:space="preserve">as </w:t>
      </w:r>
      <w:r w:rsidRPr="001B5147">
        <w:rPr>
          <w:bCs/>
          <w:color w:val="0D0D0D"/>
          <w:spacing w:val="-4"/>
          <w:sz w:val="24"/>
          <w:szCs w:val="24"/>
        </w:rPr>
        <w:t>ocorrência</w:t>
      </w:r>
      <w:r w:rsidR="00CF03A4">
        <w:rPr>
          <w:bCs/>
          <w:color w:val="0D0D0D"/>
          <w:spacing w:val="-4"/>
          <w:sz w:val="24"/>
          <w:szCs w:val="24"/>
        </w:rPr>
        <w:t>s</w:t>
      </w:r>
      <w:r w:rsidRPr="001B5147">
        <w:rPr>
          <w:bCs/>
          <w:color w:val="0D0D0D"/>
          <w:spacing w:val="-4"/>
          <w:sz w:val="24"/>
          <w:szCs w:val="24"/>
        </w:rPr>
        <w:t xml:space="preserve"> de focos de calor no </w:t>
      </w:r>
      <w:r w:rsidR="00CF03A4">
        <w:rPr>
          <w:bCs/>
          <w:color w:val="0D0D0D"/>
          <w:spacing w:val="-4"/>
          <w:sz w:val="24"/>
          <w:szCs w:val="24"/>
        </w:rPr>
        <w:t>Nord</w:t>
      </w:r>
      <w:r w:rsidRPr="001B5147">
        <w:rPr>
          <w:bCs/>
          <w:color w:val="0D0D0D"/>
          <w:spacing w:val="-4"/>
          <w:sz w:val="24"/>
          <w:szCs w:val="24"/>
        </w:rPr>
        <w:t>este Paraense entre os anos de 20</w:t>
      </w:r>
      <w:r w:rsidR="00CF03A4">
        <w:rPr>
          <w:bCs/>
          <w:color w:val="0D0D0D"/>
          <w:spacing w:val="-4"/>
          <w:sz w:val="24"/>
          <w:szCs w:val="24"/>
        </w:rPr>
        <w:t>14</w:t>
      </w:r>
      <w:r w:rsidRPr="001B5147">
        <w:rPr>
          <w:bCs/>
          <w:color w:val="0D0D0D"/>
          <w:spacing w:val="-4"/>
          <w:sz w:val="24"/>
          <w:szCs w:val="24"/>
        </w:rPr>
        <w:t xml:space="preserve"> e 2024, buscando oferecer subsídios para a gestão ambiental e para o desenvolvimento de estratégias de mitigação</w:t>
      </w:r>
      <w:r w:rsidR="00450AF8">
        <w:rPr>
          <w:bCs/>
          <w:color w:val="0D0D0D"/>
          <w:spacing w:val="-4"/>
          <w:sz w:val="24"/>
          <w:szCs w:val="24"/>
        </w:rPr>
        <w:t xml:space="preserve"> e enfrentamento as queimadas.</w:t>
      </w:r>
    </w:p>
    <w:p w14:paraId="00F1092F" w14:textId="77777777" w:rsidR="00F354FE" w:rsidRPr="00F354FE" w:rsidRDefault="00F354FE" w:rsidP="00F354FE">
      <w:pPr>
        <w:tabs>
          <w:tab w:val="left" w:pos="7230"/>
        </w:tabs>
        <w:spacing w:line="360" w:lineRule="auto"/>
        <w:ind w:firstLine="709"/>
        <w:jc w:val="both"/>
        <w:rPr>
          <w:bCs/>
          <w:color w:val="0D0D0D"/>
          <w:spacing w:val="-4"/>
          <w:sz w:val="24"/>
          <w:szCs w:val="24"/>
          <w:lang w:val="pt-BR"/>
        </w:rPr>
      </w:pPr>
    </w:p>
    <w:p w14:paraId="405C2FD1" w14:textId="64B99757" w:rsidR="001D3423" w:rsidRDefault="003949CE" w:rsidP="00C9548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>2. MATERIAL E MÉTODOS</w:t>
      </w:r>
    </w:p>
    <w:p w14:paraId="2E55779D" w14:textId="10BBC787" w:rsidR="00C95483" w:rsidRDefault="00554FFC" w:rsidP="00C9548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95483">
        <w:rPr>
          <w:sz w:val="24"/>
          <w:szCs w:val="24"/>
        </w:rPr>
        <w:t xml:space="preserve">.1 </w:t>
      </w:r>
      <w:r w:rsidR="001D3423">
        <w:rPr>
          <w:sz w:val="24"/>
          <w:szCs w:val="24"/>
        </w:rPr>
        <w:t>Área de Estudo</w:t>
      </w:r>
    </w:p>
    <w:p w14:paraId="6BD8A3A4" w14:textId="1FC7AFEA" w:rsidR="00893951" w:rsidRDefault="00576948" w:rsidP="0089395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576948">
        <w:rPr>
          <w:sz w:val="24"/>
          <w:szCs w:val="24"/>
        </w:rPr>
        <w:t xml:space="preserve">Nordeste Paraense </w:t>
      </w:r>
      <w:r>
        <w:rPr>
          <w:sz w:val="24"/>
          <w:szCs w:val="24"/>
        </w:rPr>
        <w:t xml:space="preserve">(Figura 1) </w:t>
      </w:r>
      <w:r w:rsidRPr="00576948">
        <w:rPr>
          <w:sz w:val="24"/>
          <w:szCs w:val="24"/>
        </w:rPr>
        <w:t xml:space="preserve">situa-se na porção oriental da Amazônia brasileira, integrando uma malha urbana e rural marcada pela presença de centros urbanos como Belém e polos produtivos costeiros; essa posição geográfica condiciona tanto a conectividade fluvial quanto os corredores de transporte terrestre que ligam a região ao interior do Pará. Segundo Silva </w:t>
      </w:r>
      <w:r w:rsidR="00777828">
        <w:rPr>
          <w:sz w:val="24"/>
          <w:szCs w:val="24"/>
        </w:rPr>
        <w:t xml:space="preserve">e </w:t>
      </w:r>
      <w:r w:rsidR="00E052C2">
        <w:rPr>
          <w:sz w:val="24"/>
          <w:szCs w:val="24"/>
        </w:rPr>
        <w:t xml:space="preserve">Couto Firme </w:t>
      </w:r>
      <w:r w:rsidRPr="00576948">
        <w:rPr>
          <w:sz w:val="24"/>
          <w:szCs w:val="24"/>
        </w:rPr>
        <w:t>(202</w:t>
      </w:r>
      <w:r w:rsidR="00524DC3">
        <w:rPr>
          <w:sz w:val="24"/>
          <w:szCs w:val="24"/>
        </w:rPr>
        <w:t>4</w:t>
      </w:r>
      <w:r w:rsidRPr="00576948">
        <w:rPr>
          <w:sz w:val="24"/>
          <w:szCs w:val="24"/>
        </w:rPr>
        <w:t xml:space="preserve">), a microrregião apresenta variações altimétricas reduzidas, solos predominantemente hidromórficos em áreas de várzea e regimes pluviométricos com alta </w:t>
      </w:r>
      <w:r w:rsidRPr="00576948">
        <w:rPr>
          <w:sz w:val="24"/>
          <w:szCs w:val="24"/>
        </w:rPr>
        <w:lastRenderedPageBreak/>
        <w:t>precipitação anual, fatores que influenciam padrões de uso do solo e suscetibilidade a inundações. Estudos de sensoriamento remoto também mostram mudanças recentes na cobertura vegetal e na expansão de usos agrícolas intensivos, evidenciando pressões sobre remanescentes florestais e áreas de várzea</w:t>
      </w:r>
      <w:r w:rsidR="0006548D">
        <w:rPr>
          <w:sz w:val="24"/>
          <w:szCs w:val="24"/>
        </w:rPr>
        <w:t xml:space="preserve"> (R</w:t>
      </w:r>
      <w:r w:rsidR="00554FFC">
        <w:rPr>
          <w:sz w:val="24"/>
          <w:szCs w:val="24"/>
        </w:rPr>
        <w:t>ibeiro</w:t>
      </w:r>
      <w:r w:rsidR="00AC74FE">
        <w:rPr>
          <w:sz w:val="24"/>
          <w:szCs w:val="24"/>
        </w:rPr>
        <w:t xml:space="preserve"> </w:t>
      </w:r>
      <w:r w:rsidR="00AC74FE" w:rsidRPr="00AC74FE">
        <w:rPr>
          <w:i/>
          <w:iCs/>
          <w:sz w:val="24"/>
          <w:szCs w:val="24"/>
        </w:rPr>
        <w:t>et al</w:t>
      </w:r>
      <w:r w:rsidR="00AC74FE">
        <w:rPr>
          <w:sz w:val="24"/>
          <w:szCs w:val="24"/>
        </w:rPr>
        <w:t>.</w:t>
      </w:r>
      <w:r w:rsidR="0006548D">
        <w:rPr>
          <w:sz w:val="24"/>
          <w:szCs w:val="24"/>
        </w:rPr>
        <w:t>, 2024).</w:t>
      </w:r>
    </w:p>
    <w:p w14:paraId="23973CC1" w14:textId="60A84111" w:rsidR="00FD1F86" w:rsidRDefault="00FD1F86" w:rsidP="00FD1F86">
      <w:pPr>
        <w:pBdr>
          <w:bottom w:val="none" w:sz="0" w:space="6" w:color="000000"/>
        </w:pBdr>
        <w:shd w:val="clear" w:color="auto" w:fill="FFFFFF"/>
        <w:tabs>
          <w:tab w:val="left" w:pos="2500"/>
        </w:tabs>
        <w:jc w:val="center"/>
        <w:rPr>
          <w:color w:val="FF0000"/>
        </w:rPr>
      </w:pPr>
      <w:r>
        <w:t xml:space="preserve">Figura 1 – </w:t>
      </w:r>
      <w:r w:rsidR="008539C2">
        <w:t>Mapa de localização geografica do Nordeste Paraense</w:t>
      </w:r>
    </w:p>
    <w:p w14:paraId="7C028DFA" w14:textId="41D98396" w:rsidR="00FD1F86" w:rsidRDefault="00442E70" w:rsidP="00FD1F8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highlight w:val="white"/>
        </w:rPr>
      </w:pPr>
      <w:r>
        <w:rPr>
          <w:noProof/>
        </w:rPr>
        <w:drawing>
          <wp:inline distT="0" distB="0" distL="0" distR="0" wp14:anchorId="6014C98B" wp14:editId="141209F6">
            <wp:extent cx="5762625" cy="4276725"/>
            <wp:effectExtent l="0" t="0" r="9525" b="9525"/>
            <wp:docPr id="979247128" name="Imagem 2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47128" name="Imagem 2" descr="Map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DB62C" w14:textId="1F107AA1" w:rsidR="00FD1F86" w:rsidRDefault="00FD1F86" w:rsidP="00FD1F86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color w:val="FF0000"/>
        </w:rPr>
      </w:pPr>
      <w:r>
        <w:rPr>
          <w:highlight w:val="white"/>
        </w:rPr>
        <w:t xml:space="preserve">Fonte: Autor, </w:t>
      </w:r>
      <w:r>
        <w:t>2025.</w:t>
      </w:r>
    </w:p>
    <w:p w14:paraId="3CE4BA0F" w14:textId="77777777" w:rsidR="00FD1F86" w:rsidRDefault="00FD1F86" w:rsidP="00FD1F8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</w:p>
    <w:p w14:paraId="7656D568" w14:textId="22CC2880" w:rsidR="00FD1F86" w:rsidRPr="00893951" w:rsidRDefault="00442E70" w:rsidP="0029236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De acordo com </w:t>
      </w:r>
      <w:r w:rsidR="00FD1F86" w:rsidRPr="00FD1F86">
        <w:rPr>
          <w:sz w:val="24"/>
          <w:szCs w:val="24"/>
          <w:lang w:val="pt-BR"/>
        </w:rPr>
        <w:t xml:space="preserve">Guimarães </w:t>
      </w:r>
      <w:r w:rsidR="00364D44" w:rsidRPr="00364D44">
        <w:rPr>
          <w:i/>
          <w:iCs/>
          <w:sz w:val="24"/>
          <w:szCs w:val="24"/>
          <w:lang w:val="pt-BR"/>
        </w:rPr>
        <w:t>et al.</w:t>
      </w:r>
      <w:r w:rsidR="00364D44">
        <w:rPr>
          <w:sz w:val="24"/>
          <w:szCs w:val="24"/>
          <w:lang w:val="pt-BR"/>
        </w:rPr>
        <w:t xml:space="preserve"> </w:t>
      </w:r>
      <w:r w:rsidR="00FD1F86" w:rsidRPr="00FD1F86">
        <w:rPr>
          <w:sz w:val="24"/>
          <w:szCs w:val="24"/>
          <w:lang w:val="pt-BR"/>
        </w:rPr>
        <w:t>(2025) a dinâmica produtiva do Nordeste Paraense</w:t>
      </w:r>
      <w:r w:rsidR="005148CF">
        <w:rPr>
          <w:sz w:val="24"/>
          <w:szCs w:val="24"/>
          <w:lang w:val="pt-BR"/>
        </w:rPr>
        <w:t xml:space="preserve"> se configura</w:t>
      </w:r>
      <w:r w:rsidR="00FD1F86" w:rsidRPr="00FD1F86">
        <w:rPr>
          <w:sz w:val="24"/>
          <w:szCs w:val="24"/>
          <w:lang w:val="pt-BR"/>
        </w:rPr>
        <w:t xml:space="preserve"> a partir da expansão da </w:t>
      </w:r>
      <w:proofErr w:type="spellStart"/>
      <w:r w:rsidR="00FD1F86" w:rsidRPr="00FD1F86">
        <w:rPr>
          <w:sz w:val="24"/>
          <w:szCs w:val="24"/>
          <w:lang w:val="pt-BR"/>
        </w:rPr>
        <w:t>dendeicultura</w:t>
      </w:r>
      <w:proofErr w:type="spellEnd"/>
      <w:r w:rsidR="00FD1F86" w:rsidRPr="00FD1F86">
        <w:rPr>
          <w:sz w:val="24"/>
          <w:szCs w:val="24"/>
          <w:lang w:val="pt-BR"/>
        </w:rPr>
        <w:t xml:space="preserve"> e de cadeias agroindustriais que alteraram relações fundiárias e modos de vida rurais, </w:t>
      </w:r>
      <w:r w:rsidR="005148CF">
        <w:rPr>
          <w:sz w:val="24"/>
          <w:szCs w:val="24"/>
          <w:lang w:val="pt-BR"/>
        </w:rPr>
        <w:t xml:space="preserve">assim, </w:t>
      </w:r>
      <w:r w:rsidR="00FD1F86" w:rsidRPr="00FD1F86">
        <w:rPr>
          <w:sz w:val="24"/>
          <w:szCs w:val="24"/>
          <w:lang w:val="pt-BR"/>
        </w:rPr>
        <w:t>gera</w:t>
      </w:r>
      <w:r w:rsidR="005148CF">
        <w:rPr>
          <w:sz w:val="24"/>
          <w:szCs w:val="24"/>
          <w:lang w:val="pt-BR"/>
        </w:rPr>
        <w:t>m</w:t>
      </w:r>
      <w:r w:rsidR="00FD1F86" w:rsidRPr="00FD1F86">
        <w:rPr>
          <w:sz w:val="24"/>
          <w:szCs w:val="24"/>
          <w:lang w:val="pt-BR"/>
        </w:rPr>
        <w:t xml:space="preserve"> conflitos por terras e transformações no emprego rural. Segundo Mota (2024), comunidades quilombolas e populações tradicionais mantêm práticas alimentares e de manejo que conservam saberes locais, mas enfrentam </w:t>
      </w:r>
      <w:r w:rsidR="00FD1F86" w:rsidRPr="00FD1F86">
        <w:rPr>
          <w:sz w:val="24"/>
          <w:szCs w:val="24"/>
          <w:lang w:val="pt-BR"/>
        </w:rPr>
        <w:lastRenderedPageBreak/>
        <w:t xml:space="preserve">vulnerabilidades decorrentes do acesso desigual a serviços públicos, infraestrutura e mercados. Indicadores como IDH municipal, acesso a saneamento e cobertura de água variam fortemente entre municípios da região, sinalizando desigualdades internas que demandam políticas públicas focadas em infraestrutura e inclusão social. </w:t>
      </w:r>
    </w:p>
    <w:p w14:paraId="1F3072C1" w14:textId="77777777" w:rsidR="00F354FE" w:rsidRDefault="00F354FE" w:rsidP="00C9548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rPr>
          <w:sz w:val="24"/>
          <w:szCs w:val="24"/>
        </w:rPr>
      </w:pPr>
    </w:p>
    <w:p w14:paraId="3A87AF4E" w14:textId="18F62748" w:rsidR="001D3423" w:rsidRDefault="00554FFC" w:rsidP="00C9548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1D3423">
        <w:rPr>
          <w:sz w:val="24"/>
          <w:szCs w:val="24"/>
        </w:rPr>
        <w:t>.2 Procedimentos Metodológicos</w:t>
      </w:r>
    </w:p>
    <w:p w14:paraId="0C36A2EE" w14:textId="6E022DEE" w:rsidR="00FF5C64" w:rsidRDefault="00FF5C64" w:rsidP="00D55D7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Inicialmente houve uma</w:t>
      </w:r>
      <w:r w:rsidRPr="00FF5C64">
        <w:rPr>
          <w:sz w:val="24"/>
          <w:szCs w:val="24"/>
        </w:rPr>
        <w:t xml:space="preserve"> pesquisa bibliográfica voltada à temática das queimadas no bioma Amazônia, com o objetivo de compreender os principais fatores causadores, consequências ambientais e estratégias de monitoramento e mitigação desse fenômeno. Foram consultadas publicações científicas priorizando </w:t>
      </w:r>
      <w:r>
        <w:rPr>
          <w:sz w:val="24"/>
          <w:szCs w:val="24"/>
        </w:rPr>
        <w:t xml:space="preserve">os mais </w:t>
      </w:r>
      <w:r w:rsidRPr="00FF5C64">
        <w:rPr>
          <w:sz w:val="24"/>
          <w:szCs w:val="24"/>
        </w:rPr>
        <w:t>recentes. Essa etapa permitiu reunir informações sobre a dinâmica das queimadas, sua relação com o desmatamento e as variações climáticas, além de identificar as políticas públicas e tecnologias empregadas no monitoramento de focos de calor. A análise bibliográfica fundamentou a construção teórico</w:t>
      </w:r>
      <w:r w:rsidR="00F053B7">
        <w:rPr>
          <w:sz w:val="24"/>
          <w:szCs w:val="24"/>
        </w:rPr>
        <w:t>-metodológica</w:t>
      </w:r>
      <w:r w:rsidRPr="00FF5C64">
        <w:rPr>
          <w:sz w:val="24"/>
          <w:szCs w:val="24"/>
        </w:rPr>
        <w:t xml:space="preserve"> e subsidiou a compreensão </w:t>
      </w:r>
      <w:r w:rsidR="00F053B7">
        <w:rPr>
          <w:sz w:val="24"/>
          <w:szCs w:val="24"/>
        </w:rPr>
        <w:t>de fatores que impulsionam as</w:t>
      </w:r>
      <w:r w:rsidRPr="00FF5C64">
        <w:rPr>
          <w:sz w:val="24"/>
          <w:szCs w:val="24"/>
        </w:rPr>
        <w:t xml:space="preserve"> queimadas na Amazônia.</w:t>
      </w:r>
    </w:p>
    <w:p w14:paraId="756491DF" w14:textId="3A597D73" w:rsidR="00774D52" w:rsidRPr="00774D52" w:rsidRDefault="00774D52" w:rsidP="00D55D7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>Para</w:t>
      </w:r>
      <w:r w:rsidRPr="00774D52">
        <w:rPr>
          <w:sz w:val="24"/>
          <w:szCs w:val="24"/>
          <w:lang w:val="pt-BR"/>
        </w:rPr>
        <w:t xml:space="preserve"> o desenvolvimento do trabalho foram utilizados os dados dos anos 20</w:t>
      </w:r>
      <w:r w:rsidR="00D55D72">
        <w:rPr>
          <w:sz w:val="24"/>
          <w:szCs w:val="24"/>
          <w:lang w:val="pt-BR"/>
        </w:rPr>
        <w:t>14</w:t>
      </w:r>
      <w:r w:rsidRPr="00774D52">
        <w:rPr>
          <w:sz w:val="24"/>
          <w:szCs w:val="24"/>
          <w:lang w:val="pt-BR"/>
        </w:rPr>
        <w:t xml:space="preserve"> </w:t>
      </w:r>
      <w:r w:rsidR="002435B3">
        <w:rPr>
          <w:sz w:val="24"/>
          <w:szCs w:val="24"/>
          <w:lang w:val="pt-BR"/>
        </w:rPr>
        <w:t>a</w:t>
      </w:r>
      <w:r w:rsidRPr="00774D52">
        <w:rPr>
          <w:sz w:val="24"/>
          <w:szCs w:val="24"/>
          <w:lang w:val="pt-BR"/>
        </w:rPr>
        <w:t xml:space="preserve"> 2024 do satélite AQUA, sensor MODIS, resolução espacial e 1 km, disponibilizado gratuitamente em formato shapefile pelo Projeto Queimadas do INPE. Os dados foram submetidos ao estimador de densidade Kernel</w:t>
      </w:r>
      <w:r w:rsidR="002E6327">
        <w:rPr>
          <w:sz w:val="24"/>
          <w:szCs w:val="24"/>
          <w:lang w:val="pt-BR"/>
        </w:rPr>
        <w:t xml:space="preserve"> com intervalos de 2 anos para melhor visualização</w:t>
      </w:r>
      <w:r w:rsidR="00554FFC">
        <w:rPr>
          <w:sz w:val="24"/>
          <w:szCs w:val="24"/>
          <w:lang w:val="pt-BR"/>
        </w:rPr>
        <w:t xml:space="preserve"> da concentração e distribuição espacial dos focos de calor na área em estudo</w:t>
      </w:r>
      <w:r w:rsidRPr="00774D52">
        <w:rPr>
          <w:sz w:val="24"/>
          <w:szCs w:val="24"/>
          <w:lang w:val="pt-BR"/>
        </w:rPr>
        <w:t>. Essa é uma técnica de estimador probabilístico de intensidade do processo pontual não-paramétrico que realiza uma contagem de todos os pontos dentro de uma região de influência (</w:t>
      </w:r>
      <w:proofErr w:type="spellStart"/>
      <w:r w:rsidRPr="00774D52">
        <w:rPr>
          <w:sz w:val="24"/>
          <w:szCs w:val="24"/>
          <w:lang w:val="pt-BR"/>
        </w:rPr>
        <w:t>R</w:t>
      </w:r>
      <w:r w:rsidR="00554FFC" w:rsidRPr="00774D52">
        <w:rPr>
          <w:sz w:val="24"/>
          <w:szCs w:val="24"/>
          <w:lang w:val="pt-BR"/>
        </w:rPr>
        <w:t>izzatti</w:t>
      </w:r>
      <w:proofErr w:type="spellEnd"/>
      <w:r w:rsidRPr="00774D52">
        <w:rPr>
          <w:sz w:val="24"/>
          <w:szCs w:val="24"/>
          <w:lang w:val="pt-BR"/>
        </w:rPr>
        <w:t xml:space="preserve"> </w:t>
      </w:r>
      <w:r w:rsidRPr="00774D52">
        <w:rPr>
          <w:i/>
          <w:iCs/>
          <w:sz w:val="24"/>
          <w:szCs w:val="24"/>
          <w:lang w:val="pt-BR"/>
        </w:rPr>
        <w:t>et al</w:t>
      </w:r>
      <w:r w:rsidRPr="00774D52">
        <w:rPr>
          <w:sz w:val="24"/>
          <w:szCs w:val="24"/>
          <w:lang w:val="pt-BR"/>
        </w:rPr>
        <w:t>., 2020).</w:t>
      </w:r>
    </w:p>
    <w:p w14:paraId="4D976DAB" w14:textId="4FB10049" w:rsidR="003949CE" w:rsidRPr="005260A5" w:rsidRDefault="00774D52" w:rsidP="005260A5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  <w:r w:rsidRPr="00774D52">
        <w:rPr>
          <w:sz w:val="24"/>
          <w:szCs w:val="24"/>
          <w:lang w:val="pt-BR"/>
        </w:rPr>
        <w:t>A base cartográfica utilizada está disponibilizada em formato digital, shapefile, pelo Instituto Brasileiro de Geografia e Estatística (IBGE) e Ministério do Meio Ambiente (MMA). Os processamentos dos dados, a confecção dos produtos cartográficos e as análises espaciais foram realizados em ambiente de S</w:t>
      </w:r>
      <w:r w:rsidR="00233FE9">
        <w:rPr>
          <w:sz w:val="24"/>
          <w:szCs w:val="24"/>
          <w:lang w:val="pt-BR"/>
        </w:rPr>
        <w:t>istema de Informação Geográfica (SIG)</w:t>
      </w:r>
      <w:r w:rsidRPr="00774D52">
        <w:rPr>
          <w:sz w:val="24"/>
          <w:szCs w:val="24"/>
          <w:lang w:val="pt-BR"/>
        </w:rPr>
        <w:t>.</w:t>
      </w:r>
    </w:p>
    <w:p w14:paraId="37122977" w14:textId="072222A4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3. RESULTADOS E DISCUSSÃO</w:t>
      </w:r>
    </w:p>
    <w:p w14:paraId="4ECD85E8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0"/>
        <w:rPr>
          <w:sz w:val="24"/>
          <w:szCs w:val="24"/>
        </w:rPr>
      </w:pPr>
    </w:p>
    <w:p w14:paraId="520F99E8" w14:textId="755D3A9D" w:rsidR="002C6E98" w:rsidRPr="004A0ACC" w:rsidRDefault="00A910D9" w:rsidP="004A0AC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247601">
        <w:rPr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 w:rsidRPr="00247601">
        <w:rPr>
          <w:sz w:val="24"/>
          <w:szCs w:val="24"/>
          <w:lang w:val="pt-BR"/>
        </w:rPr>
        <w:t xml:space="preserve"> análise</w:t>
      </w:r>
      <w:r>
        <w:rPr>
          <w:sz w:val="24"/>
          <w:szCs w:val="24"/>
          <w:lang w:val="pt-BR"/>
        </w:rPr>
        <w:t>s</w:t>
      </w:r>
      <w:r w:rsidRPr="00247601">
        <w:rPr>
          <w:sz w:val="24"/>
          <w:szCs w:val="24"/>
          <w:lang w:val="pt-BR"/>
        </w:rPr>
        <w:t xml:space="preserve"> da</w:t>
      </w:r>
      <w:r>
        <w:rPr>
          <w:sz w:val="24"/>
          <w:szCs w:val="24"/>
          <w:lang w:val="pt-BR"/>
        </w:rPr>
        <w:t>s</w:t>
      </w:r>
      <w:r w:rsidRPr="00247601">
        <w:rPr>
          <w:sz w:val="24"/>
          <w:szCs w:val="24"/>
          <w:lang w:val="pt-BR"/>
        </w:rPr>
        <w:t xml:space="preserve"> transformaç</w:t>
      </w:r>
      <w:r>
        <w:rPr>
          <w:sz w:val="24"/>
          <w:szCs w:val="24"/>
          <w:lang w:val="pt-BR"/>
        </w:rPr>
        <w:t>ões</w:t>
      </w:r>
      <w:r w:rsidRPr="00247601">
        <w:rPr>
          <w:sz w:val="24"/>
          <w:szCs w:val="24"/>
          <w:lang w:val="pt-BR"/>
        </w:rPr>
        <w:t xml:space="preserve"> da paisagem </w:t>
      </w:r>
      <w:r>
        <w:rPr>
          <w:sz w:val="24"/>
          <w:szCs w:val="24"/>
          <w:lang w:val="pt-BR"/>
        </w:rPr>
        <w:t>no Nord</w:t>
      </w:r>
      <w:r w:rsidRPr="00247601">
        <w:rPr>
          <w:sz w:val="24"/>
          <w:szCs w:val="24"/>
          <w:lang w:val="pt-BR"/>
        </w:rPr>
        <w:t>este Paraense são</w:t>
      </w:r>
      <w:r w:rsidR="00247601" w:rsidRPr="00247601">
        <w:rPr>
          <w:sz w:val="24"/>
          <w:szCs w:val="24"/>
          <w:lang w:val="pt-BR"/>
        </w:rPr>
        <w:t xml:space="preserve"> condicionada</w:t>
      </w:r>
      <w:r>
        <w:rPr>
          <w:sz w:val="24"/>
          <w:szCs w:val="24"/>
          <w:lang w:val="pt-BR"/>
        </w:rPr>
        <w:t>s</w:t>
      </w:r>
      <w:r w:rsidR="00247601" w:rsidRPr="00247601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fortemente pelo</w:t>
      </w:r>
      <w:r w:rsidR="00247601" w:rsidRPr="00247601">
        <w:rPr>
          <w:sz w:val="24"/>
          <w:szCs w:val="24"/>
          <w:lang w:val="pt-BR"/>
        </w:rPr>
        <w:t xml:space="preserve"> desenvolvimento das atividades produtivas. </w:t>
      </w:r>
      <w:r w:rsidR="004A0ACC">
        <w:rPr>
          <w:sz w:val="24"/>
          <w:szCs w:val="24"/>
          <w:lang w:val="pt-BR"/>
        </w:rPr>
        <w:t xml:space="preserve">A </w:t>
      </w:r>
      <w:r w:rsidR="00BA4555" w:rsidRPr="00BA4555">
        <w:rPr>
          <w:sz w:val="24"/>
          <w:szCs w:val="24"/>
        </w:rPr>
        <w:t>maior incidência d</w:t>
      </w:r>
      <w:r w:rsidR="004A0ACC">
        <w:rPr>
          <w:sz w:val="24"/>
          <w:szCs w:val="24"/>
        </w:rPr>
        <w:t>o</w:t>
      </w:r>
      <w:r w:rsidR="00BA4555" w:rsidRPr="00BA4555">
        <w:rPr>
          <w:sz w:val="24"/>
          <w:szCs w:val="24"/>
        </w:rPr>
        <w:t xml:space="preserve">s focos </w:t>
      </w:r>
      <w:r w:rsidR="004A0ACC">
        <w:rPr>
          <w:sz w:val="24"/>
          <w:szCs w:val="24"/>
        </w:rPr>
        <w:t xml:space="preserve">de calor </w:t>
      </w:r>
      <w:r w:rsidR="00BA4555" w:rsidRPr="00BA4555">
        <w:rPr>
          <w:sz w:val="24"/>
          <w:szCs w:val="24"/>
        </w:rPr>
        <w:t xml:space="preserve">se concentra </w:t>
      </w:r>
      <w:r w:rsidR="004A0ACC">
        <w:rPr>
          <w:sz w:val="24"/>
          <w:szCs w:val="24"/>
        </w:rPr>
        <w:t>nas áreas de</w:t>
      </w:r>
      <w:r w:rsidR="00BA4555" w:rsidRPr="00BA4555">
        <w:rPr>
          <w:sz w:val="24"/>
          <w:szCs w:val="24"/>
        </w:rPr>
        <w:t xml:space="preserve"> desmatamento recente, onde a cobertura vegetal é substituída por pastagens e cultivos temporários.</w:t>
      </w:r>
      <w:r w:rsidR="004A0ACC">
        <w:rPr>
          <w:sz w:val="24"/>
          <w:szCs w:val="24"/>
        </w:rPr>
        <w:t xml:space="preserve"> </w:t>
      </w:r>
      <w:r w:rsidR="002C6E98" w:rsidRPr="002E4F71">
        <w:rPr>
          <w:sz w:val="24"/>
          <w:szCs w:val="24"/>
          <w:lang w:val="pt-BR"/>
        </w:rPr>
        <w:t xml:space="preserve">A Figura </w:t>
      </w:r>
      <w:r w:rsidR="002C6E98">
        <w:rPr>
          <w:sz w:val="24"/>
          <w:szCs w:val="24"/>
          <w:lang w:val="pt-BR"/>
        </w:rPr>
        <w:t>2</w:t>
      </w:r>
      <w:r w:rsidR="002C6E98" w:rsidRPr="002E4F71">
        <w:rPr>
          <w:sz w:val="24"/>
          <w:szCs w:val="24"/>
          <w:lang w:val="pt-BR"/>
        </w:rPr>
        <w:t xml:space="preserve"> </w:t>
      </w:r>
      <w:r w:rsidR="002C6E98" w:rsidRPr="00247601">
        <w:rPr>
          <w:sz w:val="24"/>
          <w:szCs w:val="24"/>
          <w:lang w:val="pt-BR"/>
        </w:rPr>
        <w:t xml:space="preserve">traz </w:t>
      </w:r>
      <w:r w:rsidR="002C6E98">
        <w:rPr>
          <w:sz w:val="24"/>
          <w:szCs w:val="24"/>
          <w:lang w:val="pt-BR"/>
        </w:rPr>
        <w:t>o gráfico com</w:t>
      </w:r>
      <w:r w:rsidR="002C6E98" w:rsidRPr="00247601">
        <w:rPr>
          <w:sz w:val="24"/>
          <w:szCs w:val="24"/>
          <w:lang w:val="pt-BR"/>
        </w:rPr>
        <w:t xml:space="preserve"> quantificação </w:t>
      </w:r>
      <w:r w:rsidR="002C6E98">
        <w:rPr>
          <w:sz w:val="24"/>
          <w:szCs w:val="24"/>
          <w:lang w:val="pt-BR"/>
        </w:rPr>
        <w:t>dos focos de calor na área</w:t>
      </w:r>
      <w:r w:rsidR="002C6E98" w:rsidRPr="002E4F71">
        <w:rPr>
          <w:sz w:val="24"/>
          <w:szCs w:val="24"/>
          <w:lang w:val="pt-BR"/>
        </w:rPr>
        <w:t xml:space="preserve"> </w:t>
      </w:r>
      <w:r w:rsidR="002C6E98">
        <w:rPr>
          <w:sz w:val="24"/>
          <w:szCs w:val="24"/>
          <w:lang w:val="pt-BR"/>
        </w:rPr>
        <w:t xml:space="preserve">e a Figura 3 </w:t>
      </w:r>
      <w:r w:rsidR="002C6E98" w:rsidRPr="002E4F71">
        <w:rPr>
          <w:sz w:val="24"/>
          <w:szCs w:val="24"/>
          <w:lang w:val="pt-BR"/>
        </w:rPr>
        <w:t xml:space="preserve">mostra concentração dos focos de calos </w:t>
      </w:r>
      <w:r w:rsidR="002C6E98">
        <w:rPr>
          <w:sz w:val="24"/>
          <w:szCs w:val="24"/>
          <w:lang w:val="pt-BR"/>
        </w:rPr>
        <w:t xml:space="preserve">calor através do estimador de Kernel. Observa-se o registro </w:t>
      </w:r>
      <w:r w:rsidR="0079582C">
        <w:rPr>
          <w:sz w:val="24"/>
          <w:szCs w:val="24"/>
          <w:lang w:val="pt-BR"/>
        </w:rPr>
        <w:t xml:space="preserve">total de </w:t>
      </w:r>
      <w:r w:rsidR="004A0ACC">
        <w:rPr>
          <w:sz w:val="24"/>
          <w:szCs w:val="24"/>
          <w:lang w:val="pt-BR"/>
        </w:rPr>
        <w:t>55.803 focos de calor entre os</w:t>
      </w:r>
      <w:r w:rsidR="002C6E98">
        <w:rPr>
          <w:sz w:val="24"/>
          <w:szCs w:val="24"/>
          <w:lang w:val="pt-BR"/>
        </w:rPr>
        <w:t xml:space="preserve"> anos de 2014 e 2024</w:t>
      </w:r>
      <w:r w:rsidR="002C6E98" w:rsidRPr="002E4F71">
        <w:rPr>
          <w:sz w:val="24"/>
          <w:szCs w:val="24"/>
          <w:lang w:val="pt-BR"/>
        </w:rPr>
        <w:t>.</w:t>
      </w:r>
    </w:p>
    <w:p w14:paraId="08977A22" w14:textId="655DB959" w:rsidR="003D7F47" w:rsidRDefault="003D7F47" w:rsidP="003D7F47">
      <w:pPr>
        <w:pBdr>
          <w:bottom w:val="none" w:sz="0" w:space="6" w:color="000000"/>
        </w:pBdr>
        <w:shd w:val="clear" w:color="auto" w:fill="FFFFFF"/>
        <w:tabs>
          <w:tab w:val="left" w:pos="2500"/>
        </w:tabs>
        <w:jc w:val="center"/>
        <w:rPr>
          <w:color w:val="FF0000"/>
        </w:rPr>
      </w:pPr>
      <w:r>
        <w:t xml:space="preserve">Figura 2 </w:t>
      </w:r>
      <w:r w:rsidR="00C83381">
        <w:t>-</w:t>
      </w:r>
      <w:r>
        <w:t xml:space="preserve"> Gráfico com o quantitativo de focos de calor no Nordeste Paraense entre 2014-2024</w:t>
      </w:r>
    </w:p>
    <w:p w14:paraId="36352E63" w14:textId="2E83E46E" w:rsidR="003D7F47" w:rsidRDefault="00D8180F" w:rsidP="00554FF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center"/>
        <w:rPr>
          <w:highlight w:val="white"/>
        </w:rPr>
      </w:pPr>
      <w:r>
        <w:rPr>
          <w:noProof/>
        </w:rPr>
        <w:drawing>
          <wp:inline distT="0" distB="0" distL="0" distR="0" wp14:anchorId="14DF15DF" wp14:editId="55C64EB4">
            <wp:extent cx="5553075" cy="4648200"/>
            <wp:effectExtent l="0" t="0" r="9525" b="0"/>
            <wp:docPr id="162074917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141631C" w14:textId="71E6BBCB" w:rsidR="003D7F47" w:rsidRDefault="003D7F47" w:rsidP="003D7F47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color w:val="FF0000"/>
        </w:rPr>
      </w:pPr>
      <w:r>
        <w:rPr>
          <w:highlight w:val="white"/>
        </w:rPr>
        <w:t xml:space="preserve">Fonte: </w:t>
      </w:r>
      <w:r w:rsidR="00A962A8">
        <w:rPr>
          <w:highlight w:val="white"/>
        </w:rPr>
        <w:t xml:space="preserve">Projeto Queimadas/INPE. Elaborado pelo Autor, </w:t>
      </w:r>
      <w:r w:rsidR="00A962A8">
        <w:t>2025.</w:t>
      </w:r>
    </w:p>
    <w:p w14:paraId="7E0BE152" w14:textId="12C06C64" w:rsidR="003D7F47" w:rsidRDefault="003D7F47" w:rsidP="003D7F47">
      <w:pPr>
        <w:pBdr>
          <w:bottom w:val="none" w:sz="0" w:space="6" w:color="000000"/>
        </w:pBdr>
        <w:shd w:val="clear" w:color="auto" w:fill="FFFFFF"/>
        <w:tabs>
          <w:tab w:val="left" w:pos="2500"/>
        </w:tabs>
        <w:jc w:val="center"/>
        <w:rPr>
          <w:color w:val="FF0000"/>
        </w:rPr>
      </w:pPr>
      <w:r>
        <w:lastRenderedPageBreak/>
        <w:t>Figura</w:t>
      </w:r>
      <w:r w:rsidR="001D7756">
        <w:t xml:space="preserve"> </w:t>
      </w:r>
      <w:r w:rsidR="00E61BB5">
        <w:t>3</w:t>
      </w:r>
      <w:r>
        <w:t xml:space="preserve"> </w:t>
      </w:r>
      <w:r w:rsidR="004A3704">
        <w:t xml:space="preserve">- </w:t>
      </w:r>
      <w:r w:rsidR="001D7756">
        <w:t>Concentração dos focos de calor no Nordeste Paraense entre 2014-2024</w:t>
      </w:r>
    </w:p>
    <w:p w14:paraId="28D00498" w14:textId="1DC4CB4B" w:rsidR="003D7F47" w:rsidRDefault="002C6E98" w:rsidP="003D7F47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highlight w:val="white"/>
        </w:rPr>
      </w:pPr>
      <w:r>
        <w:rPr>
          <w:noProof/>
        </w:rPr>
        <w:drawing>
          <wp:inline distT="0" distB="0" distL="0" distR="0" wp14:anchorId="76FB0C2C" wp14:editId="2E55EEA0">
            <wp:extent cx="5300701" cy="7497499"/>
            <wp:effectExtent l="0" t="0" r="5080" b="8890"/>
            <wp:docPr id="1994175161" name="Imagem 4" descr="Uma imagem contendo 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75161" name="Imagem 4" descr="Uma imagem contendo 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701" cy="74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D1428" w14:textId="2F48C71C" w:rsidR="003D7F47" w:rsidRDefault="003D7F47" w:rsidP="003D7F47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color w:val="FF0000"/>
        </w:rPr>
      </w:pPr>
      <w:r>
        <w:rPr>
          <w:highlight w:val="white"/>
        </w:rPr>
        <w:t xml:space="preserve">Fonte: </w:t>
      </w:r>
      <w:r w:rsidR="001D7756">
        <w:rPr>
          <w:highlight w:val="white"/>
        </w:rPr>
        <w:t xml:space="preserve">Projeto Queimadas/INPE. Elaborado pelo </w:t>
      </w:r>
      <w:r>
        <w:rPr>
          <w:highlight w:val="white"/>
        </w:rPr>
        <w:t xml:space="preserve">Autor, </w:t>
      </w:r>
      <w:r>
        <w:t>2025.</w:t>
      </w:r>
    </w:p>
    <w:p w14:paraId="643E8836" w14:textId="77777777" w:rsidR="00406E15" w:rsidRDefault="00E61BB5" w:rsidP="00C7105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Os resultados</w:t>
      </w:r>
      <w:r w:rsidRPr="00E61BB5">
        <w:rPr>
          <w:sz w:val="24"/>
          <w:szCs w:val="24"/>
          <w:lang w:val="pt-BR"/>
        </w:rPr>
        <w:t xml:space="preserve"> </w:t>
      </w:r>
      <w:r w:rsidR="00D2598D">
        <w:rPr>
          <w:sz w:val="24"/>
          <w:szCs w:val="24"/>
          <w:lang w:val="pt-BR"/>
        </w:rPr>
        <w:t xml:space="preserve">mostram </w:t>
      </w:r>
      <w:r w:rsidR="001E47D7">
        <w:rPr>
          <w:sz w:val="24"/>
          <w:szCs w:val="24"/>
          <w:lang w:val="pt-BR"/>
        </w:rPr>
        <w:t xml:space="preserve">que entre os anos de 2014 e 2024 houve um aumento de 19% nos focos de calor registrados pelo satélite AQUA. </w:t>
      </w:r>
      <w:r w:rsidR="005F48AE">
        <w:rPr>
          <w:sz w:val="24"/>
          <w:szCs w:val="24"/>
          <w:lang w:val="pt-BR"/>
        </w:rPr>
        <w:t>Em análise da Figura 2, destaca-se que os menores quantitativos de registros ocorreram entre 2018 e 2021, sendo o ano de 2023 com maior valor</w:t>
      </w:r>
      <w:r w:rsidR="000D336C">
        <w:rPr>
          <w:sz w:val="24"/>
          <w:szCs w:val="24"/>
          <w:lang w:val="pt-BR"/>
        </w:rPr>
        <w:t>. Com base na Figura 3, nota-se</w:t>
      </w:r>
      <w:r w:rsidR="005F48AE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uma maior</w:t>
      </w:r>
      <w:r w:rsidRPr="00E61BB5">
        <w:rPr>
          <w:sz w:val="24"/>
          <w:szCs w:val="24"/>
          <w:lang w:val="pt-BR"/>
        </w:rPr>
        <w:t xml:space="preserve"> concentração dos focos de calos no eixo </w:t>
      </w:r>
      <w:r>
        <w:rPr>
          <w:sz w:val="24"/>
          <w:szCs w:val="24"/>
          <w:lang w:val="pt-BR"/>
        </w:rPr>
        <w:t xml:space="preserve">das rodovias estaduais (PA-140 e PA-150) e federais (BR-010 e BR-316), </w:t>
      </w:r>
      <w:r w:rsidRPr="00E61BB5">
        <w:rPr>
          <w:sz w:val="24"/>
          <w:szCs w:val="24"/>
          <w:lang w:val="pt-BR"/>
        </w:rPr>
        <w:t>evidenciando o forte poder de interferências das estradas no processo de degradação ambiental.</w:t>
      </w:r>
    </w:p>
    <w:p w14:paraId="087E438F" w14:textId="267941F5" w:rsidR="003949CE" w:rsidRDefault="00936F6A" w:rsidP="00C7105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O</w:t>
      </w:r>
      <w:r w:rsidR="00D2598D">
        <w:rPr>
          <w:sz w:val="24"/>
          <w:szCs w:val="24"/>
          <w:lang w:val="pt-BR"/>
        </w:rPr>
        <w:t>s</w:t>
      </w:r>
      <w:r w:rsidR="00E61BB5" w:rsidRPr="00E61BB5">
        <w:rPr>
          <w:sz w:val="24"/>
          <w:szCs w:val="24"/>
          <w:lang w:val="pt-BR"/>
        </w:rPr>
        <w:t xml:space="preserve"> município</w:t>
      </w:r>
      <w:r w:rsidR="00D2598D">
        <w:rPr>
          <w:sz w:val="24"/>
          <w:szCs w:val="24"/>
          <w:lang w:val="pt-BR"/>
        </w:rPr>
        <w:t>s</w:t>
      </w:r>
      <w:r w:rsidR="00E61BB5" w:rsidRPr="00E61BB5">
        <w:rPr>
          <w:sz w:val="24"/>
          <w:szCs w:val="24"/>
          <w:lang w:val="pt-BR"/>
        </w:rPr>
        <w:t xml:space="preserve"> d</w:t>
      </w:r>
      <w:r w:rsidR="00212F2C">
        <w:rPr>
          <w:sz w:val="24"/>
          <w:szCs w:val="24"/>
          <w:lang w:val="pt-BR"/>
        </w:rPr>
        <w:t>o</w:t>
      </w:r>
      <w:r w:rsidR="00D2598D">
        <w:rPr>
          <w:sz w:val="24"/>
          <w:szCs w:val="24"/>
          <w:lang w:val="pt-BR"/>
        </w:rPr>
        <w:t xml:space="preserve"> Acará, Concordia do Pará, Moju</w:t>
      </w:r>
      <w:r w:rsidR="00C71056">
        <w:rPr>
          <w:sz w:val="24"/>
          <w:szCs w:val="24"/>
          <w:lang w:val="pt-BR"/>
        </w:rPr>
        <w:t xml:space="preserve">, </w:t>
      </w:r>
      <w:r w:rsidR="00ED04DF">
        <w:rPr>
          <w:sz w:val="24"/>
          <w:szCs w:val="24"/>
          <w:lang w:val="pt-BR"/>
        </w:rPr>
        <w:t>Tailândia</w:t>
      </w:r>
      <w:r w:rsidR="00E61BB5" w:rsidRPr="00E61BB5">
        <w:rPr>
          <w:sz w:val="24"/>
          <w:szCs w:val="24"/>
          <w:lang w:val="pt-BR"/>
        </w:rPr>
        <w:t xml:space="preserve"> </w:t>
      </w:r>
      <w:r w:rsidR="00C71056">
        <w:rPr>
          <w:sz w:val="24"/>
          <w:szCs w:val="24"/>
          <w:lang w:val="pt-BR"/>
        </w:rPr>
        <w:t xml:space="preserve">e Tomé-Açu </w:t>
      </w:r>
      <w:r w:rsidR="00E61BB5" w:rsidRPr="00E61BB5">
        <w:rPr>
          <w:sz w:val="24"/>
          <w:szCs w:val="24"/>
          <w:lang w:val="pt-BR"/>
        </w:rPr>
        <w:t xml:space="preserve">são os principais contribuintes para </w:t>
      </w:r>
      <w:r w:rsidR="00C71056">
        <w:rPr>
          <w:sz w:val="24"/>
          <w:szCs w:val="24"/>
          <w:lang w:val="pt-BR"/>
        </w:rPr>
        <w:t>centralidade da densidade</w:t>
      </w:r>
      <w:r w:rsidR="00E61BB5" w:rsidRPr="00E61BB5">
        <w:rPr>
          <w:sz w:val="24"/>
          <w:szCs w:val="24"/>
          <w:lang w:val="pt-BR"/>
        </w:rPr>
        <w:t xml:space="preserve"> </w:t>
      </w:r>
      <w:r w:rsidR="00C71056">
        <w:rPr>
          <w:sz w:val="24"/>
          <w:szCs w:val="24"/>
          <w:lang w:val="pt-BR"/>
        </w:rPr>
        <w:t>dos</w:t>
      </w:r>
      <w:r w:rsidR="00E61BB5" w:rsidRPr="00E61BB5">
        <w:rPr>
          <w:sz w:val="24"/>
          <w:szCs w:val="24"/>
          <w:lang w:val="pt-BR"/>
        </w:rPr>
        <w:t xml:space="preserve"> focos de calor </w:t>
      </w:r>
      <w:r w:rsidR="00C71056">
        <w:rPr>
          <w:sz w:val="24"/>
          <w:szCs w:val="24"/>
          <w:lang w:val="pt-BR"/>
        </w:rPr>
        <w:t>no período analisado</w:t>
      </w:r>
      <w:r w:rsidR="00E61BB5" w:rsidRPr="00E61BB5">
        <w:rPr>
          <w:sz w:val="24"/>
          <w:szCs w:val="24"/>
          <w:lang w:val="pt-BR"/>
        </w:rPr>
        <w:t>.</w:t>
      </w:r>
      <w:r w:rsidR="00406E15">
        <w:rPr>
          <w:sz w:val="24"/>
          <w:szCs w:val="24"/>
          <w:lang w:val="pt-BR"/>
        </w:rPr>
        <w:t xml:space="preserve"> Esses</w:t>
      </w:r>
      <w:r w:rsidR="006B0DFF">
        <w:rPr>
          <w:sz w:val="24"/>
          <w:szCs w:val="24"/>
          <w:lang w:val="pt-BR"/>
        </w:rPr>
        <w:t xml:space="preserve"> municípios </w:t>
      </w:r>
      <w:r w:rsidRPr="00936F6A">
        <w:rPr>
          <w:sz w:val="24"/>
          <w:szCs w:val="24"/>
        </w:rPr>
        <w:t>destacam</w:t>
      </w:r>
      <w:r w:rsidRPr="00936F6A">
        <w:rPr>
          <w:sz w:val="24"/>
          <w:szCs w:val="24"/>
        </w:rPr>
        <w:noBreakHyphen/>
        <w:t xml:space="preserve">se como polos centrais da dendeicultura no estado do Pará, </w:t>
      </w:r>
      <w:bookmarkStart w:id="0" w:name="_Hlk212838533"/>
      <w:r w:rsidRPr="00936F6A">
        <w:rPr>
          <w:sz w:val="24"/>
          <w:szCs w:val="24"/>
        </w:rPr>
        <w:t xml:space="preserve">concentrando a maior parte da produção de palma de óleo. Segundo </w:t>
      </w:r>
      <w:r w:rsidR="00E713E0">
        <w:rPr>
          <w:sz w:val="24"/>
          <w:szCs w:val="24"/>
        </w:rPr>
        <w:t>Barros (2022)</w:t>
      </w:r>
      <w:r w:rsidRPr="00936F6A">
        <w:rPr>
          <w:sz w:val="24"/>
          <w:szCs w:val="24"/>
        </w:rPr>
        <w:t>, esses municípios representam mais de 80% da produção paraense da cultura</w:t>
      </w:r>
      <w:r w:rsidR="005454FB">
        <w:rPr>
          <w:sz w:val="24"/>
          <w:szCs w:val="24"/>
        </w:rPr>
        <w:t xml:space="preserve"> de palma.</w:t>
      </w:r>
      <w:bookmarkEnd w:id="0"/>
    </w:p>
    <w:p w14:paraId="460EC083" w14:textId="6A6755E3" w:rsidR="00E21145" w:rsidRDefault="00F41B04" w:rsidP="00C7105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>Essa área do Nordeste Paraense</w:t>
      </w:r>
      <w:r w:rsidR="00E21145" w:rsidRPr="00E21145">
        <w:rPr>
          <w:sz w:val="24"/>
          <w:szCs w:val="24"/>
        </w:rPr>
        <w:t xml:space="preserve"> se consolidou como polo da dendeicultura por meio da expansão contínua de lavouras de palma, tanto por aquisição quanto por arrendamento de terras, realizadas por empresas nacionais e internacionais. Esse processo foi impulsionado por políticas governamentais que ofereciam principalmente incentivos fiscais, facilidades de crédito rural e manutenção da infraestrutura viária. Esses fatores, combinados ao elevado potencial produtivo da área, contribuíram para o fortalecimento e a consolidação da cadeia produtiva do dendê (</w:t>
      </w:r>
      <w:r w:rsidR="00554FFC" w:rsidRPr="00E21145">
        <w:rPr>
          <w:sz w:val="24"/>
          <w:szCs w:val="24"/>
        </w:rPr>
        <w:t>Nahum; Malcher, 2012; Tavares; Mota</w:t>
      </w:r>
      <w:r w:rsidR="00E21145" w:rsidRPr="00E21145">
        <w:rPr>
          <w:sz w:val="24"/>
          <w:szCs w:val="24"/>
        </w:rPr>
        <w:t>, 2020).</w:t>
      </w:r>
    </w:p>
    <w:p w14:paraId="755DC9DF" w14:textId="5A20DB6F" w:rsidR="009E4407" w:rsidRPr="00C71056" w:rsidRDefault="005545C1" w:rsidP="00DF20D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Segundo </w:t>
      </w:r>
      <w:r w:rsidRPr="005545C1">
        <w:rPr>
          <w:sz w:val="24"/>
          <w:szCs w:val="24"/>
          <w:lang w:val="pt-BR"/>
        </w:rPr>
        <w:t xml:space="preserve">Cordeiro </w:t>
      </w:r>
      <w:r w:rsidRPr="005545C1">
        <w:rPr>
          <w:i/>
          <w:iCs/>
          <w:sz w:val="24"/>
          <w:szCs w:val="24"/>
          <w:lang w:val="pt-BR"/>
        </w:rPr>
        <w:t>et al</w:t>
      </w:r>
      <w:r w:rsidRPr="005545C1">
        <w:rPr>
          <w:sz w:val="24"/>
          <w:szCs w:val="24"/>
          <w:lang w:val="pt-BR"/>
        </w:rPr>
        <w:t xml:space="preserve">. (2017), </w:t>
      </w:r>
      <w:r>
        <w:rPr>
          <w:sz w:val="24"/>
          <w:szCs w:val="24"/>
          <w:lang w:val="pt-BR"/>
        </w:rPr>
        <w:t>o Nordeste Paraense tem um</w:t>
      </w:r>
      <w:r w:rsidRPr="005545C1">
        <w:rPr>
          <w:sz w:val="24"/>
          <w:szCs w:val="24"/>
          <w:lang w:val="pt-BR"/>
        </w:rPr>
        <w:t xml:space="preserve">a crescente ocupação </w:t>
      </w:r>
      <w:r w:rsidR="007B42E7">
        <w:rPr>
          <w:sz w:val="24"/>
          <w:szCs w:val="24"/>
          <w:lang w:val="pt-BR"/>
        </w:rPr>
        <w:t>impulsionado por diferentes fatores sociais e produtivos, isso result</w:t>
      </w:r>
      <w:r w:rsidR="008F4D44">
        <w:rPr>
          <w:sz w:val="24"/>
          <w:szCs w:val="24"/>
          <w:lang w:val="pt-BR"/>
        </w:rPr>
        <w:t>ou</w:t>
      </w:r>
      <w:r w:rsidR="007B42E7">
        <w:rPr>
          <w:sz w:val="24"/>
          <w:szCs w:val="24"/>
          <w:lang w:val="pt-BR"/>
        </w:rPr>
        <w:t xml:space="preserve"> em </w:t>
      </w:r>
      <w:r w:rsidRPr="005545C1">
        <w:rPr>
          <w:sz w:val="24"/>
          <w:szCs w:val="24"/>
          <w:lang w:val="pt-BR"/>
        </w:rPr>
        <w:t xml:space="preserve">um intenso processo de desmatamento, </w:t>
      </w:r>
      <w:r w:rsidR="008F4D44">
        <w:rPr>
          <w:sz w:val="24"/>
          <w:szCs w:val="24"/>
          <w:lang w:val="pt-BR"/>
        </w:rPr>
        <w:t>tornando-se uma das áreas do Estado do Pará com fortes</w:t>
      </w:r>
      <w:r w:rsidRPr="005545C1">
        <w:rPr>
          <w:sz w:val="24"/>
          <w:szCs w:val="24"/>
          <w:lang w:val="pt-BR"/>
        </w:rPr>
        <w:t xml:space="preserve"> transformações da paisagem.</w:t>
      </w:r>
      <w:r w:rsidR="00BC6A31">
        <w:rPr>
          <w:sz w:val="24"/>
          <w:szCs w:val="24"/>
          <w:lang w:val="pt-BR"/>
        </w:rPr>
        <w:t xml:space="preserve"> Corroborando com Cordeiro </w:t>
      </w:r>
      <w:r w:rsidR="00BC6A31" w:rsidRPr="00677BB7">
        <w:rPr>
          <w:i/>
          <w:iCs/>
          <w:sz w:val="24"/>
          <w:szCs w:val="24"/>
          <w:lang w:val="pt-BR"/>
        </w:rPr>
        <w:t>et al</w:t>
      </w:r>
      <w:r w:rsidR="00677BB7" w:rsidRPr="00677BB7">
        <w:rPr>
          <w:i/>
          <w:iCs/>
          <w:sz w:val="24"/>
          <w:szCs w:val="24"/>
          <w:lang w:val="pt-BR"/>
        </w:rPr>
        <w:t>.</w:t>
      </w:r>
      <w:r w:rsidR="00677BB7">
        <w:rPr>
          <w:sz w:val="24"/>
          <w:szCs w:val="24"/>
          <w:lang w:val="pt-BR"/>
        </w:rPr>
        <w:t xml:space="preserve"> </w:t>
      </w:r>
      <w:r w:rsidR="00BC6A31">
        <w:rPr>
          <w:sz w:val="24"/>
          <w:szCs w:val="24"/>
          <w:lang w:val="pt-BR"/>
        </w:rPr>
        <w:t xml:space="preserve">(2017), </w:t>
      </w:r>
      <w:r w:rsidR="002A2223">
        <w:rPr>
          <w:sz w:val="24"/>
          <w:szCs w:val="24"/>
          <w:lang w:val="pt-BR"/>
        </w:rPr>
        <w:t>os dados atuais de concentração dos focos de calor nas proximidades das rodovias associam-se</w:t>
      </w:r>
      <w:r w:rsidR="004A7731">
        <w:rPr>
          <w:sz w:val="24"/>
          <w:szCs w:val="24"/>
          <w:lang w:val="pt-BR"/>
        </w:rPr>
        <w:t xml:space="preserve"> </w:t>
      </w:r>
      <w:r w:rsidR="004A7731" w:rsidRPr="004A7731">
        <w:rPr>
          <w:sz w:val="24"/>
          <w:szCs w:val="24"/>
        </w:rPr>
        <w:t xml:space="preserve">ao processo de </w:t>
      </w:r>
      <w:r w:rsidR="002A2223">
        <w:rPr>
          <w:sz w:val="24"/>
          <w:szCs w:val="24"/>
        </w:rPr>
        <w:t>histrico de ocupa</w:t>
      </w:r>
      <w:r w:rsidR="004A7731" w:rsidRPr="004A7731">
        <w:rPr>
          <w:sz w:val="24"/>
          <w:szCs w:val="24"/>
        </w:rPr>
        <w:t xml:space="preserve">ção </w:t>
      </w:r>
      <w:r w:rsidR="002A2223">
        <w:rPr>
          <w:sz w:val="24"/>
          <w:szCs w:val="24"/>
        </w:rPr>
        <w:t>da regi</w:t>
      </w:r>
      <w:r w:rsidR="006D5F0F">
        <w:rPr>
          <w:sz w:val="24"/>
          <w:szCs w:val="24"/>
        </w:rPr>
        <w:t>ã</w:t>
      </w:r>
      <w:r w:rsidR="002A2223">
        <w:rPr>
          <w:sz w:val="24"/>
          <w:szCs w:val="24"/>
        </w:rPr>
        <w:t xml:space="preserve">o </w:t>
      </w:r>
      <w:r w:rsidR="004A7731" w:rsidRPr="004A7731">
        <w:rPr>
          <w:sz w:val="24"/>
          <w:szCs w:val="24"/>
        </w:rPr>
        <w:t>que se deu na região ao longo dos ano</w:t>
      </w:r>
      <w:r w:rsidR="002A2223">
        <w:rPr>
          <w:sz w:val="24"/>
          <w:szCs w:val="24"/>
        </w:rPr>
        <w:t>s</w:t>
      </w:r>
      <w:r w:rsidR="006D5F0F">
        <w:rPr>
          <w:sz w:val="24"/>
          <w:szCs w:val="24"/>
        </w:rPr>
        <w:t xml:space="preserve"> </w:t>
      </w:r>
      <w:r w:rsidR="006D5F0F">
        <w:rPr>
          <w:sz w:val="24"/>
          <w:szCs w:val="24"/>
          <w:lang w:val="pt-BR"/>
        </w:rPr>
        <w:t xml:space="preserve">e </w:t>
      </w:r>
      <w:r w:rsidR="006D5F0F" w:rsidRPr="006D5F0F">
        <w:rPr>
          <w:sz w:val="24"/>
          <w:szCs w:val="24"/>
          <w:lang w:val="pt-BR"/>
        </w:rPr>
        <w:t xml:space="preserve">pela interligação de diferentes </w:t>
      </w:r>
      <w:r w:rsidR="00DF20D2" w:rsidRPr="006D5F0F">
        <w:rPr>
          <w:sz w:val="24"/>
          <w:szCs w:val="24"/>
          <w:lang w:val="pt-BR"/>
        </w:rPr>
        <w:t>polos urbanos</w:t>
      </w:r>
      <w:r w:rsidR="006D5F0F" w:rsidRPr="006D5F0F">
        <w:rPr>
          <w:sz w:val="24"/>
          <w:szCs w:val="24"/>
          <w:lang w:val="pt-BR"/>
        </w:rPr>
        <w:t xml:space="preserve">, </w:t>
      </w:r>
      <w:r w:rsidR="00DF20D2" w:rsidRPr="006D5F0F">
        <w:rPr>
          <w:sz w:val="24"/>
          <w:szCs w:val="24"/>
          <w:lang w:val="pt-BR"/>
        </w:rPr>
        <w:t>sejam eles</w:t>
      </w:r>
      <w:r w:rsidR="006D5F0F" w:rsidRPr="006D5F0F">
        <w:rPr>
          <w:sz w:val="24"/>
          <w:szCs w:val="24"/>
          <w:lang w:val="pt-BR"/>
        </w:rPr>
        <w:t xml:space="preserve"> </w:t>
      </w:r>
      <w:r w:rsidR="00DF20D2" w:rsidRPr="006D5F0F">
        <w:rPr>
          <w:sz w:val="24"/>
          <w:szCs w:val="24"/>
          <w:lang w:val="pt-BR"/>
        </w:rPr>
        <w:t>de grande</w:t>
      </w:r>
      <w:r w:rsidR="006D5F0F" w:rsidRPr="006D5F0F">
        <w:rPr>
          <w:sz w:val="24"/>
          <w:szCs w:val="24"/>
          <w:lang w:val="pt-BR"/>
        </w:rPr>
        <w:t xml:space="preserve">, </w:t>
      </w:r>
      <w:r w:rsidR="00DF20D2" w:rsidRPr="006D5F0F">
        <w:rPr>
          <w:sz w:val="24"/>
          <w:szCs w:val="24"/>
          <w:lang w:val="pt-BR"/>
        </w:rPr>
        <w:t>médio ou</w:t>
      </w:r>
      <w:r w:rsidR="006D5F0F" w:rsidRPr="006D5F0F">
        <w:rPr>
          <w:sz w:val="24"/>
          <w:szCs w:val="24"/>
          <w:lang w:val="pt-BR"/>
        </w:rPr>
        <w:t xml:space="preserve"> pequeno porte com os centros regionais</w:t>
      </w:r>
      <w:r w:rsidR="006D5F0F">
        <w:rPr>
          <w:sz w:val="24"/>
          <w:szCs w:val="24"/>
          <w:lang w:val="pt-BR"/>
        </w:rPr>
        <w:t>.</w:t>
      </w:r>
    </w:p>
    <w:p w14:paraId="6EF26A43" w14:textId="75FC29FE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CONSIDERAÇÕES FINAIS</w:t>
      </w:r>
    </w:p>
    <w:p w14:paraId="083EFE8D" w14:textId="0F768CE6" w:rsidR="00D34EFA" w:rsidRPr="00D34EFA" w:rsidRDefault="00D34EFA" w:rsidP="00D34EF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D34EFA">
        <w:rPr>
          <w:sz w:val="24"/>
          <w:szCs w:val="24"/>
        </w:rPr>
        <w:t xml:space="preserve">Os </w:t>
      </w:r>
      <w:r w:rsidR="0087086D">
        <w:rPr>
          <w:sz w:val="24"/>
          <w:szCs w:val="24"/>
        </w:rPr>
        <w:t xml:space="preserve">dados de focos de calor </w:t>
      </w:r>
      <w:r w:rsidRPr="00D34EFA">
        <w:rPr>
          <w:sz w:val="24"/>
          <w:szCs w:val="24"/>
        </w:rPr>
        <w:t xml:space="preserve">evidenciam que o Nordeste Paraense apresenta elevada incidência de focos de calor, concentrando-se principalmente nas áreas </w:t>
      </w:r>
      <w:r w:rsidR="0087086D">
        <w:rPr>
          <w:sz w:val="24"/>
          <w:szCs w:val="24"/>
        </w:rPr>
        <w:t>d</w:t>
      </w:r>
      <w:r w:rsidRPr="00D34EFA">
        <w:rPr>
          <w:sz w:val="24"/>
          <w:szCs w:val="24"/>
        </w:rPr>
        <w:t>as proximidades das principais rodovias estaduais e federais. Entre 2014 e 2024, foram registrados 55.803 focos de calor, com destaque para o aumento de 19% ao longo do período, especialmente em 2023</w:t>
      </w:r>
      <w:r w:rsidR="0087086D">
        <w:rPr>
          <w:sz w:val="24"/>
          <w:szCs w:val="24"/>
        </w:rPr>
        <w:t xml:space="preserve"> com um registro de </w:t>
      </w:r>
      <w:r w:rsidR="00FF2CF6">
        <w:rPr>
          <w:sz w:val="24"/>
          <w:szCs w:val="24"/>
        </w:rPr>
        <w:t>6.817, além de altas taxas nos últimos anos</w:t>
      </w:r>
      <w:r w:rsidRPr="00D34EFA">
        <w:rPr>
          <w:sz w:val="24"/>
          <w:szCs w:val="24"/>
        </w:rPr>
        <w:t xml:space="preserve">. </w:t>
      </w:r>
      <w:r w:rsidR="00FF2CF6">
        <w:rPr>
          <w:sz w:val="24"/>
          <w:szCs w:val="24"/>
        </w:rPr>
        <w:t>Os m</w:t>
      </w:r>
      <w:r w:rsidRPr="00D34EFA">
        <w:rPr>
          <w:sz w:val="24"/>
          <w:szCs w:val="24"/>
        </w:rPr>
        <w:t xml:space="preserve">unicípios </w:t>
      </w:r>
      <w:r w:rsidR="00FF2CF6">
        <w:rPr>
          <w:sz w:val="24"/>
          <w:szCs w:val="24"/>
        </w:rPr>
        <w:t>do</w:t>
      </w:r>
      <w:r w:rsidRPr="00D34EFA">
        <w:rPr>
          <w:sz w:val="24"/>
          <w:szCs w:val="24"/>
        </w:rPr>
        <w:t xml:space="preserve"> Acará, </w:t>
      </w:r>
      <w:r w:rsidR="00FF2CF6">
        <w:rPr>
          <w:sz w:val="24"/>
          <w:szCs w:val="24"/>
        </w:rPr>
        <w:t xml:space="preserve">Concordia do Pará, </w:t>
      </w:r>
      <w:r w:rsidRPr="00D34EFA">
        <w:rPr>
          <w:sz w:val="24"/>
          <w:szCs w:val="24"/>
        </w:rPr>
        <w:t xml:space="preserve">Moju, Tailândia e Tomé-Açu apresentaram maior densidade de ocorrências, refletindo a intensa pressão antrópica, </w:t>
      </w:r>
      <w:r w:rsidR="004C4D87">
        <w:rPr>
          <w:sz w:val="24"/>
          <w:szCs w:val="24"/>
        </w:rPr>
        <w:t>sobretudo, pel</w:t>
      </w:r>
      <w:r w:rsidRPr="00D34EFA">
        <w:rPr>
          <w:sz w:val="24"/>
          <w:szCs w:val="24"/>
        </w:rPr>
        <w:t>a</w:t>
      </w:r>
      <w:r w:rsidR="00F41B04">
        <w:rPr>
          <w:sz w:val="24"/>
          <w:szCs w:val="24"/>
        </w:rPr>
        <w:t xml:space="preserve"> expansão e</w:t>
      </w:r>
      <w:r w:rsidRPr="00D34EFA">
        <w:rPr>
          <w:sz w:val="24"/>
          <w:szCs w:val="24"/>
        </w:rPr>
        <w:t xml:space="preserve"> </w:t>
      </w:r>
      <w:r w:rsidR="00F41B04">
        <w:rPr>
          <w:sz w:val="24"/>
          <w:szCs w:val="24"/>
        </w:rPr>
        <w:t>consolidação da dendeicultura</w:t>
      </w:r>
      <w:r w:rsidR="004C4D87">
        <w:rPr>
          <w:sz w:val="24"/>
          <w:szCs w:val="24"/>
        </w:rPr>
        <w:t xml:space="preserve">. </w:t>
      </w:r>
      <w:r w:rsidRPr="00D34EFA">
        <w:rPr>
          <w:sz w:val="24"/>
          <w:szCs w:val="24"/>
        </w:rPr>
        <w:t xml:space="preserve">Esses dados confirmam que os padrões espaciais das queimadas estão diretamente relacionados à dinâmica territorial e à ocupação humana da região. A análise demonstra </w:t>
      </w:r>
      <w:r w:rsidR="004C4D87">
        <w:rPr>
          <w:sz w:val="24"/>
          <w:szCs w:val="24"/>
        </w:rPr>
        <w:t xml:space="preserve">que </w:t>
      </w:r>
      <w:r w:rsidRPr="00D34EFA">
        <w:rPr>
          <w:sz w:val="24"/>
          <w:szCs w:val="24"/>
        </w:rPr>
        <w:t xml:space="preserve">a concentração dos focos reforça a necessidade de políticas públicas voltadas </w:t>
      </w:r>
      <w:r w:rsidR="005454FB">
        <w:rPr>
          <w:sz w:val="24"/>
          <w:szCs w:val="24"/>
        </w:rPr>
        <w:t>a</w:t>
      </w:r>
      <w:r w:rsidRPr="00D34EFA">
        <w:rPr>
          <w:sz w:val="24"/>
          <w:szCs w:val="24"/>
        </w:rPr>
        <w:t xml:space="preserve"> proteção da cobertura florestal.</w:t>
      </w:r>
    </w:p>
    <w:p w14:paraId="77752740" w14:textId="7923B299" w:rsidR="00D34EFA" w:rsidRPr="00D34EFA" w:rsidRDefault="00D34EFA" w:rsidP="002338D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D34EFA">
        <w:rPr>
          <w:sz w:val="24"/>
          <w:szCs w:val="24"/>
        </w:rPr>
        <w:t xml:space="preserve">O uso de dados confiáveis e gratuitos, como os fornecidos pelo satélite AQUA </w:t>
      </w:r>
      <w:r w:rsidR="004C4D87">
        <w:rPr>
          <w:sz w:val="24"/>
          <w:szCs w:val="24"/>
        </w:rPr>
        <w:t>no banco de dados do</w:t>
      </w:r>
      <w:r w:rsidRPr="00D34EFA">
        <w:rPr>
          <w:sz w:val="24"/>
          <w:szCs w:val="24"/>
        </w:rPr>
        <w:t xml:space="preserve"> Projeto Queimadas do INPE, aliado às geotecnologias, mostrou-se fundamental para compreender a distribuição espacial e temporal dos focos de calor. O emprego de </w:t>
      </w:r>
      <w:r w:rsidR="004C4D87" w:rsidRPr="00D34EFA">
        <w:rPr>
          <w:sz w:val="24"/>
          <w:szCs w:val="24"/>
        </w:rPr>
        <w:t xml:space="preserve">Sistemas </w:t>
      </w:r>
      <w:r w:rsidR="004C4D87">
        <w:rPr>
          <w:sz w:val="24"/>
          <w:szCs w:val="24"/>
        </w:rPr>
        <w:t>d</w:t>
      </w:r>
      <w:r w:rsidR="004C4D87" w:rsidRPr="00D34EFA">
        <w:rPr>
          <w:sz w:val="24"/>
          <w:szCs w:val="24"/>
        </w:rPr>
        <w:t>e Informação Geográfica</w:t>
      </w:r>
      <w:r w:rsidRPr="00D34EFA">
        <w:rPr>
          <w:sz w:val="24"/>
          <w:szCs w:val="24"/>
        </w:rPr>
        <w:t xml:space="preserve"> (SIG) e estimadores de densidade, como o Kernel, permitiu a visualização detalhada das áreas de maior incidência e facilitou a identificação de padrões recorrentes. Estudos </w:t>
      </w:r>
      <w:r w:rsidR="00443FBC">
        <w:rPr>
          <w:sz w:val="24"/>
          <w:szCs w:val="24"/>
        </w:rPr>
        <w:t>com uso de geotecnologias permitem</w:t>
      </w:r>
      <w:r w:rsidRPr="00D34EFA">
        <w:rPr>
          <w:sz w:val="24"/>
          <w:szCs w:val="24"/>
        </w:rPr>
        <w:t xml:space="preserve"> análises rápidas, precisas e reprodutíveis, essenciais para o monitoramento contínuo das queimadas.</w:t>
      </w:r>
    </w:p>
    <w:p w14:paraId="2217A46A" w14:textId="7166FCE7" w:rsidR="004C75A0" w:rsidRPr="004C75A0" w:rsidRDefault="00811AC2" w:rsidP="004C75A0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811AC2">
        <w:rPr>
          <w:sz w:val="24"/>
          <w:szCs w:val="24"/>
        </w:rPr>
        <w:t xml:space="preserve">Por fim, </w:t>
      </w:r>
      <w:r>
        <w:rPr>
          <w:sz w:val="24"/>
          <w:szCs w:val="24"/>
        </w:rPr>
        <w:t>é</w:t>
      </w:r>
      <w:r w:rsidRPr="00811AC2">
        <w:rPr>
          <w:sz w:val="24"/>
          <w:szCs w:val="24"/>
        </w:rPr>
        <w:t xml:space="preserve"> importante </w:t>
      </w:r>
      <w:r>
        <w:rPr>
          <w:sz w:val="24"/>
          <w:szCs w:val="24"/>
        </w:rPr>
        <w:t xml:space="preserve">destacar que existem </w:t>
      </w:r>
      <w:r w:rsidRPr="00811AC2">
        <w:rPr>
          <w:sz w:val="24"/>
          <w:szCs w:val="24"/>
        </w:rPr>
        <w:t>limitações relacionadas à resolução temporal e espacial dos dados de satélite utilizados</w:t>
      </w:r>
      <w:r>
        <w:rPr>
          <w:sz w:val="24"/>
          <w:szCs w:val="24"/>
        </w:rPr>
        <w:t xml:space="preserve"> que</w:t>
      </w:r>
      <w:r w:rsidRPr="00811AC2">
        <w:rPr>
          <w:sz w:val="24"/>
          <w:szCs w:val="24"/>
        </w:rPr>
        <w:t xml:space="preserve"> pode</w:t>
      </w:r>
      <w:r>
        <w:rPr>
          <w:sz w:val="24"/>
          <w:szCs w:val="24"/>
        </w:rPr>
        <w:t>m</w:t>
      </w:r>
      <w:r w:rsidRPr="00811AC2">
        <w:rPr>
          <w:sz w:val="24"/>
          <w:szCs w:val="24"/>
        </w:rPr>
        <w:t xml:space="preserve"> restringir a identificação de queimadas de pequena escala. </w:t>
      </w:r>
      <w:r>
        <w:rPr>
          <w:sz w:val="24"/>
          <w:szCs w:val="24"/>
        </w:rPr>
        <w:t>Ressalta-se que ainda assim, esses trabalhos de</w:t>
      </w:r>
      <w:r w:rsidRPr="00811AC2">
        <w:rPr>
          <w:sz w:val="24"/>
          <w:szCs w:val="24"/>
        </w:rPr>
        <w:t xml:space="preserve"> análise espacial integrada à ocupação territorial contribui para o desenvolvimento de políticas públicas mais eficazes de proteção e conservação ambiental</w:t>
      </w:r>
      <w:r>
        <w:rPr>
          <w:sz w:val="24"/>
          <w:szCs w:val="24"/>
        </w:rPr>
        <w:t>, principalmente, no que tange as queimadas na região</w:t>
      </w:r>
      <w:r w:rsidRPr="00811AC2">
        <w:rPr>
          <w:sz w:val="24"/>
          <w:szCs w:val="24"/>
        </w:rPr>
        <w:t>.</w:t>
      </w:r>
    </w:p>
    <w:p w14:paraId="3B2868CD" w14:textId="2C0ABEEE" w:rsidR="003949CE" w:rsidRPr="004C75A0" w:rsidRDefault="003949CE" w:rsidP="004C75A0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REFERÊNCIAS</w:t>
      </w:r>
      <w:bookmarkStart w:id="1" w:name="_gjdgxs" w:colFirst="0" w:colLast="0"/>
      <w:bookmarkEnd w:id="1"/>
    </w:p>
    <w:p w14:paraId="46ABC922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BARROS, G. M. O. de. </w:t>
      </w:r>
      <w:r w:rsidRPr="0098085C">
        <w:rPr>
          <w:b/>
          <w:bCs/>
          <w:sz w:val="24"/>
          <w:szCs w:val="24"/>
        </w:rPr>
        <w:t xml:space="preserve">Concentração espacial e caracterização da agropecuária e </w:t>
      </w:r>
      <w:r w:rsidRPr="0098085C">
        <w:rPr>
          <w:b/>
          <w:bCs/>
          <w:sz w:val="24"/>
          <w:szCs w:val="24"/>
        </w:rPr>
        <w:lastRenderedPageBreak/>
        <w:t>silvicultura no estado do Pará</w:t>
      </w:r>
      <w:r w:rsidRPr="0098085C">
        <w:rPr>
          <w:sz w:val="24"/>
          <w:szCs w:val="24"/>
        </w:rPr>
        <w:t>.Trabalho de Conclusão de Curso (Graduação em Agronomia) - Universidade Federal Rural da Amazônia, Belém, 2022.</w:t>
      </w:r>
    </w:p>
    <w:p w14:paraId="474FEC1A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BECKER, B. K. </w:t>
      </w:r>
      <w:r w:rsidRPr="0098085C">
        <w:rPr>
          <w:b/>
          <w:bCs/>
          <w:sz w:val="24"/>
          <w:szCs w:val="24"/>
        </w:rPr>
        <w:t>Amazônia</w:t>
      </w:r>
      <w:r w:rsidRPr="0098085C">
        <w:rPr>
          <w:sz w:val="24"/>
          <w:szCs w:val="24"/>
        </w:rPr>
        <w:t>. São Paulo: Ática, 1998.</w:t>
      </w:r>
    </w:p>
    <w:p w14:paraId="6021779C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CASTRO, E. Dinâmica socioeconômica e desmatamento na Amazônia. </w:t>
      </w:r>
      <w:r w:rsidRPr="0098085C">
        <w:rPr>
          <w:b/>
          <w:bCs/>
          <w:sz w:val="24"/>
          <w:szCs w:val="24"/>
        </w:rPr>
        <w:t>Novos cadernos do NAEA</w:t>
      </w:r>
      <w:r w:rsidRPr="0098085C">
        <w:rPr>
          <w:sz w:val="24"/>
          <w:szCs w:val="24"/>
        </w:rPr>
        <w:t>, v. 08, n. 02, p. 05-40, 2005.</w:t>
      </w:r>
    </w:p>
    <w:p w14:paraId="7EF69786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CASTRO, E. Políticas de ordenamento territorial, desmatamento e dinâmicas de fronteira. </w:t>
      </w:r>
      <w:r w:rsidRPr="0098085C">
        <w:rPr>
          <w:b/>
          <w:bCs/>
          <w:sz w:val="24"/>
          <w:szCs w:val="24"/>
        </w:rPr>
        <w:t>Novos cadernos do NAEA</w:t>
      </w:r>
      <w:r w:rsidRPr="0098085C">
        <w:rPr>
          <w:sz w:val="24"/>
          <w:szCs w:val="24"/>
        </w:rPr>
        <w:t>, v. 10, n. 02, p. 105-126, 2007.</w:t>
      </w:r>
    </w:p>
    <w:p w14:paraId="551FF98C" w14:textId="77777777" w:rsidR="008D1C12" w:rsidRPr="0098085C" w:rsidRDefault="008D1C12" w:rsidP="007F250F">
      <w:pPr>
        <w:jc w:val="both"/>
        <w:rPr>
          <w:sz w:val="24"/>
          <w:szCs w:val="24"/>
          <w:lang w:val="pt-BR"/>
        </w:rPr>
      </w:pPr>
      <w:r w:rsidRPr="0098085C">
        <w:rPr>
          <w:sz w:val="24"/>
          <w:szCs w:val="24"/>
          <w:lang w:val="pt-BR"/>
        </w:rPr>
        <w:t xml:space="preserve">CORDEIRO, </w:t>
      </w:r>
      <w:r w:rsidRPr="00FC30E9">
        <w:rPr>
          <w:sz w:val="24"/>
          <w:szCs w:val="24"/>
          <w:lang w:val="pt-BR"/>
        </w:rPr>
        <w:t xml:space="preserve">I. M. C. C. </w:t>
      </w:r>
      <w:r w:rsidRPr="00FC30E9">
        <w:rPr>
          <w:b/>
          <w:bCs/>
          <w:sz w:val="24"/>
          <w:szCs w:val="24"/>
          <w:lang w:val="pt-BR"/>
        </w:rPr>
        <w:t>Nordeste Paraense: panorama geral e uso sustentável das florestas secundárias</w:t>
      </w:r>
      <w:r w:rsidRPr="00FC30E9">
        <w:rPr>
          <w:sz w:val="24"/>
          <w:szCs w:val="24"/>
          <w:lang w:val="pt-BR"/>
        </w:rPr>
        <w:t xml:space="preserve">. Belém: EDUFRA, p. 323. </w:t>
      </w:r>
      <w:r w:rsidRPr="0098085C">
        <w:rPr>
          <w:sz w:val="24"/>
          <w:szCs w:val="24"/>
          <w:lang w:val="pt-BR"/>
        </w:rPr>
        <w:t>2017.</w:t>
      </w:r>
    </w:p>
    <w:p w14:paraId="46B55217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DINIZ, C. G. </w:t>
      </w:r>
      <w:r w:rsidRPr="00452913">
        <w:rPr>
          <w:i/>
          <w:iCs/>
          <w:sz w:val="24"/>
          <w:szCs w:val="24"/>
        </w:rPr>
        <w:t>et al.</w:t>
      </w:r>
      <w:r w:rsidRPr="0098085C">
        <w:rPr>
          <w:sz w:val="24"/>
          <w:szCs w:val="24"/>
        </w:rPr>
        <w:t xml:space="preserve"> DETER-B: The New Amazon Near Real-Time Deforestation Detection System. </w:t>
      </w:r>
      <w:r w:rsidRPr="0098085C">
        <w:rPr>
          <w:b/>
          <w:bCs/>
          <w:sz w:val="24"/>
          <w:szCs w:val="24"/>
        </w:rPr>
        <w:t>IEEE Journal of Selected Topics in Applied Earth Observations and Remote Sensing</w:t>
      </w:r>
      <w:r w:rsidRPr="0098085C">
        <w:rPr>
          <w:sz w:val="24"/>
          <w:szCs w:val="24"/>
        </w:rPr>
        <w:t>, v. 08, n. 07, p. 3619-3628, 2015.</w:t>
      </w:r>
    </w:p>
    <w:p w14:paraId="351B1B37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DOMINGUES, M. S.; BERMANN, C. O arco de desflorestamento na Amazônia: da pecuária à soja. </w:t>
      </w:r>
      <w:r w:rsidRPr="0098085C">
        <w:rPr>
          <w:b/>
          <w:bCs/>
          <w:sz w:val="24"/>
          <w:szCs w:val="24"/>
        </w:rPr>
        <w:t>Ambiente &amp; Sociedade</w:t>
      </w:r>
      <w:r w:rsidRPr="0098085C">
        <w:rPr>
          <w:sz w:val="24"/>
          <w:szCs w:val="24"/>
        </w:rPr>
        <w:t>, v. 15, n. 02, p. 01-22, 2012.</w:t>
      </w:r>
    </w:p>
    <w:p w14:paraId="6D379ACE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FEARNSIDE, P. M. Deforestation in Brazilian Amazonia: History, Rates, and Consequences. </w:t>
      </w:r>
      <w:r w:rsidRPr="0098085C">
        <w:rPr>
          <w:b/>
          <w:bCs/>
          <w:sz w:val="24"/>
          <w:szCs w:val="24"/>
        </w:rPr>
        <w:t>Conservation Biology</w:t>
      </w:r>
      <w:r w:rsidRPr="0098085C">
        <w:rPr>
          <w:sz w:val="24"/>
          <w:szCs w:val="24"/>
        </w:rPr>
        <w:t>, v. 19, n. 03, p. 680-688, 2005.</w:t>
      </w:r>
    </w:p>
    <w:p w14:paraId="093AB82A" w14:textId="77777777" w:rsidR="008D1C12" w:rsidRPr="0098085C" w:rsidRDefault="008D1C12" w:rsidP="007F250F">
      <w:pPr>
        <w:jc w:val="both"/>
        <w:rPr>
          <w:sz w:val="24"/>
          <w:szCs w:val="24"/>
          <w:lang w:val="pt-BR"/>
        </w:rPr>
      </w:pPr>
      <w:r w:rsidRPr="00FC30E9">
        <w:rPr>
          <w:sz w:val="24"/>
          <w:szCs w:val="24"/>
          <w:lang w:val="pt-BR"/>
        </w:rPr>
        <w:t xml:space="preserve">FITZ, P. R. </w:t>
      </w:r>
      <w:r w:rsidRPr="00FC30E9">
        <w:rPr>
          <w:b/>
          <w:bCs/>
          <w:sz w:val="24"/>
          <w:szCs w:val="24"/>
          <w:lang w:val="pt-BR"/>
        </w:rPr>
        <w:t>Geoprocessamento sem complicação</w:t>
      </w:r>
      <w:r w:rsidRPr="00FC30E9">
        <w:rPr>
          <w:sz w:val="24"/>
          <w:szCs w:val="24"/>
          <w:lang w:val="pt-BR"/>
        </w:rPr>
        <w:t>. 1 ed. São Paulo: Oficina de Textos, 2008.</w:t>
      </w:r>
    </w:p>
    <w:p w14:paraId="2CB7E951" w14:textId="77777777" w:rsidR="008D1C12" w:rsidRPr="0098085C" w:rsidRDefault="008D1C12" w:rsidP="007F250F">
      <w:pPr>
        <w:jc w:val="both"/>
        <w:rPr>
          <w:sz w:val="24"/>
          <w:szCs w:val="24"/>
          <w:lang w:val="pt-BR"/>
        </w:rPr>
      </w:pPr>
      <w:r w:rsidRPr="00CE69ED">
        <w:rPr>
          <w:sz w:val="24"/>
          <w:szCs w:val="24"/>
          <w:lang w:val="pt-BR"/>
        </w:rPr>
        <w:t xml:space="preserve">GUIMARÃES, J. B. </w:t>
      </w:r>
      <w:r w:rsidRPr="0098085C">
        <w:rPr>
          <w:i/>
          <w:iCs/>
          <w:sz w:val="24"/>
          <w:szCs w:val="24"/>
          <w:lang w:val="pt-BR"/>
        </w:rPr>
        <w:t>et al.</w:t>
      </w:r>
      <w:r w:rsidRPr="0098085C">
        <w:rPr>
          <w:sz w:val="24"/>
          <w:szCs w:val="24"/>
          <w:lang w:val="pt-BR"/>
        </w:rPr>
        <w:t xml:space="preserve"> </w:t>
      </w:r>
      <w:r w:rsidRPr="00CE69ED">
        <w:rPr>
          <w:sz w:val="24"/>
          <w:szCs w:val="24"/>
          <w:lang w:val="pt-BR"/>
        </w:rPr>
        <w:t xml:space="preserve">“O dendê era um sonho”: agricultores familiares e rupturas na </w:t>
      </w:r>
      <w:proofErr w:type="spellStart"/>
      <w:r w:rsidRPr="00CE69ED">
        <w:rPr>
          <w:sz w:val="24"/>
          <w:szCs w:val="24"/>
          <w:lang w:val="pt-BR"/>
        </w:rPr>
        <w:t>dendeicultura</w:t>
      </w:r>
      <w:proofErr w:type="spellEnd"/>
      <w:r w:rsidRPr="00CE69ED">
        <w:rPr>
          <w:sz w:val="24"/>
          <w:szCs w:val="24"/>
          <w:lang w:val="pt-BR"/>
        </w:rPr>
        <w:t xml:space="preserve"> do Nordeste Paraense. </w:t>
      </w:r>
      <w:r w:rsidRPr="00CE69ED">
        <w:rPr>
          <w:b/>
          <w:bCs/>
          <w:sz w:val="24"/>
          <w:szCs w:val="24"/>
          <w:lang w:val="pt-BR"/>
        </w:rPr>
        <w:t>Revista de Economia e Sociologia Rural (RESR)</w:t>
      </w:r>
      <w:r w:rsidRPr="00CE69ED">
        <w:rPr>
          <w:sz w:val="24"/>
          <w:szCs w:val="24"/>
          <w:lang w:val="pt-BR"/>
        </w:rPr>
        <w:t>, v. 63, 2025.</w:t>
      </w:r>
      <w:r w:rsidRPr="0098085C">
        <w:rPr>
          <w:sz w:val="24"/>
          <w:szCs w:val="24"/>
          <w:lang w:val="pt-BR"/>
        </w:rPr>
        <w:t xml:space="preserve"> </w:t>
      </w:r>
    </w:p>
    <w:p w14:paraId="267E9BE6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LAURANCE, W. F. </w:t>
      </w:r>
      <w:r w:rsidRPr="00452913">
        <w:rPr>
          <w:i/>
          <w:iCs/>
          <w:sz w:val="24"/>
          <w:szCs w:val="24"/>
        </w:rPr>
        <w:t>et al.</w:t>
      </w:r>
      <w:r w:rsidRPr="0098085C">
        <w:rPr>
          <w:sz w:val="24"/>
          <w:szCs w:val="24"/>
        </w:rPr>
        <w:t xml:space="preserve"> The future of the Brazilian Amazon. </w:t>
      </w:r>
      <w:r w:rsidRPr="0098085C">
        <w:rPr>
          <w:b/>
          <w:bCs/>
          <w:sz w:val="24"/>
          <w:szCs w:val="24"/>
        </w:rPr>
        <w:t>Science</w:t>
      </w:r>
      <w:r w:rsidRPr="0098085C">
        <w:rPr>
          <w:sz w:val="24"/>
          <w:szCs w:val="24"/>
        </w:rPr>
        <w:t>, v. 291, p. 438-439, 2001.</w:t>
      </w:r>
    </w:p>
    <w:p w14:paraId="5468FF8F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MALHI, Y. </w:t>
      </w:r>
      <w:r w:rsidRPr="00452913">
        <w:rPr>
          <w:i/>
          <w:iCs/>
          <w:sz w:val="24"/>
          <w:szCs w:val="24"/>
        </w:rPr>
        <w:t>et al.</w:t>
      </w:r>
      <w:r w:rsidRPr="0098085C">
        <w:rPr>
          <w:sz w:val="24"/>
          <w:szCs w:val="24"/>
        </w:rPr>
        <w:t xml:space="preserve"> Climate change, deforestation, and the fate of the Amazon. </w:t>
      </w:r>
      <w:r w:rsidRPr="0098085C">
        <w:rPr>
          <w:b/>
          <w:bCs/>
          <w:sz w:val="24"/>
          <w:szCs w:val="24"/>
        </w:rPr>
        <w:t>Science</w:t>
      </w:r>
      <w:r w:rsidRPr="0098085C">
        <w:rPr>
          <w:sz w:val="24"/>
          <w:szCs w:val="24"/>
        </w:rPr>
        <w:t>, v. 319, n. 5860, p. 169-172, 2008.</w:t>
      </w:r>
    </w:p>
    <w:p w14:paraId="5B20E5B1" w14:textId="76E0C1B5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McGUIRE, D. A. </w:t>
      </w:r>
      <w:r w:rsidRPr="00452913">
        <w:rPr>
          <w:i/>
          <w:iCs/>
          <w:sz w:val="24"/>
          <w:szCs w:val="24"/>
        </w:rPr>
        <w:t>et al.</w:t>
      </w:r>
      <w:r w:rsidRPr="0098085C">
        <w:rPr>
          <w:sz w:val="24"/>
          <w:szCs w:val="24"/>
        </w:rPr>
        <w:t xml:space="preserve"> Desmatamento restringe refúgios climáticos na Amazônia. </w:t>
      </w:r>
      <w:r w:rsidRPr="0098085C">
        <w:rPr>
          <w:b/>
          <w:bCs/>
          <w:sz w:val="24"/>
          <w:szCs w:val="24"/>
        </w:rPr>
        <w:t>Revista de Estudos Ambientais</w:t>
      </w:r>
      <w:r w:rsidRPr="0098085C">
        <w:rPr>
          <w:sz w:val="24"/>
          <w:szCs w:val="24"/>
        </w:rPr>
        <w:t>, v. 16, n. 2, p. 123-145, 2016.</w:t>
      </w:r>
    </w:p>
    <w:p w14:paraId="1818A1DA" w14:textId="74B46B16" w:rsidR="008D1C12" w:rsidRPr="00CE69ED" w:rsidRDefault="008D1C12" w:rsidP="007F250F">
      <w:pPr>
        <w:jc w:val="both"/>
        <w:rPr>
          <w:b/>
          <w:bCs/>
          <w:sz w:val="24"/>
          <w:szCs w:val="24"/>
        </w:rPr>
      </w:pPr>
      <w:r w:rsidRPr="00CE69ED">
        <w:rPr>
          <w:sz w:val="24"/>
          <w:szCs w:val="24"/>
          <w:lang w:val="pt-BR"/>
        </w:rPr>
        <w:t>MOTA, D. M</w:t>
      </w:r>
      <w:r w:rsidRPr="0098085C">
        <w:rPr>
          <w:sz w:val="24"/>
          <w:szCs w:val="24"/>
        </w:rPr>
        <w:t xml:space="preserve">. </w:t>
      </w:r>
      <w:r w:rsidRPr="00452913">
        <w:rPr>
          <w:i/>
          <w:iCs/>
          <w:sz w:val="24"/>
          <w:szCs w:val="24"/>
        </w:rPr>
        <w:t>et al.</w:t>
      </w:r>
      <w:r w:rsidRPr="0098085C">
        <w:rPr>
          <w:sz w:val="24"/>
          <w:szCs w:val="24"/>
        </w:rPr>
        <w:t xml:space="preserve"> </w:t>
      </w:r>
      <w:r w:rsidRPr="00CE69ED">
        <w:rPr>
          <w:sz w:val="24"/>
          <w:szCs w:val="24"/>
          <w:lang w:val="pt-BR"/>
        </w:rPr>
        <w:t xml:space="preserve"> </w:t>
      </w:r>
      <w:r w:rsidRPr="0098085C">
        <w:rPr>
          <w:sz w:val="24"/>
          <w:szCs w:val="24"/>
        </w:rPr>
        <w:t>Comida de hoje, comida de ontem em quilombos na Amazônia Oriental do Pará</w:t>
      </w:r>
      <w:r w:rsidRPr="00CE69ED">
        <w:rPr>
          <w:sz w:val="24"/>
          <w:szCs w:val="24"/>
          <w:lang w:val="pt-BR"/>
        </w:rPr>
        <w:t xml:space="preserve">. </w:t>
      </w:r>
      <w:r w:rsidRPr="00FC30E9">
        <w:rPr>
          <w:b/>
          <w:bCs/>
          <w:sz w:val="24"/>
          <w:szCs w:val="24"/>
          <w:lang w:val="pt-BR"/>
        </w:rPr>
        <w:t>Revista de Economia e Sociologia Rural (RESR)</w:t>
      </w:r>
      <w:r w:rsidR="00452913">
        <w:rPr>
          <w:sz w:val="24"/>
          <w:szCs w:val="24"/>
          <w:lang w:val="pt-BR"/>
        </w:rPr>
        <w:t>,</w:t>
      </w:r>
      <w:r w:rsidRPr="00CE69ED">
        <w:rPr>
          <w:sz w:val="24"/>
          <w:szCs w:val="24"/>
          <w:lang w:val="pt-BR"/>
        </w:rPr>
        <w:t xml:space="preserve"> v. </w:t>
      </w:r>
      <w:r w:rsidRPr="0098085C">
        <w:rPr>
          <w:sz w:val="24"/>
          <w:szCs w:val="24"/>
          <w:lang w:val="pt-BR"/>
        </w:rPr>
        <w:t>62</w:t>
      </w:r>
      <w:r w:rsidRPr="00CE69ED">
        <w:rPr>
          <w:sz w:val="24"/>
          <w:szCs w:val="24"/>
          <w:lang w:val="pt-BR"/>
        </w:rPr>
        <w:t xml:space="preserve">, n. </w:t>
      </w:r>
      <w:r w:rsidRPr="0098085C">
        <w:rPr>
          <w:sz w:val="24"/>
          <w:szCs w:val="24"/>
          <w:lang w:val="pt-BR"/>
        </w:rPr>
        <w:t>3</w:t>
      </w:r>
      <w:r w:rsidRPr="00CE69ED">
        <w:rPr>
          <w:sz w:val="24"/>
          <w:szCs w:val="24"/>
          <w:lang w:val="pt-BR"/>
        </w:rPr>
        <w:t>, 2024.</w:t>
      </w:r>
      <w:r w:rsidRPr="0098085C">
        <w:rPr>
          <w:sz w:val="24"/>
          <w:szCs w:val="24"/>
          <w:lang w:val="pt-BR"/>
        </w:rPr>
        <w:t xml:space="preserve"> </w:t>
      </w:r>
    </w:p>
    <w:p w14:paraId="0405E6EA" w14:textId="5AF1141D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NAHUM, J. S.; MALCHER, A. T. C.Dinâmicas territoriais do espaço agrário na Amazônia: a dendeicultura na microrregião de Tomé-Açu (PA). </w:t>
      </w:r>
      <w:r w:rsidRPr="0098085C">
        <w:rPr>
          <w:b/>
          <w:bCs/>
          <w:sz w:val="24"/>
          <w:szCs w:val="24"/>
        </w:rPr>
        <w:t>Confins</w:t>
      </w:r>
      <w:r w:rsidRPr="0098085C">
        <w:rPr>
          <w:sz w:val="24"/>
          <w:szCs w:val="24"/>
        </w:rPr>
        <w:t>, n. 16, 2012.</w:t>
      </w:r>
    </w:p>
    <w:p w14:paraId="717853C1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NEPSTAD, D. </w:t>
      </w:r>
      <w:r w:rsidRPr="00452913">
        <w:rPr>
          <w:i/>
          <w:iCs/>
          <w:sz w:val="24"/>
          <w:szCs w:val="24"/>
        </w:rPr>
        <w:t>et al</w:t>
      </w:r>
      <w:r w:rsidRPr="0098085C">
        <w:rPr>
          <w:sz w:val="24"/>
          <w:szCs w:val="24"/>
        </w:rPr>
        <w:t xml:space="preserve">. Avança Brasil: </w:t>
      </w:r>
      <w:r w:rsidRPr="0098085C">
        <w:rPr>
          <w:b/>
          <w:bCs/>
          <w:sz w:val="24"/>
          <w:szCs w:val="24"/>
        </w:rPr>
        <w:t>Os custos ambientais para a Amazônia</w:t>
      </w:r>
      <w:r w:rsidRPr="0098085C">
        <w:rPr>
          <w:sz w:val="24"/>
          <w:szCs w:val="24"/>
        </w:rPr>
        <w:t>. Belém: Gráfica e Editora Alves, 2000.</w:t>
      </w:r>
    </w:p>
    <w:p w14:paraId="30320E85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NEPSTAD, D. Road paving, fire regime feedbacks, and the future of Amazon forests. </w:t>
      </w:r>
      <w:r w:rsidRPr="0098085C">
        <w:rPr>
          <w:b/>
          <w:bCs/>
          <w:sz w:val="24"/>
          <w:szCs w:val="24"/>
        </w:rPr>
        <w:t>Forest Ecology and Management</w:t>
      </w:r>
      <w:r w:rsidRPr="0098085C">
        <w:rPr>
          <w:sz w:val="24"/>
          <w:szCs w:val="24"/>
        </w:rPr>
        <w:t>, v. 154, n. 03, p. 395-407, 2001.</w:t>
      </w:r>
    </w:p>
    <w:p w14:paraId="0B63E474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380331">
        <w:rPr>
          <w:sz w:val="24"/>
          <w:szCs w:val="24"/>
          <w:lang w:val="pt-BR"/>
        </w:rPr>
        <w:t xml:space="preserve">RIBEIRO, R. M. </w:t>
      </w:r>
      <w:r w:rsidRPr="0098085C">
        <w:rPr>
          <w:i/>
          <w:iCs/>
          <w:sz w:val="24"/>
          <w:szCs w:val="24"/>
          <w:lang w:val="pt-BR"/>
        </w:rPr>
        <w:t>et al</w:t>
      </w:r>
      <w:r w:rsidRPr="0098085C">
        <w:rPr>
          <w:sz w:val="24"/>
          <w:szCs w:val="24"/>
          <w:lang w:val="pt-BR"/>
        </w:rPr>
        <w:t xml:space="preserve">. </w:t>
      </w:r>
      <w:r w:rsidRPr="00380331">
        <w:rPr>
          <w:sz w:val="24"/>
          <w:szCs w:val="24"/>
          <w:lang w:val="pt-BR"/>
        </w:rPr>
        <w:t>A trama urbana amazônica: proposta metodológica para (</w:t>
      </w:r>
      <w:proofErr w:type="spellStart"/>
      <w:r w:rsidRPr="00380331">
        <w:rPr>
          <w:sz w:val="24"/>
          <w:szCs w:val="24"/>
          <w:lang w:val="pt-BR"/>
        </w:rPr>
        <w:t>re</w:t>
      </w:r>
      <w:proofErr w:type="spellEnd"/>
      <w:r w:rsidRPr="00380331">
        <w:rPr>
          <w:sz w:val="24"/>
          <w:szCs w:val="24"/>
          <w:lang w:val="pt-BR"/>
        </w:rPr>
        <w:t xml:space="preserve">)pensar a urbanização na Amazônia e referências ao Nordeste Paraense. </w:t>
      </w:r>
      <w:r w:rsidRPr="00380331">
        <w:rPr>
          <w:b/>
          <w:bCs/>
          <w:sz w:val="24"/>
          <w:szCs w:val="24"/>
          <w:lang w:val="pt-BR"/>
        </w:rPr>
        <w:t>Revista Brasileira de Estudos Urbanos e Regionais (RBEUR)</w:t>
      </w:r>
      <w:r w:rsidRPr="00380331">
        <w:rPr>
          <w:sz w:val="24"/>
          <w:szCs w:val="24"/>
          <w:lang w:val="pt-BR"/>
        </w:rPr>
        <w:t xml:space="preserve">, </w:t>
      </w:r>
      <w:r w:rsidRPr="0098085C">
        <w:rPr>
          <w:sz w:val="24"/>
          <w:szCs w:val="24"/>
          <w:lang w:val="pt-BR"/>
        </w:rPr>
        <w:t xml:space="preserve">v. 26, </w:t>
      </w:r>
      <w:r w:rsidRPr="00380331">
        <w:rPr>
          <w:sz w:val="24"/>
          <w:szCs w:val="24"/>
          <w:lang w:val="pt-BR"/>
        </w:rPr>
        <w:t>2024</w:t>
      </w:r>
      <w:r w:rsidRPr="0098085C">
        <w:rPr>
          <w:sz w:val="24"/>
          <w:szCs w:val="24"/>
          <w:lang w:val="pt-BR"/>
        </w:rPr>
        <w:t>.</w:t>
      </w:r>
    </w:p>
    <w:p w14:paraId="123FEB58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RIZZATTI, M. </w:t>
      </w:r>
      <w:r w:rsidRPr="00452913">
        <w:rPr>
          <w:i/>
          <w:iCs/>
          <w:sz w:val="24"/>
          <w:szCs w:val="24"/>
        </w:rPr>
        <w:t>et al.</w:t>
      </w:r>
      <w:r w:rsidRPr="0098085C">
        <w:rPr>
          <w:sz w:val="24"/>
          <w:szCs w:val="24"/>
        </w:rPr>
        <w:t xml:space="preserve"> Mapeamento da Covid-19 por meio da densidade de kernel. </w:t>
      </w:r>
      <w:r w:rsidRPr="0098085C">
        <w:rPr>
          <w:b/>
          <w:bCs/>
          <w:sz w:val="24"/>
          <w:szCs w:val="24"/>
        </w:rPr>
        <w:t>Metodologias e Aprendizado</w:t>
      </w:r>
      <w:r w:rsidRPr="0098085C">
        <w:rPr>
          <w:sz w:val="24"/>
          <w:szCs w:val="24"/>
        </w:rPr>
        <w:t>, v. 03, p. 44-53, 2020.</w:t>
      </w:r>
    </w:p>
    <w:p w14:paraId="39344119" w14:textId="22A2BA0C" w:rsidR="008D1C12" w:rsidRPr="0098085C" w:rsidRDefault="008D1C12" w:rsidP="007F250F">
      <w:pPr>
        <w:jc w:val="both"/>
        <w:rPr>
          <w:sz w:val="24"/>
          <w:szCs w:val="24"/>
          <w:lang w:val="pt-BR"/>
        </w:rPr>
      </w:pPr>
      <w:r w:rsidRPr="00FC30E9">
        <w:rPr>
          <w:sz w:val="24"/>
          <w:szCs w:val="24"/>
          <w:lang w:val="pt-BR"/>
        </w:rPr>
        <w:t>SILVA, A. V.</w:t>
      </w:r>
      <w:r w:rsidRPr="0098085C">
        <w:rPr>
          <w:sz w:val="24"/>
          <w:szCs w:val="24"/>
          <w:lang w:val="pt-BR"/>
        </w:rPr>
        <w:t xml:space="preserve">; COUTO FIRME, V. A. </w:t>
      </w:r>
      <w:r w:rsidRPr="00FC30E9">
        <w:rPr>
          <w:sz w:val="24"/>
          <w:szCs w:val="24"/>
          <w:lang w:val="pt-BR"/>
        </w:rPr>
        <w:t xml:space="preserve">Uma análise empírica sobre determinantes regionais: evidências para o Nordeste Paraense. </w:t>
      </w:r>
      <w:r w:rsidRPr="00FC30E9">
        <w:rPr>
          <w:b/>
          <w:bCs/>
          <w:sz w:val="24"/>
          <w:szCs w:val="24"/>
          <w:lang w:val="pt-BR"/>
        </w:rPr>
        <w:t>Revista de Economia e Sociologia Rural</w:t>
      </w:r>
      <w:r w:rsidRPr="00FC30E9">
        <w:rPr>
          <w:sz w:val="24"/>
          <w:szCs w:val="24"/>
          <w:lang w:val="pt-BR"/>
        </w:rPr>
        <w:t xml:space="preserve">, </w:t>
      </w:r>
      <w:r w:rsidRPr="0098085C">
        <w:rPr>
          <w:sz w:val="24"/>
          <w:szCs w:val="24"/>
        </w:rPr>
        <w:t>v. 62, 2024.</w:t>
      </w:r>
    </w:p>
    <w:p w14:paraId="24B2236A" w14:textId="77777777" w:rsidR="008D1C12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SILVA, M. </w:t>
      </w:r>
      <w:r w:rsidRPr="00452913">
        <w:rPr>
          <w:i/>
          <w:iCs/>
          <w:sz w:val="24"/>
          <w:szCs w:val="24"/>
        </w:rPr>
        <w:t>et al.</w:t>
      </w:r>
      <w:r w:rsidRPr="0098085C">
        <w:rPr>
          <w:sz w:val="24"/>
          <w:szCs w:val="24"/>
        </w:rPr>
        <w:t xml:space="preserve"> A transformação do espaço amazônico e seus reflexos na condição atual da cobertura e uso da terra. </w:t>
      </w:r>
      <w:r w:rsidRPr="0098085C">
        <w:rPr>
          <w:b/>
          <w:bCs/>
          <w:sz w:val="24"/>
          <w:szCs w:val="24"/>
        </w:rPr>
        <w:t>Novos Cadernos NAEA</w:t>
      </w:r>
      <w:r w:rsidRPr="0098085C">
        <w:rPr>
          <w:sz w:val="24"/>
          <w:szCs w:val="24"/>
        </w:rPr>
        <w:t>, v. 16, p. 229-248, 2013.</w:t>
      </w:r>
    </w:p>
    <w:p w14:paraId="7107D336" w14:textId="5F29C4DD" w:rsidR="00380331" w:rsidRPr="0098085C" w:rsidRDefault="008D1C12" w:rsidP="007F250F">
      <w:pPr>
        <w:jc w:val="both"/>
        <w:rPr>
          <w:sz w:val="24"/>
          <w:szCs w:val="24"/>
        </w:rPr>
      </w:pPr>
      <w:r w:rsidRPr="0098085C">
        <w:rPr>
          <w:sz w:val="24"/>
          <w:szCs w:val="24"/>
        </w:rPr>
        <w:t xml:space="preserve">TAVARES, P.E.; MOTA, D. M. da., Bom para quem? As reações à dendeicultura por contrato na Amazônia paraense. </w:t>
      </w:r>
      <w:r w:rsidRPr="0098085C">
        <w:rPr>
          <w:b/>
          <w:bCs/>
          <w:sz w:val="24"/>
          <w:szCs w:val="24"/>
        </w:rPr>
        <w:t>Sustainability in Debate</w:t>
      </w:r>
      <w:r w:rsidRPr="0098085C">
        <w:rPr>
          <w:sz w:val="24"/>
          <w:szCs w:val="24"/>
        </w:rPr>
        <w:t>, v. 11, n. 3, p. 532-545, dez/2020.</w:t>
      </w:r>
    </w:p>
    <w:sectPr w:rsidR="00380331" w:rsidRPr="0098085C" w:rsidSect="005A1575">
      <w:headerReference w:type="default" r:id="rId10"/>
      <w:footerReference w:type="default" r:id="rId11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B261" w14:textId="77777777" w:rsidR="00136428" w:rsidRDefault="00136428" w:rsidP="005A1575">
      <w:r>
        <w:separator/>
      </w:r>
    </w:p>
  </w:endnote>
  <w:endnote w:type="continuationSeparator" w:id="0">
    <w:p w14:paraId="31C90898" w14:textId="77777777" w:rsidR="00136428" w:rsidRDefault="00136428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02B7" w14:textId="77777777" w:rsidR="00136428" w:rsidRDefault="00136428" w:rsidP="005A1575">
      <w:r>
        <w:separator/>
      </w:r>
    </w:p>
  </w:footnote>
  <w:footnote w:type="continuationSeparator" w:id="0">
    <w:p w14:paraId="20DF6B2F" w14:textId="77777777" w:rsidR="00136428" w:rsidRDefault="00136428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072B3"/>
    <w:rsid w:val="00041067"/>
    <w:rsid w:val="000436E8"/>
    <w:rsid w:val="00050A98"/>
    <w:rsid w:val="00056015"/>
    <w:rsid w:val="0006548D"/>
    <w:rsid w:val="00077EEA"/>
    <w:rsid w:val="00086736"/>
    <w:rsid w:val="000A1B4B"/>
    <w:rsid w:val="000D336C"/>
    <w:rsid w:val="000E00FE"/>
    <w:rsid w:val="000E6288"/>
    <w:rsid w:val="00136428"/>
    <w:rsid w:val="00141429"/>
    <w:rsid w:val="0014785A"/>
    <w:rsid w:val="00171A41"/>
    <w:rsid w:val="00177FDF"/>
    <w:rsid w:val="0019705C"/>
    <w:rsid w:val="001B494A"/>
    <w:rsid w:val="001B5147"/>
    <w:rsid w:val="001C458C"/>
    <w:rsid w:val="001D3423"/>
    <w:rsid w:val="001D4FA5"/>
    <w:rsid w:val="001D7756"/>
    <w:rsid w:val="001E2193"/>
    <w:rsid w:val="001E47D7"/>
    <w:rsid w:val="001E482D"/>
    <w:rsid w:val="00212F2C"/>
    <w:rsid w:val="002218CD"/>
    <w:rsid w:val="002338D6"/>
    <w:rsid w:val="00233FE9"/>
    <w:rsid w:val="002435B3"/>
    <w:rsid w:val="00247601"/>
    <w:rsid w:val="00251581"/>
    <w:rsid w:val="00292362"/>
    <w:rsid w:val="002A2223"/>
    <w:rsid w:val="002C6E98"/>
    <w:rsid w:val="002E4F71"/>
    <w:rsid w:val="002E6327"/>
    <w:rsid w:val="002F3682"/>
    <w:rsid w:val="0031571D"/>
    <w:rsid w:val="00330594"/>
    <w:rsid w:val="0034072E"/>
    <w:rsid w:val="00340B04"/>
    <w:rsid w:val="00364D44"/>
    <w:rsid w:val="00380331"/>
    <w:rsid w:val="0038736A"/>
    <w:rsid w:val="003949CE"/>
    <w:rsid w:val="003A65A1"/>
    <w:rsid w:val="003D7F47"/>
    <w:rsid w:val="00406E15"/>
    <w:rsid w:val="00442E70"/>
    <w:rsid w:val="00443FBC"/>
    <w:rsid w:val="00450AF8"/>
    <w:rsid w:val="00452913"/>
    <w:rsid w:val="004A0ACC"/>
    <w:rsid w:val="004A3704"/>
    <w:rsid w:val="004A7731"/>
    <w:rsid w:val="004B3806"/>
    <w:rsid w:val="004C4D87"/>
    <w:rsid w:val="004C75A0"/>
    <w:rsid w:val="004D46C4"/>
    <w:rsid w:val="004E0439"/>
    <w:rsid w:val="004E0590"/>
    <w:rsid w:val="004E409D"/>
    <w:rsid w:val="005148CF"/>
    <w:rsid w:val="00524DC3"/>
    <w:rsid w:val="005260A5"/>
    <w:rsid w:val="00527DE8"/>
    <w:rsid w:val="005329DF"/>
    <w:rsid w:val="005454FB"/>
    <w:rsid w:val="005545C1"/>
    <w:rsid w:val="00554FFC"/>
    <w:rsid w:val="005616B6"/>
    <w:rsid w:val="00567A98"/>
    <w:rsid w:val="00576208"/>
    <w:rsid w:val="00576948"/>
    <w:rsid w:val="00584991"/>
    <w:rsid w:val="005A0CD8"/>
    <w:rsid w:val="005A1575"/>
    <w:rsid w:val="005F2B18"/>
    <w:rsid w:val="005F48AE"/>
    <w:rsid w:val="00621A04"/>
    <w:rsid w:val="00640029"/>
    <w:rsid w:val="00640450"/>
    <w:rsid w:val="006443BD"/>
    <w:rsid w:val="00645BA4"/>
    <w:rsid w:val="00646E38"/>
    <w:rsid w:val="00677BB7"/>
    <w:rsid w:val="006B0DFF"/>
    <w:rsid w:val="006D5F0F"/>
    <w:rsid w:val="006F74EF"/>
    <w:rsid w:val="00710992"/>
    <w:rsid w:val="007346FB"/>
    <w:rsid w:val="007365B7"/>
    <w:rsid w:val="00744A50"/>
    <w:rsid w:val="007701A8"/>
    <w:rsid w:val="00774D52"/>
    <w:rsid w:val="00777828"/>
    <w:rsid w:val="007840EE"/>
    <w:rsid w:val="0079582C"/>
    <w:rsid w:val="007A3840"/>
    <w:rsid w:val="007B00E2"/>
    <w:rsid w:val="007B42E7"/>
    <w:rsid w:val="007B708C"/>
    <w:rsid w:val="007E34F1"/>
    <w:rsid w:val="007F250F"/>
    <w:rsid w:val="00803C29"/>
    <w:rsid w:val="00807379"/>
    <w:rsid w:val="00811AC2"/>
    <w:rsid w:val="00834101"/>
    <w:rsid w:val="00836259"/>
    <w:rsid w:val="008539C2"/>
    <w:rsid w:val="008648F3"/>
    <w:rsid w:val="0087086D"/>
    <w:rsid w:val="00893951"/>
    <w:rsid w:val="008C0B94"/>
    <w:rsid w:val="008D0596"/>
    <w:rsid w:val="008D1C12"/>
    <w:rsid w:val="008F4D44"/>
    <w:rsid w:val="00936F6A"/>
    <w:rsid w:val="00937733"/>
    <w:rsid w:val="009613E3"/>
    <w:rsid w:val="00962C69"/>
    <w:rsid w:val="0098085C"/>
    <w:rsid w:val="009A64C8"/>
    <w:rsid w:val="009E4407"/>
    <w:rsid w:val="00A06C80"/>
    <w:rsid w:val="00A32C01"/>
    <w:rsid w:val="00A910D9"/>
    <w:rsid w:val="00A962A8"/>
    <w:rsid w:val="00AA3675"/>
    <w:rsid w:val="00AB4B77"/>
    <w:rsid w:val="00AC74FE"/>
    <w:rsid w:val="00B0361A"/>
    <w:rsid w:val="00B07BEF"/>
    <w:rsid w:val="00B141A4"/>
    <w:rsid w:val="00B9237D"/>
    <w:rsid w:val="00BA4555"/>
    <w:rsid w:val="00BC6A31"/>
    <w:rsid w:val="00C4340C"/>
    <w:rsid w:val="00C71056"/>
    <w:rsid w:val="00C83381"/>
    <w:rsid w:val="00C9342F"/>
    <w:rsid w:val="00C95483"/>
    <w:rsid w:val="00CA6341"/>
    <w:rsid w:val="00CC4E1D"/>
    <w:rsid w:val="00CE2B1C"/>
    <w:rsid w:val="00CE5064"/>
    <w:rsid w:val="00CF03A4"/>
    <w:rsid w:val="00CF2540"/>
    <w:rsid w:val="00D0216F"/>
    <w:rsid w:val="00D2598D"/>
    <w:rsid w:val="00D34EFA"/>
    <w:rsid w:val="00D544D9"/>
    <w:rsid w:val="00D55D72"/>
    <w:rsid w:val="00D8180F"/>
    <w:rsid w:val="00DB5854"/>
    <w:rsid w:val="00DB7E74"/>
    <w:rsid w:val="00DE04D3"/>
    <w:rsid w:val="00DF20D2"/>
    <w:rsid w:val="00E052C2"/>
    <w:rsid w:val="00E21145"/>
    <w:rsid w:val="00E3081C"/>
    <w:rsid w:val="00E40F38"/>
    <w:rsid w:val="00E456F0"/>
    <w:rsid w:val="00E6011B"/>
    <w:rsid w:val="00E61BB5"/>
    <w:rsid w:val="00E713E0"/>
    <w:rsid w:val="00E7187F"/>
    <w:rsid w:val="00EA3A46"/>
    <w:rsid w:val="00ED04DF"/>
    <w:rsid w:val="00EE52DB"/>
    <w:rsid w:val="00F053B7"/>
    <w:rsid w:val="00F354FE"/>
    <w:rsid w:val="00F41B04"/>
    <w:rsid w:val="00F46632"/>
    <w:rsid w:val="00F67A9D"/>
    <w:rsid w:val="00F81CDE"/>
    <w:rsid w:val="00F948A7"/>
    <w:rsid w:val="00FD1F86"/>
    <w:rsid w:val="00FE0C5D"/>
    <w:rsid w:val="00FF2CF6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67A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Focos de Calor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Planilha1!$A$2:$A$12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5359</c:v>
                </c:pt>
                <c:pt idx="1">
                  <c:v>6362</c:v>
                </c:pt>
                <c:pt idx="2">
                  <c:v>5292</c:v>
                </c:pt>
                <c:pt idx="3">
                  <c:v>6538</c:v>
                </c:pt>
                <c:pt idx="4">
                  <c:v>2996</c:v>
                </c:pt>
                <c:pt idx="5">
                  <c:v>3530</c:v>
                </c:pt>
                <c:pt idx="6">
                  <c:v>4576</c:v>
                </c:pt>
                <c:pt idx="7">
                  <c:v>3141</c:v>
                </c:pt>
                <c:pt idx="8">
                  <c:v>4814</c:v>
                </c:pt>
                <c:pt idx="9">
                  <c:v>6817</c:v>
                </c:pt>
                <c:pt idx="10">
                  <c:v>6378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AD-4C1A-ABC2-2C9F1672D16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7164559"/>
        <c:axId val="1287161199"/>
      </c:barChart>
      <c:catAx>
        <c:axId val="1287164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87161199"/>
        <c:crosses val="autoZero"/>
        <c:auto val="1"/>
        <c:lblAlgn val="ctr"/>
        <c:lblOffset val="100"/>
        <c:noMultiLvlLbl val="0"/>
      </c:catAx>
      <c:valAx>
        <c:axId val="12871611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8716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2711</Words>
  <Characters>15456</Characters>
  <Application>Microsoft Office Word</Application>
  <DocSecurity>0</DocSecurity>
  <Lines>245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Jones Remo Barbosa Vale</cp:lastModifiedBy>
  <cp:revision>2</cp:revision>
  <dcterms:created xsi:type="dcterms:W3CDTF">2025-11-03T20:54:00Z</dcterms:created>
  <dcterms:modified xsi:type="dcterms:W3CDTF">2025-11-03T20:54:00Z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