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C9847F" w14:textId="592EBAED" w:rsidR="003949CE" w:rsidRPr="00154149" w:rsidRDefault="00154149" w:rsidP="00154149">
      <w:pPr>
        <w:spacing w:line="360" w:lineRule="auto"/>
        <w:jc w:val="center"/>
        <w:rPr>
          <w:b/>
          <w:bCs/>
          <w:sz w:val="24"/>
          <w:szCs w:val="24"/>
        </w:rPr>
      </w:pPr>
      <w:r w:rsidRPr="007C7F2B">
        <w:rPr>
          <w:b/>
          <w:bCs/>
          <w:sz w:val="24"/>
          <w:szCs w:val="24"/>
        </w:rPr>
        <w:t>DINÂMICA ESPAÇO-TEMPORAL DOS FOCOS DE CALOR EM SÃO FÉLIX DO XINGU, PARÁ, NOS ANOS DE 2020, 2024 E 2025</w:t>
      </w:r>
    </w:p>
    <w:p w14:paraId="271E17F8" w14:textId="6738E608" w:rsidR="003949CE" w:rsidRPr="004D4429" w:rsidRDefault="00154149" w:rsidP="004D4429">
      <w:pPr>
        <w:shd w:val="clear" w:color="auto" w:fill="FFFFFF"/>
        <w:tabs>
          <w:tab w:val="left" w:pos="2500"/>
        </w:tabs>
        <w:jc w:val="center"/>
        <w:rPr>
          <w:rFonts w:ascii="Verdana" w:hAnsi="Verdana"/>
          <w:color w:val="000000"/>
          <w:sz w:val="15"/>
          <w:szCs w:val="15"/>
          <w:shd w:val="clear" w:color="auto" w:fill="FFFFFF"/>
        </w:rPr>
      </w:pPr>
      <w:r>
        <w:rPr>
          <w:sz w:val="24"/>
          <w:szCs w:val="24"/>
        </w:rPr>
        <w:t>Maria Daiza de Sousa Alves</w:t>
      </w:r>
      <w:r w:rsidR="003949CE">
        <w:rPr>
          <w:sz w:val="24"/>
          <w:szCs w:val="24"/>
          <w:vertAlign w:val="superscript"/>
        </w:rPr>
        <w:t>1</w:t>
      </w:r>
      <w:r w:rsidR="003949CE">
        <w:rPr>
          <w:sz w:val="24"/>
          <w:szCs w:val="24"/>
        </w:rPr>
        <w:t xml:space="preserve">; </w:t>
      </w:r>
      <w:r w:rsidR="00DC3E6B">
        <w:rPr>
          <w:sz w:val="24"/>
          <w:szCs w:val="24"/>
        </w:rPr>
        <w:t>Rosanira Leão Freitas</w:t>
      </w:r>
      <w:r w:rsidR="003949CE">
        <w:rPr>
          <w:sz w:val="24"/>
          <w:szCs w:val="24"/>
          <w:vertAlign w:val="superscript"/>
        </w:rPr>
        <w:t>2</w:t>
      </w:r>
      <w:r w:rsidR="003949CE">
        <w:rPr>
          <w:sz w:val="24"/>
          <w:szCs w:val="24"/>
        </w:rPr>
        <w:t>;</w:t>
      </w:r>
      <w:r w:rsidR="00DC3E6B" w:rsidRPr="00DC3E6B">
        <w:rPr>
          <w:rFonts w:ascii="Verdana" w:hAnsi="Verdana"/>
          <w:color w:val="000000"/>
          <w:sz w:val="15"/>
          <w:szCs w:val="15"/>
          <w:shd w:val="clear" w:color="auto" w:fill="FFFFFF"/>
        </w:rPr>
        <w:t xml:space="preserve"> </w:t>
      </w:r>
      <w:r w:rsidR="004D4429" w:rsidRPr="004D4429">
        <w:rPr>
          <w:color w:val="000000"/>
          <w:sz w:val="24"/>
          <w:szCs w:val="24"/>
          <w:shd w:val="clear" w:color="auto" w:fill="FFFFFF"/>
        </w:rPr>
        <w:t>P</w:t>
      </w:r>
      <w:r w:rsidR="004D4429">
        <w:rPr>
          <w:color w:val="000000"/>
          <w:sz w:val="24"/>
          <w:szCs w:val="24"/>
          <w:shd w:val="clear" w:color="auto" w:fill="FFFFFF"/>
        </w:rPr>
        <w:t xml:space="preserve">edro </w:t>
      </w:r>
      <w:r w:rsidR="00431647">
        <w:rPr>
          <w:color w:val="000000"/>
          <w:sz w:val="24"/>
          <w:szCs w:val="24"/>
          <w:shd w:val="clear" w:color="auto" w:fill="FFFFFF"/>
        </w:rPr>
        <w:t xml:space="preserve">Henrique Cardoso da </w:t>
      </w:r>
      <w:r w:rsidR="00431647" w:rsidRPr="003D6408">
        <w:rPr>
          <w:color w:val="000000"/>
          <w:sz w:val="24"/>
          <w:szCs w:val="24"/>
          <w:shd w:val="clear" w:color="auto" w:fill="FFFFFF"/>
        </w:rPr>
        <w:t>Costa</w:t>
      </w:r>
      <w:r w:rsidR="00431647" w:rsidRPr="003D6408">
        <w:rPr>
          <w:color w:val="000000"/>
          <w:sz w:val="24"/>
          <w:szCs w:val="24"/>
          <w:shd w:val="clear" w:color="auto" w:fill="FFFFFF"/>
          <w:vertAlign w:val="superscript"/>
        </w:rPr>
        <w:t>3</w:t>
      </w:r>
      <w:r w:rsidR="003D6408" w:rsidRPr="003D6408">
        <w:rPr>
          <w:color w:val="000000"/>
          <w:sz w:val="24"/>
          <w:szCs w:val="24"/>
          <w:shd w:val="clear" w:color="auto" w:fill="FFFFFF"/>
        </w:rPr>
        <w:t>;</w:t>
      </w:r>
      <w:r w:rsidR="00D047F7">
        <w:rPr>
          <w:color w:val="000000"/>
          <w:sz w:val="24"/>
          <w:szCs w:val="24"/>
          <w:shd w:val="clear" w:color="auto" w:fill="FFFFFF"/>
        </w:rPr>
        <w:t xml:space="preserve"> Tainah Kaylla dos Santos Aquino</w:t>
      </w:r>
      <w:r w:rsidR="00054011" w:rsidRPr="00054011">
        <w:rPr>
          <w:color w:val="000000"/>
          <w:sz w:val="24"/>
          <w:szCs w:val="24"/>
          <w:shd w:val="clear" w:color="auto" w:fill="FFFFFF"/>
          <w:vertAlign w:val="superscript"/>
        </w:rPr>
        <w:t>4</w:t>
      </w:r>
      <w:r w:rsidR="00054011">
        <w:rPr>
          <w:color w:val="000000"/>
          <w:sz w:val="24"/>
          <w:szCs w:val="24"/>
          <w:shd w:val="clear" w:color="auto" w:fill="FFFFFF"/>
        </w:rPr>
        <w:t>;</w:t>
      </w:r>
      <w:r w:rsidR="00923ED9">
        <w:rPr>
          <w:color w:val="000000"/>
          <w:sz w:val="24"/>
          <w:szCs w:val="24"/>
          <w:shd w:val="clear" w:color="auto" w:fill="FFFFFF"/>
        </w:rPr>
        <w:t xml:space="preserve"> Sara Sebast</w:t>
      </w:r>
      <w:r w:rsidR="00297640">
        <w:rPr>
          <w:color w:val="000000"/>
          <w:sz w:val="24"/>
          <w:szCs w:val="24"/>
          <w:shd w:val="clear" w:color="auto" w:fill="FFFFFF"/>
        </w:rPr>
        <w:t>iana Nogueira</w:t>
      </w:r>
      <w:r w:rsidR="00297640" w:rsidRPr="00297640">
        <w:rPr>
          <w:color w:val="000000"/>
          <w:sz w:val="24"/>
          <w:szCs w:val="24"/>
          <w:shd w:val="clear" w:color="auto" w:fill="FFFFFF"/>
          <w:vertAlign w:val="superscript"/>
        </w:rPr>
        <w:t>5</w:t>
      </w:r>
      <w:r w:rsidR="00297640">
        <w:rPr>
          <w:color w:val="000000"/>
          <w:sz w:val="24"/>
          <w:szCs w:val="24"/>
          <w:shd w:val="clear" w:color="auto" w:fill="FFFFFF"/>
        </w:rPr>
        <w:t>;</w:t>
      </w:r>
      <w:r w:rsidR="00054011">
        <w:rPr>
          <w:color w:val="000000"/>
          <w:sz w:val="24"/>
          <w:szCs w:val="24"/>
          <w:shd w:val="clear" w:color="auto" w:fill="FFFFFF"/>
        </w:rPr>
        <w:t xml:space="preserve"> </w:t>
      </w:r>
      <w:r w:rsidR="00DC3E6B" w:rsidRPr="003D6408">
        <w:rPr>
          <w:sz w:val="24"/>
          <w:szCs w:val="24"/>
        </w:rPr>
        <w:t>Luiz</w:t>
      </w:r>
      <w:r w:rsidR="00DC3E6B" w:rsidRPr="00DC3E6B">
        <w:rPr>
          <w:sz w:val="24"/>
          <w:szCs w:val="24"/>
        </w:rPr>
        <w:t xml:space="preserve"> </w:t>
      </w:r>
      <w:r w:rsidR="00DC3E6B">
        <w:rPr>
          <w:sz w:val="24"/>
          <w:szCs w:val="24"/>
        </w:rPr>
        <w:t>F</w:t>
      </w:r>
      <w:r w:rsidR="00DC3E6B" w:rsidRPr="00DC3E6B">
        <w:rPr>
          <w:sz w:val="24"/>
          <w:szCs w:val="24"/>
        </w:rPr>
        <w:t xml:space="preserve">ernandes </w:t>
      </w:r>
      <w:r w:rsidR="00DC3E6B">
        <w:rPr>
          <w:sz w:val="24"/>
          <w:szCs w:val="24"/>
        </w:rPr>
        <w:t>S</w:t>
      </w:r>
      <w:r w:rsidR="00DC3E6B" w:rsidRPr="00DC3E6B">
        <w:rPr>
          <w:sz w:val="24"/>
          <w:szCs w:val="24"/>
        </w:rPr>
        <w:t xml:space="preserve">ilva </w:t>
      </w:r>
      <w:r w:rsidR="00DC3E6B">
        <w:rPr>
          <w:sz w:val="24"/>
          <w:szCs w:val="24"/>
        </w:rPr>
        <w:t>D</w:t>
      </w:r>
      <w:r w:rsidR="00DC3E6B" w:rsidRPr="00DC3E6B">
        <w:rPr>
          <w:sz w:val="24"/>
          <w:szCs w:val="24"/>
        </w:rPr>
        <w:t>ionisio</w:t>
      </w:r>
      <w:r w:rsidR="00297640" w:rsidRPr="00297640">
        <w:rPr>
          <w:sz w:val="24"/>
          <w:szCs w:val="24"/>
          <w:vertAlign w:val="superscript"/>
        </w:rPr>
        <w:t>6</w:t>
      </w:r>
    </w:p>
    <w:p w14:paraId="488A52A5" w14:textId="77777777" w:rsidR="003949CE" w:rsidRDefault="003949CE" w:rsidP="00297640">
      <w:pPr>
        <w:shd w:val="clear" w:color="auto" w:fill="FFFFFF"/>
        <w:tabs>
          <w:tab w:val="left" w:pos="2500"/>
        </w:tabs>
        <w:jc w:val="center"/>
        <w:rPr>
          <w:b/>
          <w:color w:val="FF0000"/>
          <w:sz w:val="24"/>
          <w:szCs w:val="24"/>
        </w:rPr>
      </w:pPr>
    </w:p>
    <w:p w14:paraId="7D915DB4" w14:textId="1C3FC349" w:rsidR="003949CE" w:rsidRDefault="003949CE" w:rsidP="00297640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 w:rsidR="00817E36">
        <w:rPr>
          <w:sz w:val="24"/>
          <w:szCs w:val="24"/>
        </w:rPr>
        <w:t>Doutoranda em Ciências Florestais</w:t>
      </w:r>
      <w:r w:rsidR="00A5324B">
        <w:rPr>
          <w:sz w:val="24"/>
          <w:szCs w:val="24"/>
        </w:rPr>
        <w:t xml:space="preserve">. Instituto de Ciências Agrárias, Universidade Federal </w:t>
      </w:r>
      <w:r w:rsidR="00297640">
        <w:rPr>
          <w:sz w:val="24"/>
          <w:szCs w:val="24"/>
        </w:rPr>
        <w:t xml:space="preserve"> Rural </w:t>
      </w:r>
      <w:r w:rsidR="00A5324B">
        <w:rPr>
          <w:sz w:val="24"/>
          <w:szCs w:val="24"/>
        </w:rPr>
        <w:t xml:space="preserve">da Amazônia. </w:t>
      </w:r>
      <w:r w:rsidR="00D64429">
        <w:rPr>
          <w:sz w:val="24"/>
          <w:szCs w:val="24"/>
        </w:rPr>
        <w:t>daizaalves0@gmail.com</w:t>
      </w:r>
      <w:r>
        <w:rPr>
          <w:sz w:val="24"/>
          <w:szCs w:val="24"/>
        </w:rPr>
        <w:t>.</w:t>
      </w:r>
    </w:p>
    <w:p w14:paraId="31256D17" w14:textId="6F5A30B6" w:rsidR="003949CE" w:rsidRDefault="003949CE" w:rsidP="00297640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 w:rsidR="00DC3E6B">
        <w:rPr>
          <w:sz w:val="24"/>
          <w:szCs w:val="24"/>
        </w:rPr>
        <w:t xml:space="preserve">Mestranda em Ciências Florestais. Instituto de Ciências Agrárias, Universidade Federal </w:t>
      </w:r>
      <w:r w:rsidR="00297640">
        <w:rPr>
          <w:sz w:val="24"/>
          <w:szCs w:val="24"/>
        </w:rPr>
        <w:t xml:space="preserve">Rural </w:t>
      </w:r>
      <w:r w:rsidR="00DC3E6B">
        <w:rPr>
          <w:sz w:val="24"/>
          <w:szCs w:val="24"/>
        </w:rPr>
        <w:t>da Amazônia.</w:t>
      </w:r>
    </w:p>
    <w:p w14:paraId="7FE53628" w14:textId="241F6816" w:rsidR="00054011" w:rsidRDefault="00054011" w:rsidP="00297640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3 </w:t>
      </w:r>
      <w:r>
        <w:rPr>
          <w:sz w:val="24"/>
          <w:szCs w:val="24"/>
        </w:rPr>
        <w:t xml:space="preserve">Mestrando em Ciências Florestais. Instituto de Ciências Agrárias, Universidade Federal </w:t>
      </w:r>
      <w:r w:rsidR="00297640">
        <w:rPr>
          <w:sz w:val="24"/>
          <w:szCs w:val="24"/>
        </w:rPr>
        <w:t xml:space="preserve">Rural </w:t>
      </w:r>
      <w:r>
        <w:rPr>
          <w:sz w:val="24"/>
          <w:szCs w:val="24"/>
        </w:rPr>
        <w:t>da Amazônia.</w:t>
      </w:r>
    </w:p>
    <w:p w14:paraId="4F9A01F5" w14:textId="650ED1C8" w:rsidR="00054011" w:rsidRDefault="00054011" w:rsidP="00297640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4 </w:t>
      </w:r>
      <w:r>
        <w:rPr>
          <w:sz w:val="24"/>
          <w:szCs w:val="24"/>
        </w:rPr>
        <w:t xml:space="preserve">Mestranda em Ciências Florestais. Instituto de Ciências Agrárias, Universidade Federal </w:t>
      </w:r>
      <w:r w:rsidR="00EA3423">
        <w:rPr>
          <w:sz w:val="24"/>
          <w:szCs w:val="24"/>
        </w:rPr>
        <w:t>Rural da Amazônia.</w:t>
      </w:r>
    </w:p>
    <w:p w14:paraId="5C3022B6" w14:textId="74B93707" w:rsidR="00297640" w:rsidRDefault="00297640" w:rsidP="00297640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5 </w:t>
      </w:r>
      <w:r>
        <w:rPr>
          <w:sz w:val="24"/>
          <w:szCs w:val="24"/>
        </w:rPr>
        <w:t xml:space="preserve">Doutoranda em Ciências Florestais. </w:t>
      </w:r>
      <w:r w:rsidR="005A4991">
        <w:rPr>
          <w:sz w:val="24"/>
          <w:szCs w:val="24"/>
        </w:rPr>
        <w:t xml:space="preserve">Departamento de Ciência Florestal, </w:t>
      </w:r>
      <w:r>
        <w:rPr>
          <w:sz w:val="24"/>
          <w:szCs w:val="24"/>
        </w:rPr>
        <w:t xml:space="preserve">Universidade Federal </w:t>
      </w:r>
      <w:r w:rsidR="00EA3423">
        <w:rPr>
          <w:sz w:val="24"/>
          <w:szCs w:val="24"/>
        </w:rPr>
        <w:t>Rural de Pernambuco</w:t>
      </w:r>
      <w:r>
        <w:rPr>
          <w:sz w:val="24"/>
          <w:szCs w:val="24"/>
        </w:rPr>
        <w:t>.</w:t>
      </w:r>
    </w:p>
    <w:p w14:paraId="1C946AB7" w14:textId="49E34E94" w:rsidR="00DC3E6B" w:rsidRDefault="00297640" w:rsidP="00297640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6</w:t>
      </w:r>
      <w:r w:rsidR="00DC3E6B">
        <w:rPr>
          <w:sz w:val="24"/>
          <w:szCs w:val="24"/>
        </w:rPr>
        <w:t xml:space="preserve">Doutor em Ciências Florestais. Universidade </w:t>
      </w:r>
      <w:r w:rsidR="00DD6D36">
        <w:rPr>
          <w:sz w:val="24"/>
          <w:szCs w:val="24"/>
        </w:rPr>
        <w:t xml:space="preserve">do </w:t>
      </w:r>
      <w:r w:rsidR="00DC3E6B">
        <w:rPr>
          <w:sz w:val="24"/>
          <w:szCs w:val="24"/>
        </w:rPr>
        <w:t>Estad</w:t>
      </w:r>
      <w:r w:rsidR="00DD6D36">
        <w:rPr>
          <w:sz w:val="24"/>
          <w:szCs w:val="24"/>
        </w:rPr>
        <w:t>o</w:t>
      </w:r>
      <w:r w:rsidR="00DC3E6B">
        <w:rPr>
          <w:sz w:val="24"/>
          <w:szCs w:val="24"/>
        </w:rPr>
        <w:t xml:space="preserve"> do Pará.</w:t>
      </w:r>
    </w:p>
    <w:p w14:paraId="6562E980" w14:textId="77777777" w:rsidR="003949CE" w:rsidRDefault="003949CE" w:rsidP="003949CE">
      <w:pPr>
        <w:keepLines/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jc w:val="center"/>
        <w:rPr>
          <w:sz w:val="24"/>
          <w:szCs w:val="24"/>
        </w:rPr>
      </w:pPr>
    </w:p>
    <w:p w14:paraId="1EA4B476" w14:textId="77777777" w:rsidR="003949CE" w:rsidRPr="003E0E46" w:rsidRDefault="003949CE" w:rsidP="003949CE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 w:rsidRPr="003E0E46">
        <w:rPr>
          <w:b/>
          <w:sz w:val="24"/>
          <w:szCs w:val="24"/>
        </w:rPr>
        <w:t>RESUMO</w:t>
      </w:r>
    </w:p>
    <w:p w14:paraId="0F3FFB53" w14:textId="229AD58B" w:rsidR="002B6003" w:rsidRDefault="002B6003" w:rsidP="003949CE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 w:rsidRPr="002B6003">
        <w:rPr>
          <w:sz w:val="24"/>
          <w:szCs w:val="24"/>
        </w:rPr>
        <w:t>Este estudo tem como objetivo analisar a dinâmica espaço-temporal dos focos de calor no município de São Félix do Xingu, no estado do Pará, nos anos de 2020, 2024 e 2025, investigando a relação entre os focos de calor, os fatores climáticos, como a precipitação pluviométrica, e a pressão antrópica, especialmente a expansão agropecuária e o desmatamento ilegal. A justificativa para o estudo se baseia na crescente ocorrência de queimadas na Amazônia, que impactam o meio ambiente e a saúde pública. Foram utilizados dados de focos de calor do satélite AQUA_M-T, processados no software QGIS, com a aplicação da Estimativa de Densidade Kernel (EDK) para identificar as áreas de maior concentração. Os resultados mostraram que, em 2020, a maior parte dos focos de calor ocorreu nos meses de agosto e setembro devido à seca. Em 2024, houve uma redução na densidade de focos, e em 2025, os focos se concentraram de forma mais localizada, sugerindo avanços nas estratégias de monitoramento e controle das queimadas</w:t>
      </w:r>
      <w:r w:rsidR="00685CC4">
        <w:rPr>
          <w:sz w:val="24"/>
          <w:szCs w:val="24"/>
        </w:rPr>
        <w:t>.</w:t>
      </w:r>
      <w:r w:rsidRPr="002B6003">
        <w:rPr>
          <w:sz w:val="24"/>
          <w:szCs w:val="24"/>
        </w:rPr>
        <w:t xml:space="preserve"> A análise evidenciou a forte relação entre a ocorrência das queimadas e o período de seca, com agosto e setembro sendo os meses de maior concentração de focos de calor, especialmente devido à diminuição das precipitações pluviométricas. Conclui-se que, embora os esforços de controle tenham gerado resultados positivos em 2024 e 2025, a expansão agropecuária e o desmatamento ilegal continuam a ser desafios persistentes, exigindo políticas públicas mais eficazes para mitigar as queimadas e proteger as áreas vulneráveis da Amazônia.</w:t>
      </w:r>
    </w:p>
    <w:p w14:paraId="6F62046F" w14:textId="77777777" w:rsidR="005749E0" w:rsidRPr="002B6003" w:rsidRDefault="005749E0" w:rsidP="003949CE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</w:p>
    <w:p w14:paraId="237C6DB6" w14:textId="25E20EB3" w:rsidR="00550E6C" w:rsidRPr="00DD6D36" w:rsidRDefault="003949CE" w:rsidP="006E3F6B">
      <w:pPr>
        <w:shd w:val="clear" w:color="auto" w:fill="FFFFFF"/>
        <w:tabs>
          <w:tab w:val="left" w:pos="2500"/>
        </w:tabs>
        <w:jc w:val="both"/>
        <w:rPr>
          <w:lang w:val="pt-BR"/>
        </w:rPr>
      </w:pPr>
      <w:r>
        <w:rPr>
          <w:b/>
          <w:sz w:val="24"/>
          <w:szCs w:val="24"/>
        </w:rPr>
        <w:t>Palavras-chave:</w:t>
      </w:r>
      <w:r w:rsidR="00550E6C" w:rsidRPr="00550E6C">
        <w:rPr>
          <w:b/>
          <w:lang w:val="pt-BR"/>
        </w:rPr>
        <w:t xml:space="preserve"> </w:t>
      </w:r>
      <w:r w:rsidR="00550E6C" w:rsidRPr="00B12A37">
        <w:rPr>
          <w:sz w:val="24"/>
          <w:szCs w:val="24"/>
          <w:lang w:val="pt-BR"/>
        </w:rPr>
        <w:t xml:space="preserve"> Densidade Kernel. </w:t>
      </w:r>
      <w:r w:rsidR="00315121" w:rsidRPr="00B12A37">
        <w:rPr>
          <w:sz w:val="24"/>
          <w:szCs w:val="24"/>
        </w:rPr>
        <w:t>Monitoramento Ambiental.</w:t>
      </w:r>
      <w:r w:rsidR="00DD6D36">
        <w:rPr>
          <w:sz w:val="24"/>
          <w:szCs w:val="24"/>
        </w:rPr>
        <w:t xml:space="preserve"> Incêndios Florestais.</w:t>
      </w:r>
    </w:p>
    <w:p w14:paraId="71340687" w14:textId="77777777" w:rsidR="003949CE" w:rsidRDefault="003949CE" w:rsidP="007B775B">
      <w:pPr>
        <w:shd w:val="clear" w:color="auto" w:fill="FFFFFF"/>
        <w:tabs>
          <w:tab w:val="left" w:pos="2500"/>
        </w:tabs>
        <w:rPr>
          <w:sz w:val="24"/>
          <w:szCs w:val="24"/>
        </w:rPr>
      </w:pPr>
    </w:p>
    <w:p w14:paraId="278DBA84" w14:textId="426CB2B6" w:rsidR="003949CE" w:rsidRDefault="003949CE" w:rsidP="002258C2">
      <w:pPr>
        <w:shd w:val="clear" w:color="auto" w:fill="FFFFFF"/>
        <w:tabs>
          <w:tab w:val="left" w:pos="250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Área de Interesse do Simpósio</w:t>
      </w:r>
      <w:r>
        <w:rPr>
          <w:sz w:val="24"/>
          <w:szCs w:val="24"/>
        </w:rPr>
        <w:t>:</w:t>
      </w:r>
      <w:r w:rsidR="000436E8">
        <w:rPr>
          <w:sz w:val="24"/>
          <w:szCs w:val="24"/>
        </w:rPr>
        <w:t xml:space="preserve"> </w:t>
      </w:r>
      <w:r w:rsidR="00F52ED6" w:rsidRPr="00F52ED6">
        <w:rPr>
          <w:sz w:val="24"/>
          <w:szCs w:val="24"/>
        </w:rPr>
        <w:t>Metodologias, geotecnologias, estatística, e divulgação (popularização da ciência</w:t>
      </w:r>
      <w:r w:rsidR="00EA51E0">
        <w:rPr>
          <w:sz w:val="24"/>
          <w:szCs w:val="24"/>
        </w:rPr>
        <w:t>)</w:t>
      </w:r>
      <w:r w:rsidR="00F52ED6" w:rsidRPr="00F52ED6">
        <w:rPr>
          <w:sz w:val="24"/>
          <w:szCs w:val="24"/>
        </w:rPr>
        <w:t>.</w:t>
      </w:r>
    </w:p>
    <w:p w14:paraId="03392E40" w14:textId="510400EB" w:rsidR="003949CE" w:rsidRDefault="003949CE" w:rsidP="003949CE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sz w:val="24"/>
          <w:szCs w:val="24"/>
        </w:rPr>
      </w:pPr>
      <w:r>
        <w:br w:type="page"/>
      </w:r>
    </w:p>
    <w:p w14:paraId="0E5E3F30" w14:textId="5BF0963A" w:rsidR="003949CE" w:rsidRPr="00D64429" w:rsidRDefault="003949CE" w:rsidP="00D64429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1. INTRODUÇÃO </w:t>
      </w:r>
    </w:p>
    <w:p w14:paraId="5CB185BA" w14:textId="40BC700B" w:rsidR="00C121D8" w:rsidRPr="00C121D8" w:rsidRDefault="00C121D8" w:rsidP="00C121D8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bCs/>
          <w:sz w:val="24"/>
          <w:szCs w:val="24"/>
          <w:lang w:val="pt-BR"/>
        </w:rPr>
      </w:pPr>
      <w:r w:rsidRPr="00C121D8">
        <w:rPr>
          <w:bCs/>
          <w:sz w:val="24"/>
          <w:szCs w:val="24"/>
          <w:lang w:val="pt-BR"/>
        </w:rPr>
        <w:t>O fogo se manifesta em três formas principais: focos de calor, queimadas e incêndios florestais, cada uma com características e impactos distintos</w:t>
      </w:r>
      <w:r w:rsidR="00DD54C5">
        <w:rPr>
          <w:bCs/>
          <w:sz w:val="24"/>
          <w:szCs w:val="24"/>
          <w:lang w:val="pt-BR"/>
        </w:rPr>
        <w:t xml:space="preserve">. </w:t>
      </w:r>
      <w:r w:rsidRPr="00C121D8">
        <w:rPr>
          <w:bCs/>
          <w:sz w:val="24"/>
          <w:szCs w:val="24"/>
          <w:lang w:val="pt-BR"/>
        </w:rPr>
        <w:t>Os focos de calor referem-se a áreas com temperaturas elevadas detectadas por sensores, geralmente associadas à presença de fogo, seja ele em estágios iniciais ou de baixa intensidade, contribuindo para o desmatamento</w:t>
      </w:r>
      <w:r w:rsidR="00DD54C5">
        <w:rPr>
          <w:bCs/>
          <w:sz w:val="24"/>
          <w:szCs w:val="24"/>
          <w:lang w:val="pt-BR"/>
        </w:rPr>
        <w:t xml:space="preserve"> </w:t>
      </w:r>
      <w:r w:rsidR="00DD54C5" w:rsidRPr="00C121D8">
        <w:rPr>
          <w:bCs/>
          <w:sz w:val="24"/>
          <w:szCs w:val="24"/>
          <w:lang w:val="pt-BR"/>
        </w:rPr>
        <w:t>(Sabino et al., 202</w:t>
      </w:r>
      <w:r w:rsidR="005654C2">
        <w:rPr>
          <w:bCs/>
          <w:sz w:val="24"/>
          <w:szCs w:val="24"/>
          <w:lang w:val="pt-BR"/>
        </w:rPr>
        <w:t>3)</w:t>
      </w:r>
      <w:r w:rsidR="00DD54C5" w:rsidRPr="00C121D8">
        <w:rPr>
          <w:bCs/>
          <w:sz w:val="24"/>
          <w:szCs w:val="24"/>
          <w:lang w:val="pt-BR"/>
        </w:rPr>
        <w:t>.</w:t>
      </w:r>
    </w:p>
    <w:p w14:paraId="362812C8" w14:textId="685346ED" w:rsidR="005902EE" w:rsidRDefault="00C121D8" w:rsidP="007963EC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bCs/>
          <w:sz w:val="24"/>
          <w:szCs w:val="24"/>
        </w:rPr>
      </w:pPr>
      <w:r w:rsidRPr="00C121D8">
        <w:rPr>
          <w:bCs/>
          <w:sz w:val="24"/>
          <w:szCs w:val="24"/>
          <w:lang w:val="pt-BR"/>
        </w:rPr>
        <w:t>O Sudeste do Pará, inserido no arco do desmatamento, apresenta uma vasta área degradada, sendo que os maiores remanescentes de vegetação nativa estão preservados principalmente nas Unidades de Conservação e Terras Indígenas (</w:t>
      </w:r>
      <w:proofErr w:type="spellStart"/>
      <w:r w:rsidRPr="00C121D8">
        <w:rPr>
          <w:bCs/>
          <w:sz w:val="24"/>
          <w:szCs w:val="24"/>
          <w:lang w:val="pt-BR"/>
        </w:rPr>
        <w:t>Tomchinsky</w:t>
      </w:r>
      <w:proofErr w:type="spellEnd"/>
      <w:r w:rsidRPr="00C121D8">
        <w:rPr>
          <w:bCs/>
          <w:sz w:val="24"/>
          <w:szCs w:val="24"/>
          <w:lang w:val="pt-BR"/>
        </w:rPr>
        <w:t xml:space="preserve">; Souza, 2025). Um dos municípios dessa região é São Félix do Xingu, que, inserido na zona de expansão do agronegócio na Amazônia, </w:t>
      </w:r>
      <w:r w:rsidR="00003F4F" w:rsidRPr="00003F4F">
        <w:rPr>
          <w:bCs/>
          <w:sz w:val="24"/>
          <w:szCs w:val="24"/>
        </w:rPr>
        <w:t>enfrenta problema</w:t>
      </w:r>
      <w:r w:rsidR="00CB0CC5">
        <w:rPr>
          <w:bCs/>
          <w:sz w:val="24"/>
          <w:szCs w:val="24"/>
        </w:rPr>
        <w:t>s</w:t>
      </w:r>
      <w:r w:rsidR="00003F4F" w:rsidRPr="00003F4F">
        <w:rPr>
          <w:bCs/>
          <w:sz w:val="24"/>
          <w:szCs w:val="24"/>
        </w:rPr>
        <w:t xml:space="preserve"> com a crescente presença de focos de calor, em grande parte causados pela </w:t>
      </w:r>
      <w:r w:rsidR="00DD6D36">
        <w:rPr>
          <w:bCs/>
          <w:sz w:val="24"/>
          <w:szCs w:val="24"/>
        </w:rPr>
        <w:t>limpeza de pastage</w:t>
      </w:r>
      <w:r w:rsidR="00581012">
        <w:rPr>
          <w:bCs/>
          <w:sz w:val="24"/>
          <w:szCs w:val="24"/>
        </w:rPr>
        <w:t>n</w:t>
      </w:r>
      <w:r w:rsidR="00DD6D36">
        <w:rPr>
          <w:bCs/>
          <w:sz w:val="24"/>
          <w:szCs w:val="24"/>
        </w:rPr>
        <w:t xml:space="preserve">s para criação </w:t>
      </w:r>
      <w:r w:rsidR="00003F4F" w:rsidRPr="00003F4F">
        <w:rPr>
          <w:bCs/>
          <w:sz w:val="24"/>
          <w:szCs w:val="24"/>
        </w:rPr>
        <w:t xml:space="preserve">de gado e práticas associadas </w:t>
      </w:r>
      <w:r w:rsidR="00DD6D36">
        <w:rPr>
          <w:bCs/>
          <w:sz w:val="24"/>
          <w:szCs w:val="24"/>
        </w:rPr>
        <w:t>a agricultura de corte e queima</w:t>
      </w:r>
      <w:r w:rsidR="00003F4F" w:rsidRPr="00003F4F">
        <w:rPr>
          <w:bCs/>
          <w:sz w:val="24"/>
          <w:szCs w:val="24"/>
        </w:rPr>
        <w:t>.</w:t>
      </w:r>
    </w:p>
    <w:p w14:paraId="39043397" w14:textId="5D0E9969" w:rsidR="00AA7B36" w:rsidRDefault="00003F4F" w:rsidP="007963EC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bCs/>
          <w:sz w:val="24"/>
          <w:szCs w:val="24"/>
          <w:lang w:val="pt-BR"/>
        </w:rPr>
      </w:pPr>
      <w:r w:rsidRPr="00003F4F">
        <w:rPr>
          <w:bCs/>
          <w:sz w:val="24"/>
          <w:szCs w:val="24"/>
        </w:rPr>
        <w:t xml:space="preserve"> </w:t>
      </w:r>
      <w:r w:rsidR="00485B34" w:rsidRPr="00485B34">
        <w:rPr>
          <w:bCs/>
          <w:sz w:val="24"/>
          <w:szCs w:val="24"/>
          <w:lang w:val="pt-BR"/>
        </w:rPr>
        <w:t>São Félix do Xingu possui o maior rebanho bovino do Brasil, com cerca de 2,5 milhões de cabeças em 2024, o que equivale a aproximadamente 38 bois por habitante. A pecuária bovina é responsável por mais de 40% da economia municipal, conforme dados do IBGE referentes aos anos de 2010 e 2020</w:t>
      </w:r>
      <w:r w:rsidR="00485B34">
        <w:rPr>
          <w:bCs/>
          <w:sz w:val="24"/>
          <w:szCs w:val="24"/>
          <w:lang w:val="pt-BR"/>
        </w:rPr>
        <w:t xml:space="preserve"> (IBGE, 2024)</w:t>
      </w:r>
      <w:r w:rsidR="00485B34" w:rsidRPr="00485B34">
        <w:rPr>
          <w:bCs/>
          <w:sz w:val="24"/>
          <w:szCs w:val="24"/>
          <w:lang w:val="pt-BR"/>
        </w:rPr>
        <w:t>. Essa atividade pecuária está diretamente associada à ocorrência de focos de incêndio na região, já que a expansão e a manutenção de pastagens frequentemente envolvem o uso do fogo como prática de manejo da terra.</w:t>
      </w:r>
    </w:p>
    <w:p w14:paraId="75BDF76D" w14:textId="1A74FBCC" w:rsidR="00164ECA" w:rsidRDefault="00B02E58" w:rsidP="007963EC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bCs/>
          <w:sz w:val="24"/>
          <w:szCs w:val="24"/>
          <w:lang w:val="pt-BR"/>
        </w:rPr>
      </w:pPr>
      <w:r w:rsidRPr="00B02E58">
        <w:rPr>
          <w:bCs/>
          <w:sz w:val="24"/>
          <w:szCs w:val="24"/>
        </w:rPr>
        <w:t>São Félix do Xingu apresentou um dos mais elevados números de focos de calor no Brasil, com 7.356 registros</w:t>
      </w:r>
      <w:r w:rsidR="005654C2">
        <w:rPr>
          <w:bCs/>
          <w:sz w:val="24"/>
          <w:szCs w:val="24"/>
        </w:rPr>
        <w:t xml:space="preserve"> em 2024</w:t>
      </w:r>
      <w:r w:rsidRPr="00B02E58">
        <w:rPr>
          <w:bCs/>
          <w:sz w:val="24"/>
          <w:szCs w:val="24"/>
        </w:rPr>
        <w:t>, ocupando a primeira posição no ranking nacional de municípios com maior ocorrência de incêndios, conforme dados do programa BD Queimadas do Instituto Nacional de Pesquisas Espaciais (INPE).</w:t>
      </w:r>
      <w:r>
        <w:rPr>
          <w:bCs/>
          <w:sz w:val="24"/>
          <w:szCs w:val="24"/>
        </w:rPr>
        <w:t xml:space="preserve"> </w:t>
      </w:r>
      <w:r w:rsidR="00F11795" w:rsidRPr="00F11795">
        <w:rPr>
          <w:bCs/>
          <w:sz w:val="24"/>
          <w:szCs w:val="24"/>
        </w:rPr>
        <w:t>As informações do sistema mostram que, ao longo dos últimos anos, o número de focos de calor vem crescendo de forma contínua, refletindo a intensificação das atividades agropecuárias e o avanço do desmatamento na região.</w:t>
      </w:r>
    </w:p>
    <w:p w14:paraId="0ED8DCE2" w14:textId="09205908" w:rsidR="003949CE" w:rsidRDefault="00C00E87" w:rsidP="007963EC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bCs/>
          <w:sz w:val="24"/>
          <w:szCs w:val="24"/>
        </w:rPr>
      </w:pPr>
      <w:r w:rsidRPr="00C00E87">
        <w:rPr>
          <w:bCs/>
          <w:sz w:val="24"/>
          <w:szCs w:val="24"/>
        </w:rPr>
        <w:t xml:space="preserve">O objetivo deste estudo foi analisar a dinâmica espaço-temporal dos focos de calor no município de São Félix do Xingu, localizado no estado do Pará, nos anos de 2020, 2024 e 2025. O trabalho buscou compreender a distribuição temporal e espacial dos focos de calor e a evolução da intensidade das queimadas, utilizando dados de satélites (sensor MODIS) e a estimativa de densidade kernel (EDK) para identificar as áreas com maior concentração de </w:t>
      </w:r>
      <w:r w:rsidRPr="00C00E87">
        <w:rPr>
          <w:bCs/>
          <w:sz w:val="24"/>
          <w:szCs w:val="24"/>
        </w:rPr>
        <w:lastRenderedPageBreak/>
        <w:t>queimadas.</w:t>
      </w:r>
    </w:p>
    <w:p w14:paraId="120B0E16" w14:textId="77777777" w:rsidR="00C31BEB" w:rsidRDefault="00C31BEB" w:rsidP="00390241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bCs/>
          <w:sz w:val="24"/>
          <w:szCs w:val="24"/>
        </w:rPr>
      </w:pPr>
    </w:p>
    <w:p w14:paraId="1974E27B" w14:textId="14F1A995" w:rsidR="00D64429" w:rsidRDefault="003949CE" w:rsidP="00D64429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2. MATERIAL E MÉTODOS </w:t>
      </w:r>
    </w:p>
    <w:p w14:paraId="59BFBA2A" w14:textId="77777777" w:rsidR="003B0E17" w:rsidRDefault="00154149" w:rsidP="003B0E17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color w:val="FF0000"/>
          <w:sz w:val="24"/>
          <w:szCs w:val="24"/>
        </w:rPr>
      </w:pPr>
      <w:r w:rsidRPr="00C22137">
        <w:rPr>
          <w:sz w:val="24"/>
          <w:szCs w:val="24"/>
        </w:rPr>
        <w:t xml:space="preserve">O estudo foi realizado </w:t>
      </w:r>
      <w:r w:rsidR="001875C2">
        <w:rPr>
          <w:sz w:val="24"/>
          <w:szCs w:val="24"/>
        </w:rPr>
        <w:t xml:space="preserve">no município de </w:t>
      </w:r>
      <w:r w:rsidRPr="00C22137">
        <w:rPr>
          <w:sz w:val="24"/>
          <w:szCs w:val="24"/>
        </w:rPr>
        <w:t>São Félix do Xingu, localizado na região Sudeste do estado do Pará. O município pertence à região intermediária de Redenção e à região imediata de Tucumã–São Félix do Xingu, integrando a mesorregião do Sudeste Paraense. Possui área territorial de aproximadamente 84.212,903 km² e coordenadas geográficas centrais de 6°38’42’’ S e 51°59’42’’ W</w:t>
      </w:r>
      <w:r w:rsidR="001875C2">
        <w:rPr>
          <w:sz w:val="24"/>
          <w:szCs w:val="24"/>
        </w:rPr>
        <w:t xml:space="preserve"> (Figura 1)</w:t>
      </w:r>
      <w:r w:rsidRPr="00C22137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C22137">
        <w:rPr>
          <w:sz w:val="24"/>
          <w:szCs w:val="24"/>
        </w:rPr>
        <w:t>De acordo com Censo do IBGE (2022), sua população é de 65.418 habitantes</w:t>
      </w:r>
      <w:r>
        <w:rPr>
          <w:sz w:val="24"/>
          <w:szCs w:val="24"/>
        </w:rPr>
        <w:t>.</w:t>
      </w:r>
    </w:p>
    <w:p w14:paraId="0B949856" w14:textId="3C9FCE72" w:rsidR="00154149" w:rsidRPr="003B0E17" w:rsidRDefault="00154149" w:rsidP="003B0E17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color w:val="FF0000"/>
          <w:sz w:val="24"/>
          <w:szCs w:val="24"/>
        </w:rPr>
      </w:pPr>
      <w:r w:rsidRPr="00154149">
        <w:t>Figura 1</w:t>
      </w:r>
      <w:r>
        <w:t>-</w:t>
      </w:r>
      <w:r w:rsidRPr="00154149">
        <w:t xml:space="preserve"> Mapa de localização do município de São Félix do Xingu, Pará, e das principais unidades de conservação</w:t>
      </w:r>
      <w:r w:rsidR="005654C2">
        <w:t xml:space="preserve"> federais</w:t>
      </w:r>
      <w:r w:rsidRPr="00154149">
        <w:t xml:space="preserve"> em seu entorno.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5"/>
      </w:tblGrid>
      <w:tr w:rsidR="00154149" w14:paraId="76305CC5" w14:textId="77777777" w:rsidTr="001713D8">
        <w:trPr>
          <w:trHeight w:val="5669"/>
        </w:trPr>
        <w:tc>
          <w:tcPr>
            <w:tcW w:w="9071" w:type="dxa"/>
          </w:tcPr>
          <w:p w14:paraId="5EA4DFF3" w14:textId="3D912DA9" w:rsidR="00154149" w:rsidRDefault="00DC535F" w:rsidP="001713D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59174A1" wp14:editId="330D1A48">
                  <wp:extent cx="5732097" cy="4053840"/>
                  <wp:effectExtent l="0" t="0" r="2540" b="3810"/>
                  <wp:docPr id="1408988301" name="Imagem 1" descr="Mapa&#10;&#10;O conteúdo gerado por IA pode estar incorre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988301" name="Imagem 1" descr="Mapa&#10;&#10;O conteúdo gerado por IA pode estar incorreto.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252" cy="4055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4149" w14:paraId="1B9179A9" w14:textId="77777777" w:rsidTr="001713D8">
        <w:tc>
          <w:tcPr>
            <w:tcW w:w="9071" w:type="dxa"/>
          </w:tcPr>
          <w:p w14:paraId="3863D632" w14:textId="15C4E445" w:rsidR="00154149" w:rsidRPr="00154149" w:rsidRDefault="00154149" w:rsidP="00F34471">
            <w:pPr>
              <w:jc w:val="both"/>
              <w:rPr>
                <w:noProof/>
              </w:rPr>
            </w:pPr>
            <w:r w:rsidRPr="00154149">
              <w:rPr>
                <w:noProof/>
              </w:rPr>
              <w:t>Fonte: Autores</w:t>
            </w:r>
            <w:r w:rsidR="004B06DB">
              <w:rPr>
                <w:noProof/>
              </w:rPr>
              <w:t>.</w:t>
            </w:r>
            <w:r w:rsidRPr="00154149">
              <w:rPr>
                <w:noProof/>
              </w:rPr>
              <w:t xml:space="preserve">2025, com base em dados do IBGE (2022) e </w:t>
            </w:r>
            <w:r w:rsidR="005654C2">
              <w:rPr>
                <w:noProof/>
              </w:rPr>
              <w:t>ANA</w:t>
            </w:r>
            <w:r w:rsidRPr="00154149">
              <w:rPr>
                <w:noProof/>
              </w:rPr>
              <w:t>/SNIRH (20</w:t>
            </w:r>
            <w:r w:rsidR="00E765B7">
              <w:rPr>
                <w:noProof/>
              </w:rPr>
              <w:t>19</w:t>
            </w:r>
            <w:r w:rsidRPr="00154149">
              <w:rPr>
                <w:noProof/>
              </w:rPr>
              <w:t>).</w:t>
            </w:r>
          </w:p>
          <w:p w14:paraId="691D13E7" w14:textId="77777777" w:rsidR="00154149" w:rsidRDefault="00154149" w:rsidP="00C32455">
            <w:pPr>
              <w:spacing w:line="360" w:lineRule="auto"/>
              <w:jc w:val="both"/>
              <w:rPr>
                <w:noProof/>
                <w:sz w:val="24"/>
                <w:szCs w:val="24"/>
              </w:rPr>
            </w:pPr>
          </w:p>
        </w:tc>
      </w:tr>
    </w:tbl>
    <w:p w14:paraId="36F4FBB9" w14:textId="77777777" w:rsidR="00154149" w:rsidRPr="00073764" w:rsidRDefault="00154149" w:rsidP="00154149">
      <w:pPr>
        <w:spacing w:line="360" w:lineRule="auto"/>
        <w:ind w:firstLine="709"/>
        <w:jc w:val="both"/>
        <w:rPr>
          <w:sz w:val="24"/>
          <w:szCs w:val="24"/>
        </w:rPr>
      </w:pPr>
      <w:r w:rsidRPr="00073764">
        <w:rPr>
          <w:sz w:val="24"/>
          <w:szCs w:val="24"/>
        </w:rPr>
        <w:t xml:space="preserve">Para a análise dos focos de calor, foram utilizados dados do satélite AQUA_M-T, sensor </w:t>
      </w:r>
      <w:r w:rsidRPr="00073764">
        <w:rPr>
          <w:sz w:val="24"/>
          <w:szCs w:val="24"/>
        </w:rPr>
        <w:lastRenderedPageBreak/>
        <w:t>MODIS, obtidos no Banco de Dados de Queimadas (BDQueimadas) do Instituto Nacional de Pesquisas Espaciais (INPE/Terrabrasilis), referentes aos períodos de 01/01/2020 a 31/12/2020, 01/01/2024 a 31/12/2024 e 01/01/2025 a 30/09/2025.</w:t>
      </w:r>
    </w:p>
    <w:p w14:paraId="3473EE6C" w14:textId="57BE4985" w:rsidR="00371DCA" w:rsidRDefault="00154149" w:rsidP="00C31BEB">
      <w:pPr>
        <w:spacing w:line="360" w:lineRule="auto"/>
        <w:ind w:firstLine="709"/>
        <w:jc w:val="both"/>
        <w:rPr>
          <w:sz w:val="24"/>
          <w:szCs w:val="24"/>
        </w:rPr>
      </w:pPr>
      <w:r w:rsidRPr="009A42C7">
        <w:rPr>
          <w:sz w:val="24"/>
          <w:szCs w:val="24"/>
        </w:rPr>
        <w:t>Os dados, em formato CSV, foram processados e convertidos em shapefile no software QGIS (versão 3.40.5), utilizando o sistema de referência SIRGAS 2000 / UTM Zona 22S. Para a representação espacial, foi aplicada a Estimativa de Densidade Kernel (EDK) com raio de 5 km, método que permite estimar a densidade de eventos pontuais e identificar áreas de maior concentração de focos de calor.</w:t>
      </w:r>
      <w:r w:rsidR="000D5E17">
        <w:rPr>
          <w:sz w:val="24"/>
          <w:szCs w:val="24"/>
        </w:rPr>
        <w:t xml:space="preserve"> </w:t>
      </w:r>
      <w:r w:rsidR="000D5E17" w:rsidRPr="00FB1901">
        <w:rPr>
          <w:sz w:val="24"/>
          <w:szCs w:val="24"/>
        </w:rPr>
        <w:t xml:space="preserve">A densidade dos focos de calor foi categorizada </w:t>
      </w:r>
      <w:r w:rsidR="001875C2">
        <w:rPr>
          <w:sz w:val="24"/>
          <w:szCs w:val="24"/>
        </w:rPr>
        <w:t>em</w:t>
      </w:r>
      <w:r w:rsidR="000D5E17" w:rsidRPr="00FB1901">
        <w:rPr>
          <w:sz w:val="24"/>
          <w:szCs w:val="24"/>
        </w:rPr>
        <w:t xml:space="preserve"> níveis de densidade</w:t>
      </w:r>
      <w:r w:rsidR="003B16F8">
        <w:rPr>
          <w:sz w:val="24"/>
          <w:szCs w:val="24"/>
        </w:rPr>
        <w:t xml:space="preserve"> </w:t>
      </w:r>
      <w:r w:rsidR="001875C2">
        <w:rPr>
          <w:sz w:val="24"/>
          <w:szCs w:val="24"/>
        </w:rPr>
        <w:t xml:space="preserve">de acordo com  a </w:t>
      </w:r>
      <w:r w:rsidR="000C662A">
        <w:rPr>
          <w:sz w:val="24"/>
          <w:szCs w:val="24"/>
        </w:rPr>
        <w:t>T</w:t>
      </w:r>
      <w:r w:rsidR="003B16F8">
        <w:rPr>
          <w:sz w:val="24"/>
          <w:szCs w:val="24"/>
        </w:rPr>
        <w:t>abela 1.</w:t>
      </w:r>
    </w:p>
    <w:p w14:paraId="54AEE3DC" w14:textId="74A336A3" w:rsidR="00B62E54" w:rsidRPr="003B16F8" w:rsidRDefault="003B16F8" w:rsidP="003B16F8">
      <w:pPr>
        <w:jc w:val="both"/>
      </w:pPr>
      <w:r w:rsidRPr="003B16F8">
        <w:t>Tabela 1- Classificação dos níveis de densidade dos focos de calor.</w:t>
      </w:r>
    </w:p>
    <w:tbl>
      <w:tblPr>
        <w:tblStyle w:val="Tabelacomgrade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137"/>
        <w:gridCol w:w="1422"/>
        <w:gridCol w:w="1134"/>
        <w:gridCol w:w="5812"/>
      </w:tblGrid>
      <w:tr w:rsidR="001875C2" w:rsidRPr="00A5324B" w14:paraId="56653A63" w14:textId="77777777" w:rsidTr="00C32455"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37E75D81" w14:textId="4BE857D6" w:rsidR="001875C2" w:rsidRPr="00A5324B" w:rsidRDefault="001875C2" w:rsidP="004F2EE7">
            <w:pPr>
              <w:rPr>
                <w:b/>
                <w:bCs/>
                <w:sz w:val="24"/>
                <w:szCs w:val="24"/>
              </w:rPr>
            </w:pPr>
            <w:bookmarkStart w:id="0" w:name="_Hlk212302363"/>
            <w:r>
              <w:rPr>
                <w:b/>
                <w:bCs/>
                <w:sz w:val="24"/>
                <w:szCs w:val="24"/>
              </w:rPr>
              <w:t>Cor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1FAE712" w14:textId="4C0E7007" w:rsidR="001875C2" w:rsidRPr="00A5324B" w:rsidRDefault="001875C2" w:rsidP="004F2EE7">
            <w:pPr>
              <w:rPr>
                <w:b/>
                <w:bCs/>
                <w:sz w:val="24"/>
                <w:szCs w:val="24"/>
              </w:rPr>
            </w:pPr>
            <w:r w:rsidRPr="00A5324B">
              <w:rPr>
                <w:b/>
                <w:bCs/>
                <w:sz w:val="24"/>
                <w:szCs w:val="24"/>
              </w:rPr>
              <w:t xml:space="preserve">Nível de </w:t>
            </w:r>
            <w:r>
              <w:rPr>
                <w:b/>
                <w:bCs/>
                <w:sz w:val="24"/>
                <w:szCs w:val="24"/>
              </w:rPr>
              <w:t>densidade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14:paraId="0C633E99" w14:textId="6CBDFF36" w:rsidR="001875C2" w:rsidRPr="00A5324B" w:rsidRDefault="001875C2" w:rsidP="004F2EE7">
            <w:pPr>
              <w:ind w:left="-109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Descrição</w:t>
            </w:r>
          </w:p>
        </w:tc>
      </w:tr>
      <w:tr w:rsidR="00B62E54" w:rsidRPr="00A5324B" w14:paraId="73F74F7E" w14:textId="77777777" w:rsidTr="00C32455">
        <w:tc>
          <w:tcPr>
            <w:tcW w:w="1413" w:type="dxa"/>
            <w:gridSpan w:val="2"/>
            <w:tcBorders>
              <w:top w:val="single" w:sz="4" w:space="0" w:color="auto"/>
            </w:tcBorders>
            <w:vAlign w:val="center"/>
          </w:tcPr>
          <w:p w14:paraId="047DDAC2" w14:textId="77777777" w:rsidR="00B62E54" w:rsidRPr="00A5324B" w:rsidRDefault="00B62E54" w:rsidP="004F2EE7">
            <w:pPr>
              <w:rPr>
                <w:noProof/>
                <w:sz w:val="24"/>
                <w:szCs w:val="24"/>
              </w:rPr>
            </w:pPr>
            <w:r w:rsidRPr="00A5324B">
              <w:rPr>
                <w:noProof/>
                <w:sz w:val="24"/>
                <w:szCs w:val="24"/>
              </w:rPr>
              <w:drawing>
                <wp:inline distT="0" distB="0" distL="0" distR="0" wp14:anchorId="3E93F600" wp14:editId="4D513D9C">
                  <wp:extent cx="180000" cy="162000"/>
                  <wp:effectExtent l="0" t="0" r="0" b="0"/>
                  <wp:docPr id="803563245" name="Imagem 3" descr="Ícone&#10;&#10;O conteúdo gerado por IA pode estar incorreto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731505" name="Imagem 3" descr="Ícone&#10;&#10;O conteúdo gerado por IA pode estar incorreto.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2" w:type="dxa"/>
            <w:tcBorders>
              <w:top w:val="single" w:sz="4" w:space="0" w:color="auto"/>
            </w:tcBorders>
            <w:vAlign w:val="center"/>
          </w:tcPr>
          <w:p w14:paraId="6B3E0271" w14:textId="77777777" w:rsidR="00B62E54" w:rsidRPr="00A5324B" w:rsidRDefault="00B62E54" w:rsidP="004F2EE7">
            <w:pPr>
              <w:rPr>
                <w:sz w:val="24"/>
                <w:szCs w:val="24"/>
              </w:rPr>
            </w:pPr>
            <w:r w:rsidRPr="00A5324B">
              <w:rPr>
                <w:sz w:val="24"/>
                <w:szCs w:val="24"/>
              </w:rPr>
              <w:t>Muito baixa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</w:tcBorders>
          </w:tcPr>
          <w:p w14:paraId="44F08B35" w14:textId="1419C782" w:rsidR="00B62E54" w:rsidRDefault="00B62E54" w:rsidP="00C32455">
            <w:pPr>
              <w:ind w:left="1024"/>
              <w:jc w:val="both"/>
              <w:rPr>
                <w:sz w:val="24"/>
                <w:szCs w:val="24"/>
              </w:rPr>
            </w:pPr>
            <w:r w:rsidRPr="005C7899">
              <w:rPr>
                <w:sz w:val="24"/>
                <w:szCs w:val="24"/>
              </w:rPr>
              <w:t>Áreas com uma quantidade de focos de calor</w:t>
            </w:r>
            <w:r w:rsidR="00C32455">
              <w:rPr>
                <w:sz w:val="24"/>
                <w:szCs w:val="24"/>
              </w:rPr>
              <w:t xml:space="preserve"> </w:t>
            </w:r>
            <w:r w:rsidRPr="005C7899">
              <w:rPr>
                <w:sz w:val="24"/>
                <w:szCs w:val="24"/>
              </w:rPr>
              <w:t>significativamente inferior à média</w:t>
            </w:r>
          </w:p>
          <w:p w14:paraId="5B19484B" w14:textId="77777777" w:rsidR="00B62E54" w:rsidRPr="00A5324B" w:rsidRDefault="00B62E54" w:rsidP="00C32455">
            <w:pPr>
              <w:ind w:left="1024"/>
              <w:jc w:val="both"/>
              <w:rPr>
                <w:sz w:val="24"/>
                <w:szCs w:val="24"/>
              </w:rPr>
            </w:pPr>
          </w:p>
        </w:tc>
      </w:tr>
      <w:tr w:rsidR="00B62E54" w:rsidRPr="00A5324B" w14:paraId="23977AFA" w14:textId="77777777" w:rsidTr="00C32455">
        <w:tc>
          <w:tcPr>
            <w:tcW w:w="1413" w:type="dxa"/>
            <w:gridSpan w:val="2"/>
            <w:vAlign w:val="center"/>
          </w:tcPr>
          <w:p w14:paraId="71B18457" w14:textId="77777777" w:rsidR="00B62E54" w:rsidRPr="00A5324B" w:rsidRDefault="00B62E54" w:rsidP="004F2EE7">
            <w:pPr>
              <w:rPr>
                <w:sz w:val="24"/>
                <w:szCs w:val="24"/>
              </w:rPr>
            </w:pPr>
            <w:r w:rsidRPr="00A5324B">
              <w:rPr>
                <w:noProof/>
                <w:sz w:val="24"/>
                <w:szCs w:val="24"/>
              </w:rPr>
              <w:drawing>
                <wp:inline distT="0" distB="0" distL="0" distR="0" wp14:anchorId="40B55AD2" wp14:editId="0869F944">
                  <wp:extent cx="180000" cy="162000"/>
                  <wp:effectExtent l="0" t="0" r="0" b="0"/>
                  <wp:docPr id="1608046114" name="Imagem 4" descr="Forma&#10;&#10;O conteúdo gerado por IA pode estar incorreto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8046114" name="Imagem 4" descr="Forma&#10;&#10;O conteúdo gerado por IA pode estar incorreto."/>
                          <pic:cNvPicPr preferRelativeResize="0"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2" w:type="dxa"/>
          </w:tcPr>
          <w:p w14:paraId="422EE947" w14:textId="77777777" w:rsidR="00B62E54" w:rsidRPr="00A5324B" w:rsidRDefault="00B62E54" w:rsidP="00C32455">
            <w:pPr>
              <w:rPr>
                <w:sz w:val="24"/>
                <w:szCs w:val="24"/>
              </w:rPr>
            </w:pPr>
            <w:r w:rsidRPr="00A5324B">
              <w:rPr>
                <w:sz w:val="24"/>
                <w:szCs w:val="24"/>
              </w:rPr>
              <w:t>Baixa</w:t>
            </w:r>
          </w:p>
        </w:tc>
        <w:tc>
          <w:tcPr>
            <w:tcW w:w="6946" w:type="dxa"/>
            <w:gridSpan w:val="2"/>
          </w:tcPr>
          <w:p w14:paraId="1CB82362" w14:textId="77777777" w:rsidR="00B62E54" w:rsidRDefault="00B62E54" w:rsidP="00C32455">
            <w:pPr>
              <w:ind w:left="10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Á</w:t>
            </w:r>
            <w:r w:rsidRPr="005C7899">
              <w:rPr>
                <w:sz w:val="24"/>
                <w:szCs w:val="24"/>
              </w:rPr>
              <w:t>reas com incidência de focos de calor abaixo da média</w:t>
            </w:r>
          </w:p>
          <w:p w14:paraId="5F32313B" w14:textId="77777777" w:rsidR="00B62E54" w:rsidRPr="00A5324B" w:rsidRDefault="00B62E54" w:rsidP="00C32455">
            <w:pPr>
              <w:ind w:left="1024"/>
              <w:jc w:val="both"/>
              <w:rPr>
                <w:sz w:val="24"/>
                <w:szCs w:val="24"/>
              </w:rPr>
            </w:pPr>
          </w:p>
        </w:tc>
      </w:tr>
      <w:tr w:rsidR="00B62E54" w:rsidRPr="00A5324B" w14:paraId="3957C3ED" w14:textId="77777777" w:rsidTr="00C32455">
        <w:tc>
          <w:tcPr>
            <w:tcW w:w="1413" w:type="dxa"/>
            <w:gridSpan w:val="2"/>
            <w:vAlign w:val="center"/>
          </w:tcPr>
          <w:p w14:paraId="05559ACC" w14:textId="77777777" w:rsidR="00B62E54" w:rsidRPr="00A5324B" w:rsidRDefault="00B62E54" w:rsidP="004F2EE7">
            <w:pPr>
              <w:rPr>
                <w:sz w:val="24"/>
                <w:szCs w:val="24"/>
              </w:rPr>
            </w:pPr>
            <w:r w:rsidRPr="00A5324B">
              <w:rPr>
                <w:noProof/>
                <w:sz w:val="24"/>
                <w:szCs w:val="24"/>
              </w:rPr>
              <w:drawing>
                <wp:inline distT="0" distB="0" distL="0" distR="0" wp14:anchorId="648C6A69" wp14:editId="79DB2DA2">
                  <wp:extent cx="180000" cy="162000"/>
                  <wp:effectExtent l="0" t="0" r="0" b="0"/>
                  <wp:docPr id="1094510657" name="Imagem 5" descr="Forma&#10;&#10;O conteúdo gerado por IA pode estar incorreto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510657" name="Imagem 5" descr="Forma&#10;&#10;O conteúdo gerado por IA pode estar incorreto."/>
                          <pic:cNvPicPr preferRelativeResize="0"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2" w:type="dxa"/>
            <w:vAlign w:val="center"/>
          </w:tcPr>
          <w:p w14:paraId="40202CA5" w14:textId="77777777" w:rsidR="00B62E54" w:rsidRPr="00A5324B" w:rsidRDefault="00B62E54" w:rsidP="004F2EE7">
            <w:pPr>
              <w:rPr>
                <w:sz w:val="24"/>
                <w:szCs w:val="24"/>
              </w:rPr>
            </w:pPr>
            <w:r w:rsidRPr="00A5324B">
              <w:rPr>
                <w:sz w:val="24"/>
                <w:szCs w:val="24"/>
              </w:rPr>
              <w:t>Média</w:t>
            </w:r>
          </w:p>
        </w:tc>
        <w:tc>
          <w:tcPr>
            <w:tcW w:w="6946" w:type="dxa"/>
            <w:gridSpan w:val="2"/>
          </w:tcPr>
          <w:p w14:paraId="7AEB8B9B" w14:textId="14F3BA1A" w:rsidR="00B62E54" w:rsidRPr="00A5324B" w:rsidRDefault="00B62E54" w:rsidP="00C32455">
            <w:pPr>
              <w:ind w:left="1024"/>
              <w:jc w:val="both"/>
              <w:rPr>
                <w:sz w:val="24"/>
                <w:szCs w:val="24"/>
              </w:rPr>
            </w:pPr>
            <w:r w:rsidRPr="001B07E8">
              <w:rPr>
                <w:sz w:val="24"/>
                <w:szCs w:val="24"/>
              </w:rPr>
              <w:t>Áreas com uma densidade</w:t>
            </w:r>
            <w:r w:rsidR="00C32455">
              <w:rPr>
                <w:sz w:val="24"/>
                <w:szCs w:val="24"/>
              </w:rPr>
              <w:t xml:space="preserve"> </w:t>
            </w:r>
            <w:r w:rsidRPr="001B07E8">
              <w:rPr>
                <w:sz w:val="24"/>
                <w:szCs w:val="24"/>
              </w:rPr>
              <w:t>moderada de focos de calor</w:t>
            </w:r>
          </w:p>
        </w:tc>
      </w:tr>
      <w:tr w:rsidR="00B62E54" w:rsidRPr="00A5324B" w14:paraId="2B1D7B9E" w14:textId="77777777" w:rsidTr="00C32455">
        <w:tc>
          <w:tcPr>
            <w:tcW w:w="1413" w:type="dxa"/>
            <w:gridSpan w:val="2"/>
            <w:vAlign w:val="center"/>
          </w:tcPr>
          <w:p w14:paraId="7704366F" w14:textId="5FF4682B" w:rsidR="00B62E54" w:rsidRPr="00A5324B" w:rsidRDefault="00B62E54" w:rsidP="004F2EE7">
            <w:pPr>
              <w:rPr>
                <w:sz w:val="24"/>
                <w:szCs w:val="24"/>
              </w:rPr>
            </w:pPr>
            <w:r w:rsidRPr="00A5324B">
              <w:rPr>
                <w:noProof/>
                <w:sz w:val="24"/>
                <w:szCs w:val="24"/>
              </w:rPr>
              <w:drawing>
                <wp:inline distT="0" distB="0" distL="0" distR="0" wp14:anchorId="6872AAD7" wp14:editId="1210F837">
                  <wp:extent cx="180000" cy="158400"/>
                  <wp:effectExtent l="0" t="0" r="0" b="0"/>
                  <wp:docPr id="955122480" name="Imagem 6" descr="Forma&#10;&#10;O conteúdo gerado por IA pode estar incorre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122480" name="Imagem 6" descr="Forma&#10;&#10;O conteúdo gerado por IA pode estar incorreto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5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2" w:type="dxa"/>
            <w:vAlign w:val="center"/>
          </w:tcPr>
          <w:p w14:paraId="77A92A45" w14:textId="77777777" w:rsidR="00B62E54" w:rsidRPr="00A5324B" w:rsidRDefault="00B62E54" w:rsidP="004F2EE7">
            <w:pPr>
              <w:rPr>
                <w:sz w:val="24"/>
                <w:szCs w:val="24"/>
              </w:rPr>
            </w:pPr>
            <w:r w:rsidRPr="00A5324B">
              <w:rPr>
                <w:sz w:val="24"/>
                <w:szCs w:val="24"/>
              </w:rPr>
              <w:t>Alta</w:t>
            </w:r>
          </w:p>
        </w:tc>
        <w:tc>
          <w:tcPr>
            <w:tcW w:w="6946" w:type="dxa"/>
            <w:gridSpan w:val="2"/>
          </w:tcPr>
          <w:p w14:paraId="2FC79347" w14:textId="77777777" w:rsidR="00B62E54" w:rsidRDefault="00B62E54" w:rsidP="00C32455">
            <w:pPr>
              <w:ind w:left="1024"/>
              <w:jc w:val="both"/>
              <w:rPr>
                <w:sz w:val="24"/>
                <w:szCs w:val="24"/>
              </w:rPr>
            </w:pPr>
          </w:p>
          <w:p w14:paraId="1669C829" w14:textId="77777777" w:rsidR="00B62E54" w:rsidRDefault="00B62E54" w:rsidP="00C32455">
            <w:pPr>
              <w:ind w:left="1024"/>
              <w:jc w:val="both"/>
              <w:rPr>
                <w:sz w:val="24"/>
                <w:szCs w:val="24"/>
              </w:rPr>
            </w:pPr>
            <w:r w:rsidRPr="00E4249C">
              <w:rPr>
                <w:sz w:val="24"/>
                <w:szCs w:val="24"/>
              </w:rPr>
              <w:t>Áreas com alta incidência de focos de calor</w:t>
            </w:r>
          </w:p>
          <w:p w14:paraId="73309DAA" w14:textId="77777777" w:rsidR="00B62E54" w:rsidRPr="00A5324B" w:rsidRDefault="00B62E54" w:rsidP="00C32455">
            <w:pPr>
              <w:ind w:left="1024"/>
              <w:jc w:val="both"/>
              <w:rPr>
                <w:sz w:val="24"/>
                <w:szCs w:val="24"/>
              </w:rPr>
            </w:pPr>
          </w:p>
        </w:tc>
      </w:tr>
      <w:tr w:rsidR="00B62E54" w:rsidRPr="00A5324B" w14:paraId="16971194" w14:textId="77777777" w:rsidTr="00C32455">
        <w:trPr>
          <w:trHeight w:val="385"/>
        </w:trPr>
        <w:tc>
          <w:tcPr>
            <w:tcW w:w="1413" w:type="dxa"/>
            <w:gridSpan w:val="2"/>
            <w:tcBorders>
              <w:bottom w:val="single" w:sz="4" w:space="0" w:color="auto"/>
            </w:tcBorders>
            <w:vAlign w:val="center"/>
          </w:tcPr>
          <w:p w14:paraId="251C35CA" w14:textId="77777777" w:rsidR="00B62E54" w:rsidRPr="00A5324B" w:rsidRDefault="00B62E54" w:rsidP="004F2EE7">
            <w:pPr>
              <w:rPr>
                <w:sz w:val="24"/>
                <w:szCs w:val="24"/>
              </w:rPr>
            </w:pPr>
            <w:r w:rsidRPr="00A5324B">
              <w:rPr>
                <w:noProof/>
                <w:sz w:val="24"/>
                <w:szCs w:val="24"/>
              </w:rPr>
              <w:drawing>
                <wp:inline distT="0" distB="0" distL="0" distR="0" wp14:anchorId="300EFDFE" wp14:editId="635B6D7B">
                  <wp:extent cx="180000" cy="162000"/>
                  <wp:effectExtent l="0" t="0" r="0" b="0"/>
                  <wp:docPr id="1791019397" name="Imagem 7" descr="Desenho de lápis de cor&#10;&#10;O conteúdo gerado por IA pode estar incorreto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1019397" name="Imagem 7" descr="Desenho de lápis de cor&#10;&#10;O conteúdo gerado por IA pode estar incorreto."/>
                          <pic:cNvPicPr preferRelativeResize="0"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2" w:type="dxa"/>
            <w:tcBorders>
              <w:bottom w:val="single" w:sz="4" w:space="0" w:color="auto"/>
            </w:tcBorders>
            <w:vAlign w:val="center"/>
          </w:tcPr>
          <w:p w14:paraId="4648549C" w14:textId="77777777" w:rsidR="00B62E54" w:rsidRPr="00A5324B" w:rsidRDefault="00B62E54" w:rsidP="004F2EE7">
            <w:pPr>
              <w:rPr>
                <w:sz w:val="24"/>
                <w:szCs w:val="24"/>
              </w:rPr>
            </w:pPr>
            <w:r w:rsidRPr="00A5324B">
              <w:rPr>
                <w:sz w:val="24"/>
                <w:szCs w:val="24"/>
              </w:rPr>
              <w:t>Muito alta</w:t>
            </w:r>
          </w:p>
        </w:tc>
        <w:tc>
          <w:tcPr>
            <w:tcW w:w="6946" w:type="dxa"/>
            <w:gridSpan w:val="2"/>
            <w:tcBorders>
              <w:bottom w:val="single" w:sz="4" w:space="0" w:color="auto"/>
            </w:tcBorders>
            <w:vAlign w:val="center"/>
          </w:tcPr>
          <w:p w14:paraId="5FE2B06C" w14:textId="77777777" w:rsidR="00B62E54" w:rsidRPr="00A5324B" w:rsidRDefault="00B62E54" w:rsidP="00C32455">
            <w:pPr>
              <w:ind w:left="1024"/>
              <w:jc w:val="both"/>
              <w:rPr>
                <w:sz w:val="24"/>
                <w:szCs w:val="24"/>
              </w:rPr>
            </w:pPr>
            <w:r w:rsidRPr="005C2F23">
              <w:rPr>
                <w:sz w:val="24"/>
                <w:szCs w:val="24"/>
              </w:rPr>
              <w:t>Áreas com concentração extrema de focos de calor</w:t>
            </w:r>
          </w:p>
        </w:tc>
      </w:tr>
    </w:tbl>
    <w:bookmarkEnd w:id="0"/>
    <w:p w14:paraId="45570972" w14:textId="4A06985A" w:rsidR="003949CE" w:rsidRPr="003B16F8" w:rsidRDefault="003B16F8" w:rsidP="003B16F8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both"/>
        <w:rPr>
          <w:bCs/>
        </w:rPr>
      </w:pPr>
      <w:r w:rsidRPr="003B16F8">
        <w:rPr>
          <w:bCs/>
        </w:rPr>
        <w:t>Fonte</w:t>
      </w:r>
      <w:r w:rsidR="0042459F">
        <w:rPr>
          <w:bCs/>
        </w:rPr>
        <w:t xml:space="preserve">: </w:t>
      </w:r>
      <w:r w:rsidRPr="003B16F8">
        <w:rPr>
          <w:bCs/>
        </w:rPr>
        <w:t>Autores, 2025.</w:t>
      </w:r>
    </w:p>
    <w:p w14:paraId="67BBFAA2" w14:textId="77777777" w:rsidR="003B16F8" w:rsidRDefault="003B16F8" w:rsidP="003B16F8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both"/>
        <w:rPr>
          <w:bCs/>
        </w:rPr>
      </w:pPr>
    </w:p>
    <w:p w14:paraId="3C052ED0" w14:textId="77777777" w:rsidR="00262DE6" w:rsidRPr="003B16F8" w:rsidRDefault="00262DE6" w:rsidP="003B16F8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both"/>
        <w:rPr>
          <w:bCs/>
        </w:rPr>
      </w:pPr>
    </w:p>
    <w:p w14:paraId="4ECD85E8" w14:textId="7369CCD4" w:rsidR="003949CE" w:rsidRDefault="003949CE" w:rsidP="00154149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b/>
          <w:sz w:val="28"/>
          <w:szCs w:val="28"/>
        </w:rPr>
      </w:pPr>
      <w:r>
        <w:rPr>
          <w:b/>
          <w:sz w:val="24"/>
          <w:szCs w:val="24"/>
        </w:rPr>
        <w:t>3. RESULTADOS E DISCUSSÃO</w:t>
      </w:r>
      <w:r>
        <w:rPr>
          <w:b/>
          <w:sz w:val="28"/>
          <w:szCs w:val="28"/>
        </w:rPr>
        <w:t xml:space="preserve"> </w:t>
      </w:r>
    </w:p>
    <w:p w14:paraId="70A2B2ED" w14:textId="36CC8A4F" w:rsidR="00154149" w:rsidRDefault="00154149" w:rsidP="00154149">
      <w:pPr>
        <w:spacing w:line="360" w:lineRule="auto"/>
        <w:ind w:firstLine="709"/>
        <w:jc w:val="both"/>
        <w:rPr>
          <w:sz w:val="24"/>
          <w:szCs w:val="24"/>
        </w:rPr>
      </w:pPr>
      <w:r w:rsidRPr="00D936E3">
        <w:rPr>
          <w:sz w:val="24"/>
          <w:szCs w:val="24"/>
        </w:rPr>
        <w:t xml:space="preserve">Em 2020, foram registrados 5.290 focos de calor, com maior concentração nos meses de agosto (2.177; 41,2%) e setembro (2.112; 39,9%), que juntos representaram 81,1% do total anual. Em 2024, o número aumentou para 7.356 focos, com agosto (2.908; 39,5%) e setembro (3.967; 53,9%), totalizando 93,4% das ocorrências do ano. Já em 2025, até setembro, foram contabilizados 558 focos de calor, com destaque para agosto (121; 21,7%) e setembro (379; 67,9%), que somaram 89,6% do total registrado até então. </w:t>
      </w:r>
      <w:r w:rsidR="003C4D90">
        <w:rPr>
          <w:sz w:val="24"/>
          <w:szCs w:val="24"/>
        </w:rPr>
        <w:t>No</w:t>
      </w:r>
      <w:r w:rsidRPr="00D936E3">
        <w:rPr>
          <w:sz w:val="24"/>
          <w:szCs w:val="24"/>
        </w:rPr>
        <w:t xml:space="preserve">s três </w:t>
      </w:r>
      <w:r w:rsidR="003C4D90">
        <w:rPr>
          <w:sz w:val="24"/>
          <w:szCs w:val="24"/>
        </w:rPr>
        <w:t>períodos</w:t>
      </w:r>
      <w:r w:rsidRPr="00D936E3">
        <w:rPr>
          <w:sz w:val="24"/>
          <w:szCs w:val="24"/>
        </w:rPr>
        <w:t>, observou-se que o período entre julho e dezembro, caracterizado pelas menores médias de precipitação pluviométrica, concentrou o maior número de focos de calor</w:t>
      </w:r>
      <w:r w:rsidR="00262DE6">
        <w:rPr>
          <w:sz w:val="24"/>
          <w:szCs w:val="24"/>
        </w:rPr>
        <w:t xml:space="preserve"> (Figura 2)</w:t>
      </w:r>
      <w:r w:rsidRPr="00D936E3">
        <w:rPr>
          <w:sz w:val="24"/>
          <w:szCs w:val="24"/>
        </w:rPr>
        <w:t>.</w:t>
      </w:r>
    </w:p>
    <w:p w14:paraId="5BBD6E5D" w14:textId="77777777" w:rsidR="001A2EE9" w:rsidRDefault="001A2EE9" w:rsidP="00154149">
      <w:pPr>
        <w:jc w:val="both"/>
      </w:pPr>
    </w:p>
    <w:p w14:paraId="01D8410D" w14:textId="77777777" w:rsidR="00DA5CA5" w:rsidRDefault="00DA5CA5" w:rsidP="00154149">
      <w:pPr>
        <w:jc w:val="both"/>
      </w:pPr>
    </w:p>
    <w:p w14:paraId="2CB72995" w14:textId="7943DABA" w:rsidR="00154149" w:rsidRPr="00154149" w:rsidRDefault="00262DE6" w:rsidP="004F2EE7">
      <w:pPr>
        <w:jc w:val="center"/>
      </w:pPr>
      <w:r>
        <w:lastRenderedPageBreak/>
        <w:t>Figura</w:t>
      </w:r>
      <w:r w:rsidRPr="00154149">
        <w:t xml:space="preserve"> </w:t>
      </w:r>
      <w:r w:rsidR="00C31BEB">
        <w:t>2</w:t>
      </w:r>
      <w:r>
        <w:t xml:space="preserve"> </w:t>
      </w:r>
      <w:r w:rsidR="00154149">
        <w:t>-</w:t>
      </w:r>
      <w:r w:rsidR="00154149" w:rsidRPr="00154149">
        <w:t xml:space="preserve"> Quantidade mensal de focos de calor registrados no município de São Félix do Xingu, Pará, nos anos de 2020, 2024 e 2025.</w:t>
      </w:r>
    </w:p>
    <w:p w14:paraId="1AB6CE10" w14:textId="046C66C1" w:rsidR="00262DE6" w:rsidRDefault="00262DE6" w:rsidP="00154149">
      <w:pPr>
        <w:jc w:val="both"/>
      </w:pPr>
    </w:p>
    <w:p w14:paraId="1D48F50C" w14:textId="0F7E8E2F" w:rsidR="00262DE6" w:rsidRDefault="00262DE6" w:rsidP="00262DE6">
      <w:pPr>
        <w:jc w:val="both"/>
        <w:rPr>
          <w:lang w:val="pt-BR"/>
        </w:rPr>
      </w:pPr>
      <w:r w:rsidRPr="00262DE6">
        <w:rPr>
          <w:noProof/>
          <w:lang w:val="pt-BR"/>
        </w:rPr>
        <w:drawing>
          <wp:inline distT="0" distB="0" distL="0" distR="0" wp14:anchorId="3BCC0783" wp14:editId="1C1DE0C5">
            <wp:extent cx="5499100" cy="3780593"/>
            <wp:effectExtent l="0" t="0" r="0" b="6350"/>
            <wp:docPr id="113172216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78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428F1" w14:textId="77777777" w:rsidR="00262DE6" w:rsidRDefault="00262DE6" w:rsidP="00262DE6">
      <w:pPr>
        <w:jc w:val="both"/>
      </w:pPr>
      <w:r w:rsidRPr="00154149">
        <w:t>Fonte: Autores</w:t>
      </w:r>
      <w:r>
        <w:t xml:space="preserve">, </w:t>
      </w:r>
      <w:r w:rsidRPr="00154149">
        <w:t>2025, com base nos dados INPE/Terrabrasilis (2025).</w:t>
      </w:r>
    </w:p>
    <w:p w14:paraId="3C75F7EB" w14:textId="77777777" w:rsidR="00262DE6" w:rsidRPr="00262DE6" w:rsidRDefault="00262DE6" w:rsidP="00262DE6">
      <w:pPr>
        <w:jc w:val="both"/>
        <w:rPr>
          <w:lang w:val="pt-BR"/>
        </w:rPr>
      </w:pPr>
    </w:p>
    <w:p w14:paraId="0C5C77C5" w14:textId="3E9EA140" w:rsidR="00262DE6" w:rsidRPr="00262DE6" w:rsidRDefault="00262DE6" w:rsidP="00262DE6">
      <w:pPr>
        <w:jc w:val="both"/>
        <w:rPr>
          <w:lang w:val="pt-BR"/>
        </w:rPr>
      </w:pPr>
    </w:p>
    <w:p w14:paraId="1E859064" w14:textId="403422BB" w:rsidR="00B82491" w:rsidRPr="00B82491" w:rsidRDefault="00B82491" w:rsidP="00154149">
      <w:pPr>
        <w:spacing w:line="360" w:lineRule="auto"/>
        <w:ind w:firstLine="709"/>
        <w:jc w:val="both"/>
        <w:rPr>
          <w:sz w:val="24"/>
          <w:szCs w:val="24"/>
        </w:rPr>
      </w:pPr>
      <w:r w:rsidRPr="00B82491">
        <w:rPr>
          <w:sz w:val="24"/>
          <w:szCs w:val="24"/>
        </w:rPr>
        <w:t>A análise temporal revelou que o maior número de focos de calor ocorreu entre julho e dezembro, período caracterizado pela redução da precipitação pluviométrica e a presença da Zona de Convergência Intertropical (ZCIT), que limita as chuvas na região. Esse padrão é consistente com os achados de Silva e Furtado (2020), que observaram um comportamento semelhante entre os meses de julho e outubro, que concentram cerca de 90% dos focos de calor na região, associando a ocorrência de queimadas ao período de estiagem prolongada, com baixas precipitações</w:t>
      </w:r>
    </w:p>
    <w:p w14:paraId="26F82E50" w14:textId="48A4047B" w:rsidR="00154149" w:rsidRDefault="00154149" w:rsidP="00154149">
      <w:pPr>
        <w:spacing w:line="360" w:lineRule="auto"/>
        <w:ind w:firstLine="709"/>
        <w:jc w:val="both"/>
        <w:rPr>
          <w:sz w:val="24"/>
          <w:szCs w:val="24"/>
        </w:rPr>
      </w:pPr>
      <w:r w:rsidRPr="0051094C">
        <w:rPr>
          <w:sz w:val="24"/>
          <w:szCs w:val="24"/>
        </w:rPr>
        <w:t>Em 2020, os focos atingiram não apenas a área do município, mas também unidades de conservação</w:t>
      </w:r>
      <w:r w:rsidR="005654C2">
        <w:rPr>
          <w:sz w:val="24"/>
          <w:szCs w:val="24"/>
        </w:rPr>
        <w:t xml:space="preserve"> federais</w:t>
      </w:r>
      <w:r w:rsidRPr="0051094C">
        <w:rPr>
          <w:sz w:val="24"/>
          <w:szCs w:val="24"/>
        </w:rPr>
        <w:t xml:space="preserve"> situadas em seu entorno ou dentro de seus limites, como a Floresta Nacional do Itacaiunas, a Estação Ecológica da Terra do Meio e o Parque Nacional da Serra do Pardo. Em 2024, as ocorrências voltaram a afetar essas três áreas, </w:t>
      </w:r>
      <w:r w:rsidR="007570C8">
        <w:rPr>
          <w:sz w:val="24"/>
          <w:szCs w:val="24"/>
        </w:rPr>
        <w:t>enquanto</w:t>
      </w:r>
      <w:r w:rsidR="00374C0F">
        <w:rPr>
          <w:sz w:val="24"/>
          <w:szCs w:val="24"/>
        </w:rPr>
        <w:t xml:space="preserve"> </w:t>
      </w:r>
      <w:r w:rsidRPr="0051094C">
        <w:rPr>
          <w:sz w:val="24"/>
          <w:szCs w:val="24"/>
        </w:rPr>
        <w:t>em 2025 os registros se concentraram apenas nas duas últimas, indicando uma redução espacial das queimadas</w:t>
      </w:r>
      <w:r w:rsidR="001B732E">
        <w:rPr>
          <w:sz w:val="24"/>
          <w:szCs w:val="24"/>
        </w:rPr>
        <w:t xml:space="preserve"> </w:t>
      </w:r>
      <w:r w:rsidR="001B732E" w:rsidRPr="0051094C">
        <w:rPr>
          <w:sz w:val="24"/>
          <w:szCs w:val="24"/>
        </w:rPr>
        <w:lastRenderedPageBreak/>
        <w:t xml:space="preserve">(Figura </w:t>
      </w:r>
      <w:r w:rsidR="001B732E">
        <w:rPr>
          <w:sz w:val="24"/>
          <w:szCs w:val="24"/>
        </w:rPr>
        <w:t>3</w:t>
      </w:r>
      <w:r w:rsidR="001B732E" w:rsidRPr="0051094C">
        <w:rPr>
          <w:sz w:val="24"/>
          <w:szCs w:val="24"/>
        </w:rPr>
        <w:t>)</w:t>
      </w:r>
      <w:r w:rsidRPr="0051094C">
        <w:rPr>
          <w:sz w:val="24"/>
          <w:szCs w:val="24"/>
        </w:rPr>
        <w:t>.</w:t>
      </w:r>
    </w:p>
    <w:p w14:paraId="28E7E6EF" w14:textId="77777777" w:rsidR="001B732E" w:rsidRPr="0051094C" w:rsidRDefault="001B732E" w:rsidP="00154149">
      <w:pPr>
        <w:spacing w:line="360" w:lineRule="auto"/>
        <w:ind w:firstLine="709"/>
        <w:jc w:val="both"/>
        <w:rPr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5"/>
      </w:tblGrid>
      <w:tr w:rsidR="00154149" w14:paraId="4663FBC1" w14:textId="77777777" w:rsidTr="006C3DCE">
        <w:tc>
          <w:tcPr>
            <w:tcW w:w="9075" w:type="dxa"/>
          </w:tcPr>
          <w:p w14:paraId="1A15838A" w14:textId="73DCBECD" w:rsidR="00154149" w:rsidRPr="00154149" w:rsidRDefault="00154149" w:rsidP="00CD3275">
            <w:pPr>
              <w:jc w:val="center"/>
            </w:pPr>
            <w:r w:rsidRPr="00154149">
              <w:t xml:space="preserve">Figura </w:t>
            </w:r>
            <w:r w:rsidR="00262DE6">
              <w:t xml:space="preserve">3 </w:t>
            </w:r>
            <w:r>
              <w:t>-</w:t>
            </w:r>
            <w:r w:rsidRPr="00154149">
              <w:t xml:space="preserve"> Distribuição espacial dos focos de calor no município de São Félix do Xingu, nos anos de 2020, 2024 e 2025.</w:t>
            </w:r>
          </w:p>
        </w:tc>
      </w:tr>
      <w:tr w:rsidR="00154149" w14:paraId="08CF4AC5" w14:textId="77777777" w:rsidTr="006C3DCE">
        <w:trPr>
          <w:trHeight w:val="5669"/>
        </w:trPr>
        <w:tc>
          <w:tcPr>
            <w:tcW w:w="8504" w:type="dxa"/>
          </w:tcPr>
          <w:p w14:paraId="04BE04EA" w14:textId="246848AC" w:rsidR="00154149" w:rsidRDefault="00D30700" w:rsidP="001713D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FB8C46D" wp14:editId="6D27F3DA">
                  <wp:extent cx="5694045" cy="4075430"/>
                  <wp:effectExtent l="0" t="0" r="1905" b="1270"/>
                  <wp:docPr id="653060969" name="Imagem 3" descr="Uma imagem contendo Diagrama&#10;&#10;O conteúdo gerado por IA pode estar incorre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3060969" name="Imagem 3" descr="Uma imagem contendo Diagrama&#10;&#10;O conteúdo gerado por IA pode estar incorreto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4045" cy="407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741F2B" w14:textId="1E688646" w:rsidR="00154149" w:rsidRDefault="00154149" w:rsidP="00154149">
      <w:pPr>
        <w:spacing w:line="360" w:lineRule="auto"/>
        <w:jc w:val="both"/>
      </w:pPr>
      <w:r w:rsidRPr="00154149">
        <w:t>Fonte: Autores</w:t>
      </w:r>
      <w:r w:rsidR="005924CB">
        <w:t xml:space="preserve">, </w:t>
      </w:r>
      <w:r w:rsidRPr="00154149">
        <w:t>2025.</w:t>
      </w:r>
    </w:p>
    <w:p w14:paraId="5C332119" w14:textId="77777777" w:rsidR="007570C8" w:rsidRPr="00154149" w:rsidRDefault="007570C8" w:rsidP="00154149">
      <w:pPr>
        <w:spacing w:line="360" w:lineRule="auto"/>
        <w:jc w:val="both"/>
      </w:pPr>
    </w:p>
    <w:p w14:paraId="2CA04EA2" w14:textId="77777777" w:rsidR="00F47914" w:rsidRDefault="00F47914" w:rsidP="00154149">
      <w:pPr>
        <w:spacing w:line="360" w:lineRule="auto"/>
        <w:ind w:firstLine="709"/>
        <w:jc w:val="both"/>
        <w:rPr>
          <w:sz w:val="24"/>
          <w:szCs w:val="24"/>
        </w:rPr>
      </w:pPr>
      <w:r w:rsidRPr="00F47914">
        <w:rPr>
          <w:sz w:val="24"/>
          <w:szCs w:val="24"/>
        </w:rPr>
        <w:t>A redução observada em 2025 pode estar relacionada a um comportamento mais localizado das queimadas e ao fortalecimento das ações de monitoramento e controle ambiental. Entretanto, a permanência de focos de calor dentro e no entorno das unidades de conservação revela a continuidade da pressão antrópica sobre essas áreas protegidas, impulsionada pela expansão agropecuária e pela abertura de novas áreas de pastagem.</w:t>
      </w:r>
    </w:p>
    <w:p w14:paraId="693CC209" w14:textId="5CFA12E4" w:rsidR="00426725" w:rsidRDefault="00426725" w:rsidP="00154149">
      <w:pPr>
        <w:spacing w:line="360" w:lineRule="auto"/>
        <w:ind w:firstLine="709"/>
        <w:jc w:val="both"/>
        <w:rPr>
          <w:sz w:val="24"/>
          <w:szCs w:val="24"/>
        </w:rPr>
      </w:pPr>
      <w:r w:rsidRPr="00426725">
        <w:rPr>
          <w:sz w:val="24"/>
          <w:szCs w:val="24"/>
        </w:rPr>
        <w:t xml:space="preserve">A análise espacial revelou que as áreas com maior densidade de focos estão concentradas principalmente nas porções norte e noroeste do município, próximas a rodovias e regiões com uso agropecuário consolidado. São Félix do Xingu, situado na região de expansão do agronegócio na Amazônia, tem vivenciado um intenso processo de transformação no uso da </w:t>
      </w:r>
      <w:r w:rsidRPr="00426725">
        <w:rPr>
          <w:sz w:val="24"/>
          <w:szCs w:val="24"/>
        </w:rPr>
        <w:lastRenderedPageBreak/>
        <w:t>terra. Esse processo é impulsionado pela abertura das florestas para a criação de pastagens, no contexto da pecuária extensiva</w:t>
      </w:r>
      <w:r w:rsidR="0071512E">
        <w:rPr>
          <w:sz w:val="24"/>
          <w:szCs w:val="24"/>
        </w:rPr>
        <w:t>,</w:t>
      </w:r>
      <w:r w:rsidR="007D47F7">
        <w:rPr>
          <w:sz w:val="24"/>
          <w:szCs w:val="24"/>
        </w:rPr>
        <w:t xml:space="preserve"> </w:t>
      </w:r>
      <w:r w:rsidR="0071512E">
        <w:rPr>
          <w:sz w:val="24"/>
          <w:szCs w:val="24"/>
        </w:rPr>
        <w:t>c</w:t>
      </w:r>
      <w:r w:rsidRPr="00426725">
        <w:rPr>
          <w:sz w:val="24"/>
          <w:szCs w:val="24"/>
        </w:rPr>
        <w:t>om o tempo, essas áreas são convertidas em vegetação secundária ou direcionadas à agricultura</w:t>
      </w:r>
      <w:r w:rsidR="0071512E" w:rsidRPr="0071512E">
        <w:rPr>
          <w:sz w:val="24"/>
          <w:szCs w:val="24"/>
        </w:rPr>
        <w:t xml:space="preserve"> </w:t>
      </w:r>
      <w:r w:rsidR="0071512E">
        <w:rPr>
          <w:sz w:val="24"/>
          <w:szCs w:val="24"/>
        </w:rPr>
        <w:t>(Alves et al., 202</w:t>
      </w:r>
      <w:r w:rsidR="005654C2">
        <w:rPr>
          <w:sz w:val="24"/>
          <w:szCs w:val="24"/>
        </w:rPr>
        <w:t>4)</w:t>
      </w:r>
      <w:r w:rsidR="0071512E" w:rsidRPr="00426725">
        <w:rPr>
          <w:sz w:val="24"/>
          <w:szCs w:val="24"/>
        </w:rPr>
        <w:t>.</w:t>
      </w:r>
    </w:p>
    <w:p w14:paraId="5B9BC6DA" w14:textId="157B7112" w:rsidR="00476968" w:rsidRDefault="00476968" w:rsidP="00154149">
      <w:pPr>
        <w:spacing w:line="360" w:lineRule="auto"/>
        <w:ind w:firstLine="709"/>
        <w:jc w:val="both"/>
        <w:rPr>
          <w:sz w:val="24"/>
          <w:szCs w:val="24"/>
        </w:rPr>
      </w:pPr>
      <w:r w:rsidRPr="00476968">
        <w:rPr>
          <w:sz w:val="24"/>
          <w:szCs w:val="24"/>
        </w:rPr>
        <w:t xml:space="preserve">Em 2020, </w:t>
      </w:r>
      <w:r w:rsidR="00315121">
        <w:rPr>
          <w:sz w:val="24"/>
          <w:szCs w:val="24"/>
        </w:rPr>
        <w:t xml:space="preserve">a </w:t>
      </w:r>
      <w:r w:rsidR="001B732E">
        <w:rPr>
          <w:sz w:val="24"/>
          <w:szCs w:val="24"/>
        </w:rPr>
        <w:t>e</w:t>
      </w:r>
      <w:r w:rsidR="00F64A91">
        <w:rPr>
          <w:sz w:val="24"/>
          <w:szCs w:val="24"/>
        </w:rPr>
        <w:t xml:space="preserve">stimativa de </w:t>
      </w:r>
      <w:r w:rsidR="001B732E">
        <w:rPr>
          <w:sz w:val="24"/>
          <w:szCs w:val="24"/>
        </w:rPr>
        <w:t>d</w:t>
      </w:r>
      <w:r w:rsidR="00315121">
        <w:rPr>
          <w:sz w:val="24"/>
          <w:szCs w:val="24"/>
        </w:rPr>
        <w:t>ensidade de</w:t>
      </w:r>
      <w:r w:rsidRPr="00476968">
        <w:rPr>
          <w:sz w:val="24"/>
          <w:szCs w:val="24"/>
        </w:rPr>
        <w:t xml:space="preserve"> Kernel indicou alta densidade de focos de calor, principalmente nas regiões norte e sudeste de São Félix do Xingu, associadas a áreas de transição entre vegetação nativa e zonas agrícolas. Em 2024, houve uma redução na densidade de focos, enquanto em 2025 observou-se uma concentração mais localizada, com maior eficiência nas estratégias de monitoramento. Apesar do aumento no número absoluto de focos em agosto e setembro de 2025, a distribuição dos focos foi mais restrita, sugerindo avanços no controle das queimadas</w:t>
      </w:r>
      <w:r w:rsidR="001B732E">
        <w:rPr>
          <w:sz w:val="24"/>
          <w:szCs w:val="24"/>
        </w:rPr>
        <w:t xml:space="preserve"> (Figura 4)</w:t>
      </w:r>
      <w:r w:rsidRPr="00476968">
        <w:rPr>
          <w:sz w:val="24"/>
          <w:szCs w:val="24"/>
        </w:rPr>
        <w:t>. As áreas de maior intensidade continuaram a refletir a relação com o uso da terra e o desmatamento para a agropecuária, com maior concentração durante o período de seca.</w:t>
      </w:r>
    </w:p>
    <w:p w14:paraId="4C6F831D" w14:textId="77777777" w:rsidR="000C2952" w:rsidRDefault="000C2952" w:rsidP="00937EDB">
      <w:pPr>
        <w:ind w:firstLine="709"/>
        <w:jc w:val="both"/>
        <w:rPr>
          <w:sz w:val="24"/>
          <w:szCs w:val="24"/>
        </w:rPr>
      </w:pPr>
    </w:p>
    <w:p w14:paraId="40A3332C" w14:textId="10D74359" w:rsidR="000B2778" w:rsidRPr="000B2778" w:rsidRDefault="000B2778" w:rsidP="000C2952">
      <w:pPr>
        <w:ind w:firstLine="709"/>
        <w:jc w:val="center"/>
      </w:pPr>
      <w:r w:rsidRPr="000B2778">
        <w:t>Figura 4 - Distribuição espacial dos focos de calor em São Félix do Xingu (PA) para os anos de 2020, 2024 e 2025.</w:t>
      </w:r>
    </w:p>
    <w:p w14:paraId="6274CFF6" w14:textId="7948CDD0" w:rsidR="00C055D9" w:rsidRDefault="00C055D9" w:rsidP="00937EDB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90CB09A" wp14:editId="06E5C1E0">
            <wp:extent cx="5647696" cy="3994150"/>
            <wp:effectExtent l="0" t="0" r="0" b="6350"/>
            <wp:docPr id="1807877929" name="Imagem 2" descr="Mapa, Gráfico de dispersã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877929" name="Imagem 2" descr="Mapa, Gráfico de dispersão&#10;&#10;O conteúdo gerado por IA pode estar incorreto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651" cy="399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D0619" w14:textId="12A3FC5D" w:rsidR="00154149" w:rsidRPr="00937EDB" w:rsidRDefault="000B2778" w:rsidP="00937EDB">
      <w:pPr>
        <w:jc w:val="both"/>
      </w:pPr>
      <w:r>
        <w:t>Fonte: Autores, 2025.</w:t>
      </w:r>
    </w:p>
    <w:p w14:paraId="128D1635" w14:textId="5A3ACD78" w:rsidR="00154149" w:rsidRDefault="00B00C8E" w:rsidP="00B00C8E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sz w:val="24"/>
          <w:szCs w:val="24"/>
        </w:rPr>
      </w:pPr>
      <w:r w:rsidRPr="00B00C8E">
        <w:rPr>
          <w:sz w:val="24"/>
          <w:szCs w:val="24"/>
        </w:rPr>
        <w:lastRenderedPageBreak/>
        <w:t>Esse padrão temporal de concentração de focos de calor no período de seca é consistente com estudos realizados por Fernandes et al. (201</w:t>
      </w:r>
      <w:r w:rsidR="00C80508">
        <w:rPr>
          <w:sz w:val="24"/>
          <w:szCs w:val="24"/>
        </w:rPr>
        <w:t>8</w:t>
      </w:r>
      <w:r w:rsidRPr="00B00C8E">
        <w:rPr>
          <w:sz w:val="24"/>
          <w:szCs w:val="24"/>
        </w:rPr>
        <w:t>), que, ao analisar a distribuição temporal dos focos de calor na Microrregião de Parauapebas (PA) entre 2011 e 2016, identificaram que os maiores índices de queimadas estavam associados a períodos de estiagem prolongada, caracterizados por poucas chuvas. Essa relação entre a seca e o aumento das queimadas também é observada em outras regiões da Amazônia, como no estado de Rondônia, onde Pereira (2021) identificou uma grande área com alta e altíssima densidade de focos de calor, particularmente na região norte do estado, reforçando a associação entre condições climáticas e a intensificação das queimadas.</w:t>
      </w:r>
    </w:p>
    <w:p w14:paraId="1F30559C" w14:textId="77777777" w:rsidR="00937EDB" w:rsidRPr="00B00C8E" w:rsidRDefault="00937EDB" w:rsidP="00B00C8E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sz w:val="24"/>
          <w:szCs w:val="24"/>
        </w:rPr>
      </w:pPr>
    </w:p>
    <w:p w14:paraId="6EF26A43" w14:textId="16037A52" w:rsidR="003949CE" w:rsidRDefault="003949CE" w:rsidP="003949CE">
      <w:pPr>
        <w:widowControl/>
        <w:tabs>
          <w:tab w:val="left" w:pos="1290"/>
        </w:tabs>
        <w:spacing w:after="160" w:line="259" w:lineRule="auto"/>
        <w:jc w:val="both"/>
        <w:rPr>
          <w:sz w:val="28"/>
          <w:szCs w:val="28"/>
        </w:rPr>
      </w:pPr>
      <w:r>
        <w:rPr>
          <w:b/>
          <w:sz w:val="24"/>
          <w:szCs w:val="24"/>
        </w:rPr>
        <w:t xml:space="preserve">4. CONSIDERAÇÕES FINAIS </w:t>
      </w:r>
    </w:p>
    <w:p w14:paraId="05746633" w14:textId="1474F047" w:rsidR="003949CE" w:rsidRDefault="003949CE" w:rsidP="00604167">
      <w:pPr>
        <w:widowControl/>
        <w:tabs>
          <w:tab w:val="left" w:pos="699"/>
        </w:tabs>
        <w:spacing w:after="16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1D19D6" w:rsidRPr="001D19D6">
        <w:rPr>
          <w:sz w:val="24"/>
          <w:szCs w:val="24"/>
        </w:rPr>
        <w:t xml:space="preserve">A análise da dinâmica espaço-temporal dos focos de calor em São Félix do Xingu, nos anos de 2020, 2024 e 2025, evidenciou a forte relação entre a ocorrência das queimadas e o período de seca, com agosto e setembro sendo os meses com maior concentração de focos de calor, especialmente devido à diminuição nas precipitações pluviométricas. </w:t>
      </w:r>
      <w:r w:rsidR="008A7DD1">
        <w:rPr>
          <w:sz w:val="24"/>
          <w:szCs w:val="24"/>
        </w:rPr>
        <w:t xml:space="preserve">A </w:t>
      </w:r>
      <w:r w:rsidR="001B732E">
        <w:rPr>
          <w:sz w:val="24"/>
          <w:szCs w:val="24"/>
        </w:rPr>
        <w:t>e</w:t>
      </w:r>
      <w:r w:rsidR="008A7DD1">
        <w:rPr>
          <w:sz w:val="24"/>
          <w:szCs w:val="24"/>
        </w:rPr>
        <w:t xml:space="preserve">stimativa de </w:t>
      </w:r>
      <w:r w:rsidR="001B732E">
        <w:rPr>
          <w:sz w:val="24"/>
          <w:szCs w:val="24"/>
        </w:rPr>
        <w:t>d</w:t>
      </w:r>
      <w:r w:rsidR="008A7DD1">
        <w:rPr>
          <w:sz w:val="24"/>
          <w:szCs w:val="24"/>
        </w:rPr>
        <w:t xml:space="preserve">ensidade </w:t>
      </w:r>
      <w:r w:rsidR="001D19D6" w:rsidRPr="001D19D6">
        <w:rPr>
          <w:sz w:val="24"/>
          <w:szCs w:val="24"/>
        </w:rPr>
        <w:t>Kernel, utilizad</w:t>
      </w:r>
      <w:r w:rsidR="008A7DD1">
        <w:rPr>
          <w:sz w:val="24"/>
          <w:szCs w:val="24"/>
        </w:rPr>
        <w:t>a</w:t>
      </w:r>
      <w:r w:rsidR="001D19D6" w:rsidRPr="001D19D6">
        <w:rPr>
          <w:sz w:val="24"/>
          <w:szCs w:val="24"/>
        </w:rPr>
        <w:t xml:space="preserve"> para estimar a densidade dos focos de calor, mostrou uma redução da densidade em 2024, seguida por uma concentração mais localizada em 2025, o que sugere que as ações de monitoramento e controle das queimadas podem ter gerado efeitos positivos, mas a pressão antrópica, principalmente a expansão agropecuária e o desmatamento ilegal, continuam a influenciar a persistência das queimadas.</w:t>
      </w:r>
    </w:p>
    <w:p w14:paraId="6B888591" w14:textId="77777777" w:rsidR="00937EDB" w:rsidRPr="00604167" w:rsidRDefault="00937EDB" w:rsidP="00604167">
      <w:pPr>
        <w:widowControl/>
        <w:tabs>
          <w:tab w:val="left" w:pos="699"/>
        </w:tabs>
        <w:spacing w:after="160" w:line="360" w:lineRule="auto"/>
        <w:ind w:firstLine="709"/>
        <w:jc w:val="both"/>
        <w:rPr>
          <w:sz w:val="24"/>
          <w:szCs w:val="24"/>
        </w:rPr>
      </w:pPr>
    </w:p>
    <w:p w14:paraId="17AC14A1" w14:textId="460C16C7" w:rsidR="007D4783" w:rsidRDefault="003949CE" w:rsidP="003949C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REFERÊNCIAS </w:t>
      </w:r>
      <w:bookmarkStart w:id="1" w:name="_gjdgxs" w:colFirst="0" w:colLast="0"/>
      <w:bookmarkEnd w:id="1"/>
    </w:p>
    <w:p w14:paraId="5AD3DFA7" w14:textId="77777777" w:rsidR="00D26987" w:rsidRPr="003949CE" w:rsidRDefault="00D26987" w:rsidP="003949CE"/>
    <w:p w14:paraId="2D77AE33" w14:textId="6CB145EB" w:rsidR="00AD2E5E" w:rsidRDefault="00AD444C" w:rsidP="00B12A37">
      <w:pPr>
        <w:spacing w:after="240" w:line="360" w:lineRule="auto"/>
        <w:jc w:val="both"/>
        <w:rPr>
          <w:sz w:val="24"/>
          <w:szCs w:val="24"/>
        </w:rPr>
      </w:pPr>
      <w:r w:rsidRPr="00AD2E5E">
        <w:rPr>
          <w:sz w:val="24"/>
          <w:szCs w:val="24"/>
        </w:rPr>
        <w:t>ALVES, W. D</w:t>
      </w:r>
      <w:r>
        <w:rPr>
          <w:sz w:val="24"/>
          <w:szCs w:val="24"/>
        </w:rPr>
        <w:t>.;</w:t>
      </w:r>
      <w:r w:rsidRPr="00AD2E5E">
        <w:rPr>
          <w:sz w:val="24"/>
          <w:szCs w:val="24"/>
        </w:rPr>
        <w:t xml:space="preserve"> PIRES, E. R. B.</w:t>
      </w:r>
      <w:r>
        <w:rPr>
          <w:sz w:val="24"/>
          <w:szCs w:val="24"/>
        </w:rPr>
        <w:t>;</w:t>
      </w:r>
      <w:r w:rsidRPr="00AD2E5E">
        <w:rPr>
          <w:sz w:val="24"/>
          <w:szCs w:val="24"/>
        </w:rPr>
        <w:t xml:space="preserve"> SOUSA, J. A. D. DE</w:t>
      </w:r>
      <w:r>
        <w:rPr>
          <w:sz w:val="24"/>
          <w:szCs w:val="24"/>
        </w:rPr>
        <w:t>.;</w:t>
      </w:r>
      <w:r w:rsidRPr="00AD2E5E">
        <w:rPr>
          <w:sz w:val="24"/>
          <w:szCs w:val="24"/>
        </w:rPr>
        <w:t xml:space="preserve"> CORRÊA, P. R. S.</w:t>
      </w:r>
      <w:r>
        <w:rPr>
          <w:sz w:val="24"/>
          <w:szCs w:val="24"/>
        </w:rPr>
        <w:t>;</w:t>
      </w:r>
      <w:r w:rsidRPr="00AD2E5E">
        <w:rPr>
          <w:sz w:val="24"/>
          <w:szCs w:val="24"/>
        </w:rPr>
        <w:t xml:space="preserve"> CEREJA, S. S. DOS A.</w:t>
      </w:r>
      <w:r>
        <w:rPr>
          <w:sz w:val="24"/>
          <w:szCs w:val="24"/>
        </w:rPr>
        <w:t>;</w:t>
      </w:r>
      <w:r w:rsidRPr="00AD2E5E">
        <w:rPr>
          <w:sz w:val="24"/>
          <w:szCs w:val="24"/>
        </w:rPr>
        <w:t xml:space="preserve"> CARVALHO, M. R. S. DE</w:t>
      </w:r>
      <w:r>
        <w:rPr>
          <w:sz w:val="24"/>
          <w:szCs w:val="24"/>
        </w:rPr>
        <w:t>.;</w:t>
      </w:r>
      <w:r w:rsidRPr="00AD2E5E">
        <w:rPr>
          <w:sz w:val="24"/>
          <w:szCs w:val="24"/>
        </w:rPr>
        <w:t xml:space="preserve"> CHAVES, R. P.</w:t>
      </w:r>
      <w:r>
        <w:rPr>
          <w:sz w:val="24"/>
          <w:szCs w:val="24"/>
        </w:rPr>
        <w:t>;</w:t>
      </w:r>
      <w:r w:rsidRPr="00AD2E5E">
        <w:rPr>
          <w:sz w:val="24"/>
          <w:szCs w:val="24"/>
        </w:rPr>
        <w:t xml:space="preserve"> PINHEIRO, W. F.</w:t>
      </w:r>
      <w:r w:rsidR="00AD2E5E" w:rsidRPr="00AD2E5E">
        <w:rPr>
          <w:sz w:val="24"/>
          <w:szCs w:val="24"/>
        </w:rPr>
        <w:t xml:space="preserve"> (2024). </w:t>
      </w:r>
      <w:r w:rsidR="0087798A" w:rsidRPr="00AD2E5E">
        <w:rPr>
          <w:sz w:val="24"/>
          <w:szCs w:val="24"/>
        </w:rPr>
        <w:t xml:space="preserve">Análise comparativa entre classificação de imagens de satélite e índices espectrais de vegetação: estudo de caso do município de </w:t>
      </w:r>
      <w:r w:rsidR="0087798A">
        <w:rPr>
          <w:sz w:val="24"/>
          <w:szCs w:val="24"/>
        </w:rPr>
        <w:t>S</w:t>
      </w:r>
      <w:r w:rsidR="0087798A" w:rsidRPr="00AD2E5E">
        <w:rPr>
          <w:sz w:val="24"/>
          <w:szCs w:val="24"/>
        </w:rPr>
        <w:t xml:space="preserve">ão </w:t>
      </w:r>
      <w:r w:rsidR="0087798A">
        <w:rPr>
          <w:sz w:val="24"/>
          <w:szCs w:val="24"/>
        </w:rPr>
        <w:t>F</w:t>
      </w:r>
      <w:r w:rsidR="0087798A" w:rsidRPr="00AD2E5E">
        <w:rPr>
          <w:sz w:val="24"/>
          <w:szCs w:val="24"/>
        </w:rPr>
        <w:t xml:space="preserve">élix do </w:t>
      </w:r>
      <w:r w:rsidR="0087798A">
        <w:rPr>
          <w:sz w:val="24"/>
          <w:szCs w:val="24"/>
        </w:rPr>
        <w:t>X</w:t>
      </w:r>
      <w:r w:rsidR="0087798A" w:rsidRPr="00AD2E5E">
        <w:rPr>
          <w:sz w:val="24"/>
          <w:szCs w:val="24"/>
        </w:rPr>
        <w:t>ingu-</w:t>
      </w:r>
      <w:r w:rsidR="0087798A">
        <w:rPr>
          <w:sz w:val="24"/>
          <w:szCs w:val="24"/>
        </w:rPr>
        <w:t>P</w:t>
      </w:r>
      <w:r w:rsidR="0087798A" w:rsidRPr="00AD2E5E">
        <w:rPr>
          <w:sz w:val="24"/>
          <w:szCs w:val="24"/>
        </w:rPr>
        <w:t>ará</w:t>
      </w:r>
      <w:r w:rsidR="00AD2E5E" w:rsidRPr="00AD2E5E">
        <w:rPr>
          <w:sz w:val="24"/>
          <w:szCs w:val="24"/>
        </w:rPr>
        <w:t>. </w:t>
      </w:r>
      <w:r w:rsidR="00AD2E5E" w:rsidRPr="00B12A37">
        <w:rPr>
          <w:b/>
          <w:bCs/>
          <w:sz w:val="24"/>
          <w:szCs w:val="24"/>
        </w:rPr>
        <w:t>REVISTA FOCO</w:t>
      </w:r>
      <w:r w:rsidR="00AD2E5E" w:rsidRPr="00AD2E5E">
        <w:rPr>
          <w:sz w:val="24"/>
          <w:szCs w:val="24"/>
        </w:rPr>
        <w:t>, </w:t>
      </w:r>
      <w:r w:rsidR="00AD2E5E" w:rsidRPr="00B12A37">
        <w:rPr>
          <w:sz w:val="24"/>
          <w:szCs w:val="24"/>
        </w:rPr>
        <w:t>17</w:t>
      </w:r>
      <w:r w:rsidR="00AD2E5E" w:rsidRPr="00AD2E5E">
        <w:rPr>
          <w:sz w:val="24"/>
          <w:szCs w:val="24"/>
        </w:rPr>
        <w:t>(9), e6319</w:t>
      </w:r>
      <w:r w:rsidR="0087798A">
        <w:rPr>
          <w:sz w:val="24"/>
          <w:szCs w:val="24"/>
        </w:rPr>
        <w:t>,</w:t>
      </w:r>
      <w:r>
        <w:rPr>
          <w:sz w:val="24"/>
          <w:szCs w:val="24"/>
        </w:rPr>
        <w:t>2024</w:t>
      </w:r>
      <w:r w:rsidR="0087798A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7AFD36B0" w14:textId="6F3103F3" w:rsidR="00882FFA" w:rsidRDefault="00882FFA" w:rsidP="00B12A37">
      <w:pPr>
        <w:spacing w:after="240" w:line="360" w:lineRule="auto"/>
        <w:jc w:val="both"/>
        <w:rPr>
          <w:sz w:val="24"/>
          <w:szCs w:val="24"/>
        </w:rPr>
      </w:pPr>
      <w:r w:rsidRPr="00882FFA">
        <w:rPr>
          <w:sz w:val="24"/>
          <w:szCs w:val="24"/>
        </w:rPr>
        <w:t>ANA. Agência Nacional de Águas e Saneamento Básico. Sistema Nacional de Informações sobre Recursos Hídricos. Unidades de Conservação.</w:t>
      </w:r>
      <w:r w:rsidR="00280930">
        <w:rPr>
          <w:sz w:val="24"/>
          <w:szCs w:val="24"/>
        </w:rPr>
        <w:t xml:space="preserve"> 2019. </w:t>
      </w:r>
      <w:r w:rsidRPr="00882FFA">
        <w:rPr>
          <w:sz w:val="24"/>
          <w:szCs w:val="24"/>
        </w:rPr>
        <w:t xml:space="preserve">Disponível em: </w:t>
      </w:r>
      <w:r w:rsidRPr="00882FFA">
        <w:rPr>
          <w:sz w:val="24"/>
          <w:szCs w:val="24"/>
        </w:rPr>
        <w:lastRenderedPageBreak/>
        <w:t xml:space="preserve">https://metadados.snirh.gov.br/geonetwork/srv/api/records/9407d38f-84d2-48ea-97dd-ee152c493043. Acesso em: </w:t>
      </w:r>
      <w:r w:rsidR="00280930">
        <w:rPr>
          <w:sz w:val="24"/>
          <w:szCs w:val="24"/>
        </w:rPr>
        <w:t>13 de</w:t>
      </w:r>
      <w:r w:rsidRPr="00882FFA">
        <w:rPr>
          <w:sz w:val="24"/>
          <w:szCs w:val="24"/>
        </w:rPr>
        <w:t xml:space="preserve"> ou</w:t>
      </w:r>
      <w:r>
        <w:rPr>
          <w:sz w:val="24"/>
          <w:szCs w:val="24"/>
        </w:rPr>
        <w:t>tubro</w:t>
      </w:r>
      <w:r w:rsidRPr="00882FFA">
        <w:rPr>
          <w:sz w:val="24"/>
          <w:szCs w:val="24"/>
        </w:rPr>
        <w:t xml:space="preserve"> 2025.</w:t>
      </w:r>
    </w:p>
    <w:p w14:paraId="30054462" w14:textId="77777777" w:rsidR="007D4783" w:rsidRDefault="007D4783" w:rsidP="00B12A37">
      <w:pPr>
        <w:spacing w:after="240" w:line="360" w:lineRule="auto"/>
        <w:jc w:val="both"/>
        <w:rPr>
          <w:sz w:val="24"/>
          <w:szCs w:val="24"/>
        </w:rPr>
      </w:pPr>
      <w:r w:rsidRPr="00C80508">
        <w:rPr>
          <w:sz w:val="24"/>
          <w:szCs w:val="24"/>
        </w:rPr>
        <w:t xml:space="preserve">FERNANDES, T. HACON, S. S.; NOVAIS, J. W. Z., SOUZA, I. P.; FERNANDES, T. Detecção e análise de focos de calor no município de Parauapebas-PA, Brasil por meio da aplicação de geotecnologia. </w:t>
      </w:r>
      <w:r w:rsidRPr="00B12A37">
        <w:rPr>
          <w:b/>
          <w:bCs/>
          <w:sz w:val="24"/>
          <w:szCs w:val="24"/>
        </w:rPr>
        <w:t>Enciclopédia Biosfera</w:t>
      </w:r>
      <w:r w:rsidRPr="00C80508">
        <w:rPr>
          <w:sz w:val="24"/>
          <w:szCs w:val="24"/>
        </w:rPr>
        <w:t>, Goiânia-GO, v. 15, n. 28, p. 398, 2018.</w:t>
      </w:r>
    </w:p>
    <w:p w14:paraId="551D2038" w14:textId="65FF9930" w:rsidR="007D4783" w:rsidRDefault="007D4783" w:rsidP="006A600B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</w:t>
      </w:r>
      <w:r w:rsidRPr="00A936E1">
        <w:rPr>
          <w:sz w:val="24"/>
          <w:szCs w:val="24"/>
        </w:rPr>
        <w:t>BGE. Instituto Brasileiro de Geografia e Estatística. IBGE CIDADES. 202</w:t>
      </w:r>
      <w:r>
        <w:rPr>
          <w:sz w:val="24"/>
          <w:szCs w:val="24"/>
        </w:rPr>
        <w:t>2</w:t>
      </w:r>
      <w:r w:rsidRPr="00A936E1">
        <w:rPr>
          <w:sz w:val="24"/>
          <w:szCs w:val="24"/>
        </w:rPr>
        <w:t>.</w:t>
      </w:r>
      <w:r>
        <w:rPr>
          <w:sz w:val="24"/>
          <w:szCs w:val="24"/>
        </w:rPr>
        <w:t xml:space="preserve">Disponível: </w:t>
      </w:r>
      <w:r w:rsidRPr="00882FFA">
        <w:rPr>
          <w:sz w:val="24"/>
          <w:szCs w:val="24"/>
        </w:rPr>
        <w:t>https://cidades.ibge.gov.br/brasil/pa/sao-felix-do-xingu/pesquisa/10102/122229</w:t>
      </w:r>
      <w:r>
        <w:rPr>
          <w:sz w:val="24"/>
          <w:szCs w:val="24"/>
        </w:rPr>
        <w:t>. Aceso em: 13 de outubro de 2025.</w:t>
      </w:r>
    </w:p>
    <w:p w14:paraId="291A79B4" w14:textId="3A5FC39E" w:rsidR="00084A04" w:rsidRDefault="00084A04" w:rsidP="006A600B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</w:t>
      </w:r>
      <w:r w:rsidRPr="00A936E1">
        <w:rPr>
          <w:sz w:val="24"/>
          <w:szCs w:val="24"/>
        </w:rPr>
        <w:t>BGE. Instituto Brasileiro de Geografia e Estatística. IBGE CIDADES</w:t>
      </w:r>
      <w:r w:rsidR="00FE77E7">
        <w:rPr>
          <w:sz w:val="24"/>
          <w:szCs w:val="24"/>
        </w:rPr>
        <w:t xml:space="preserve">. 2024. </w:t>
      </w:r>
      <w:r>
        <w:rPr>
          <w:sz w:val="24"/>
          <w:szCs w:val="24"/>
        </w:rPr>
        <w:t>Disponível</w:t>
      </w:r>
      <w:r w:rsidRPr="00084A04">
        <w:rPr>
          <w:sz w:val="24"/>
          <w:szCs w:val="24"/>
        </w:rPr>
        <w:t xml:space="preserve"> </w:t>
      </w:r>
      <w:r w:rsidR="004A3CAC" w:rsidRPr="00882FFA">
        <w:rPr>
          <w:sz w:val="24"/>
          <w:szCs w:val="24"/>
        </w:rPr>
        <w:t>https://cidades.ibge.gov.br/brasil/pa/sao-felix-do-xingu/pesquisa/18/0</w:t>
      </w:r>
      <w:r w:rsidR="004A3CAC">
        <w:rPr>
          <w:sz w:val="24"/>
          <w:szCs w:val="24"/>
        </w:rPr>
        <w:t xml:space="preserve">. </w:t>
      </w:r>
      <w:r w:rsidR="006A600B">
        <w:rPr>
          <w:sz w:val="24"/>
          <w:szCs w:val="24"/>
        </w:rPr>
        <w:t>Acesso em: 26 de outubro de 2025.</w:t>
      </w:r>
    </w:p>
    <w:p w14:paraId="4F3ACAD8" w14:textId="41903E8D" w:rsidR="00F914F0" w:rsidRDefault="00F914F0" w:rsidP="006A600B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INPE</w:t>
      </w:r>
      <w:r w:rsidR="00BB0083">
        <w:rPr>
          <w:sz w:val="24"/>
          <w:szCs w:val="24"/>
        </w:rPr>
        <w:t xml:space="preserve">.  </w:t>
      </w:r>
      <w:r w:rsidR="00BB0083" w:rsidRPr="00BB0083">
        <w:rPr>
          <w:sz w:val="24"/>
          <w:szCs w:val="24"/>
        </w:rPr>
        <w:t xml:space="preserve">Instituto Nacional de Pesquisas Espaciais. BD Queimadas: Plataforma de monitoramento e alerta de fogo na vegetação. Disponível em: </w:t>
      </w:r>
      <w:r w:rsidR="00BB0083" w:rsidRPr="00882FFA">
        <w:rPr>
          <w:sz w:val="24"/>
          <w:szCs w:val="24"/>
        </w:rPr>
        <w:t>https://terrabrasilis.dpi.inpe.br/queimadas/bdqueimadas/#graficos</w:t>
      </w:r>
      <w:r w:rsidR="00BB0083" w:rsidRPr="00BB0083">
        <w:rPr>
          <w:sz w:val="24"/>
          <w:szCs w:val="24"/>
        </w:rPr>
        <w:t>. Acesso em:</w:t>
      </w:r>
      <w:r w:rsidR="00BB0083">
        <w:rPr>
          <w:sz w:val="24"/>
          <w:szCs w:val="24"/>
        </w:rPr>
        <w:t xml:space="preserve"> </w:t>
      </w:r>
      <w:r w:rsidR="007A2EBD">
        <w:rPr>
          <w:sz w:val="24"/>
          <w:szCs w:val="24"/>
        </w:rPr>
        <w:t>13 de outubro de 2025.</w:t>
      </w:r>
    </w:p>
    <w:p w14:paraId="5969DC29" w14:textId="77777777" w:rsidR="007D4783" w:rsidRDefault="007D4783" w:rsidP="00B12A37">
      <w:pPr>
        <w:spacing w:after="240" w:line="360" w:lineRule="auto"/>
        <w:jc w:val="both"/>
        <w:rPr>
          <w:sz w:val="24"/>
          <w:szCs w:val="24"/>
        </w:rPr>
      </w:pPr>
      <w:r w:rsidRPr="00567AD6">
        <w:rPr>
          <w:sz w:val="24"/>
          <w:szCs w:val="24"/>
        </w:rPr>
        <w:t>PEREIRA,  M</w:t>
      </w:r>
      <w:r>
        <w:rPr>
          <w:sz w:val="24"/>
          <w:szCs w:val="24"/>
        </w:rPr>
        <w:t>.</w:t>
      </w:r>
      <w:r w:rsidRPr="00567AD6">
        <w:rPr>
          <w:sz w:val="24"/>
          <w:szCs w:val="24"/>
        </w:rPr>
        <w:t xml:space="preserve">  T</w:t>
      </w:r>
      <w:r>
        <w:rPr>
          <w:sz w:val="24"/>
          <w:szCs w:val="24"/>
        </w:rPr>
        <w:t>.</w:t>
      </w:r>
      <w:r w:rsidRPr="00567AD6">
        <w:rPr>
          <w:sz w:val="24"/>
          <w:szCs w:val="24"/>
        </w:rPr>
        <w:t xml:space="preserve"> S.  Dinâmica  dos  focos  de  calor, desmatamento e ascondições meteorológicas no estado de Rondônia. 2021.</w:t>
      </w:r>
    </w:p>
    <w:p w14:paraId="033855F4" w14:textId="0CDE7E41" w:rsidR="005654C2" w:rsidRPr="00326C1F" w:rsidRDefault="005654C2" w:rsidP="00B12A37">
      <w:pPr>
        <w:spacing w:after="240" w:line="360" w:lineRule="auto"/>
        <w:jc w:val="both"/>
        <w:rPr>
          <w:sz w:val="24"/>
          <w:szCs w:val="24"/>
        </w:rPr>
      </w:pPr>
      <w:r w:rsidRPr="00276122">
        <w:rPr>
          <w:sz w:val="24"/>
          <w:szCs w:val="24"/>
        </w:rPr>
        <w:t>SABINO, B. T. S.</w:t>
      </w:r>
      <w:r>
        <w:rPr>
          <w:sz w:val="24"/>
          <w:szCs w:val="24"/>
        </w:rPr>
        <w:t>;</w:t>
      </w:r>
      <w:r w:rsidRPr="00276122">
        <w:rPr>
          <w:sz w:val="24"/>
          <w:szCs w:val="24"/>
        </w:rPr>
        <w:t>DE OLIVEIRA, F. P.</w:t>
      </w:r>
      <w:r>
        <w:rPr>
          <w:sz w:val="24"/>
          <w:szCs w:val="24"/>
        </w:rPr>
        <w:t>;</w:t>
      </w:r>
      <w:r w:rsidRPr="00276122">
        <w:rPr>
          <w:sz w:val="24"/>
          <w:szCs w:val="24"/>
        </w:rPr>
        <w:t xml:space="preserve"> DA SILVA, P. L. F.</w:t>
      </w:r>
      <w:r>
        <w:rPr>
          <w:sz w:val="24"/>
          <w:szCs w:val="24"/>
        </w:rPr>
        <w:t>;</w:t>
      </w:r>
      <w:r w:rsidRPr="00276122">
        <w:rPr>
          <w:sz w:val="24"/>
          <w:szCs w:val="24"/>
        </w:rPr>
        <w:t xml:space="preserve"> DA NÓBREGA, C. C.</w:t>
      </w:r>
      <w:r>
        <w:rPr>
          <w:sz w:val="24"/>
          <w:szCs w:val="24"/>
        </w:rPr>
        <w:t>;</w:t>
      </w:r>
      <w:r w:rsidRPr="00276122">
        <w:rPr>
          <w:sz w:val="24"/>
          <w:szCs w:val="24"/>
        </w:rPr>
        <w:t xml:space="preserve"> DE OLIVEIRA DIAS, B.</w:t>
      </w:r>
      <w:r>
        <w:rPr>
          <w:sz w:val="24"/>
          <w:szCs w:val="24"/>
        </w:rPr>
        <w:t xml:space="preserve">; </w:t>
      </w:r>
      <w:r w:rsidRPr="00276122">
        <w:rPr>
          <w:sz w:val="24"/>
          <w:szCs w:val="24"/>
        </w:rPr>
        <w:t>CAMPOS, M. C. C</w:t>
      </w:r>
      <w:r>
        <w:rPr>
          <w:sz w:val="24"/>
          <w:szCs w:val="24"/>
        </w:rPr>
        <w:t xml:space="preserve">. </w:t>
      </w:r>
      <w:r w:rsidRPr="00BD71D1">
        <w:rPr>
          <w:sz w:val="24"/>
          <w:szCs w:val="24"/>
        </w:rPr>
        <w:t xml:space="preserve">Qualidade de solo aos oito anos de condução sob sistemas integrados de produção agropecuária. </w:t>
      </w:r>
      <w:r w:rsidRPr="00276122">
        <w:rPr>
          <w:b/>
          <w:bCs/>
          <w:sz w:val="24"/>
          <w:szCs w:val="24"/>
        </w:rPr>
        <w:t>Revista Valore</w:t>
      </w:r>
      <w:r w:rsidRPr="00BD71D1">
        <w:rPr>
          <w:sz w:val="24"/>
          <w:szCs w:val="24"/>
        </w:rPr>
        <w:t>, v. 8, p. 144-155, 2023.</w:t>
      </w:r>
    </w:p>
    <w:p w14:paraId="4D2FE63D" w14:textId="77777777" w:rsidR="007D4783" w:rsidRDefault="007D4783" w:rsidP="00B12A37">
      <w:pPr>
        <w:spacing w:after="240" w:line="360" w:lineRule="auto"/>
        <w:jc w:val="both"/>
        <w:rPr>
          <w:sz w:val="24"/>
          <w:szCs w:val="24"/>
        </w:rPr>
      </w:pPr>
      <w:r w:rsidRPr="00664986">
        <w:rPr>
          <w:sz w:val="24"/>
          <w:szCs w:val="24"/>
        </w:rPr>
        <w:t xml:space="preserve">SILVA, M. G. </w:t>
      </w:r>
      <w:r>
        <w:rPr>
          <w:sz w:val="24"/>
          <w:szCs w:val="24"/>
        </w:rPr>
        <w:t>D</w:t>
      </w:r>
      <w:r w:rsidRPr="00664986">
        <w:rPr>
          <w:sz w:val="24"/>
          <w:szCs w:val="24"/>
        </w:rPr>
        <w:t>A</w:t>
      </w:r>
      <w:r>
        <w:rPr>
          <w:sz w:val="24"/>
          <w:szCs w:val="24"/>
        </w:rPr>
        <w:t>.;</w:t>
      </w:r>
      <w:r w:rsidRPr="00664986">
        <w:rPr>
          <w:sz w:val="24"/>
          <w:szCs w:val="24"/>
        </w:rPr>
        <w:t xml:space="preserve"> FURTADO, G. DO N</w:t>
      </w:r>
      <w:r>
        <w:rPr>
          <w:sz w:val="24"/>
          <w:szCs w:val="24"/>
        </w:rPr>
        <w:t xml:space="preserve">. </w:t>
      </w:r>
      <w:r w:rsidRPr="00664986">
        <w:rPr>
          <w:sz w:val="24"/>
          <w:szCs w:val="24"/>
        </w:rPr>
        <w:t xml:space="preserve">Análise espacial dos focos de calor no município de São Félix do Xingu, Estado do Pará, Brasil. </w:t>
      </w:r>
      <w:r w:rsidRPr="00F87681">
        <w:rPr>
          <w:b/>
          <w:bCs/>
          <w:sz w:val="24"/>
          <w:szCs w:val="24"/>
        </w:rPr>
        <w:t>Research, Society and Development</w:t>
      </w:r>
      <w:r w:rsidRPr="00664986">
        <w:rPr>
          <w:sz w:val="24"/>
          <w:szCs w:val="24"/>
        </w:rPr>
        <w:t>, 9(11), 1–17</w:t>
      </w:r>
      <w:r>
        <w:rPr>
          <w:sz w:val="24"/>
          <w:szCs w:val="24"/>
        </w:rPr>
        <w:t>, 2020.</w:t>
      </w:r>
    </w:p>
    <w:p w14:paraId="3D24668A" w14:textId="075D22D7" w:rsidR="002644D4" w:rsidRDefault="002644D4" w:rsidP="00B12A37">
      <w:pPr>
        <w:spacing w:after="240" w:line="360" w:lineRule="auto"/>
        <w:jc w:val="both"/>
        <w:rPr>
          <w:sz w:val="24"/>
          <w:szCs w:val="24"/>
        </w:rPr>
      </w:pPr>
      <w:r w:rsidRPr="002644D4">
        <w:rPr>
          <w:sz w:val="24"/>
          <w:szCs w:val="24"/>
        </w:rPr>
        <w:t>TOMCHINSKY B</w:t>
      </w:r>
      <w:r>
        <w:rPr>
          <w:sz w:val="24"/>
          <w:szCs w:val="24"/>
        </w:rPr>
        <w:t>.;</w:t>
      </w:r>
      <w:r w:rsidRPr="002644D4">
        <w:rPr>
          <w:sz w:val="24"/>
          <w:szCs w:val="24"/>
        </w:rPr>
        <w:t xml:space="preserve">SOUZA KNS. Terras indígenas e unidades de conservação como estratégia para a conservação ambiental do Sudeste do Pará. </w:t>
      </w:r>
      <w:r w:rsidRPr="002644D4">
        <w:rPr>
          <w:b/>
          <w:bCs/>
          <w:sz w:val="24"/>
          <w:szCs w:val="24"/>
        </w:rPr>
        <w:t>Biodivers</w:t>
      </w:r>
      <w:r w:rsidRPr="002644D4">
        <w:rPr>
          <w:sz w:val="24"/>
          <w:szCs w:val="24"/>
        </w:rPr>
        <w:t>. Bras. 2025; 15(2): 44-59.</w:t>
      </w:r>
    </w:p>
    <w:sectPr w:rsidR="002644D4" w:rsidSect="006C3DCE">
      <w:headerReference w:type="default" r:id="rId16"/>
      <w:footerReference w:type="default" r:id="rId17"/>
      <w:type w:val="continuous"/>
      <w:pgSz w:w="11910" w:h="16840"/>
      <w:pgMar w:top="1701" w:right="1134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3B5BDC" w14:textId="77777777" w:rsidR="00B12187" w:rsidRDefault="00B12187" w:rsidP="005A1575">
      <w:r>
        <w:separator/>
      </w:r>
    </w:p>
  </w:endnote>
  <w:endnote w:type="continuationSeparator" w:id="0">
    <w:p w14:paraId="14369827" w14:textId="77777777" w:rsidR="00B12187" w:rsidRDefault="00B12187" w:rsidP="005A1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7E4EA" w14:textId="134574BA" w:rsidR="005A1575" w:rsidRDefault="004B3806">
    <w:pPr>
      <w:pStyle w:val="Rodap"/>
    </w:pPr>
    <w:r>
      <w:rPr>
        <w:noProof/>
      </w:rPr>
      <w:drawing>
        <wp:anchor distT="0" distB="0" distL="114300" distR="114300" simplePos="0" relativeHeight="251624960" behindDoc="0" locked="0" layoutInCell="1" allowOverlap="1" wp14:anchorId="38BD3C9F" wp14:editId="6A9BCEB9">
          <wp:simplePos x="0" y="0"/>
          <wp:positionH relativeFrom="margin">
            <wp:align>left</wp:align>
          </wp:positionH>
          <wp:positionV relativeFrom="page">
            <wp:posOffset>9994265</wp:posOffset>
          </wp:positionV>
          <wp:extent cx="600075" cy="191770"/>
          <wp:effectExtent l="0" t="0" r="0" b="0"/>
          <wp:wrapSquare wrapText="bothSides"/>
          <wp:docPr id="1333358610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191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7184" behindDoc="0" locked="0" layoutInCell="1" allowOverlap="1" wp14:anchorId="133CF920" wp14:editId="4948997F">
          <wp:simplePos x="0" y="0"/>
          <wp:positionH relativeFrom="column">
            <wp:posOffset>2644140</wp:posOffset>
          </wp:positionH>
          <wp:positionV relativeFrom="page">
            <wp:posOffset>9987915</wp:posOffset>
          </wp:positionV>
          <wp:extent cx="419100" cy="241935"/>
          <wp:effectExtent l="0" t="0" r="0" b="0"/>
          <wp:wrapSquare wrapText="bothSides"/>
          <wp:docPr id="954548022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241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1575">
      <w:rPr>
        <w:noProof/>
      </w:rPr>
      <w:drawing>
        <wp:anchor distT="0" distB="0" distL="114300" distR="114300" simplePos="0" relativeHeight="251653632" behindDoc="0" locked="0" layoutInCell="1" allowOverlap="1" wp14:anchorId="0D209678" wp14:editId="6C20E5A0">
          <wp:simplePos x="0" y="0"/>
          <wp:positionH relativeFrom="column">
            <wp:posOffset>850900</wp:posOffset>
          </wp:positionH>
          <wp:positionV relativeFrom="page">
            <wp:posOffset>10152380</wp:posOffset>
          </wp:positionV>
          <wp:extent cx="1231265" cy="384175"/>
          <wp:effectExtent l="0" t="0" r="6985" b="0"/>
          <wp:wrapSquare wrapText="bothSides"/>
          <wp:docPr id="1218788818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265" cy="384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A1575">
      <w:rPr>
        <w:noProof/>
      </w:rPr>
      <w:drawing>
        <wp:anchor distT="0" distB="0" distL="114300" distR="114300" simplePos="0" relativeHeight="251693568" behindDoc="0" locked="0" layoutInCell="1" allowOverlap="1" wp14:anchorId="31A1BFA6" wp14:editId="2E91DF3C">
          <wp:simplePos x="0" y="0"/>
          <wp:positionH relativeFrom="column">
            <wp:posOffset>3139440</wp:posOffset>
          </wp:positionH>
          <wp:positionV relativeFrom="page">
            <wp:posOffset>10172700</wp:posOffset>
          </wp:positionV>
          <wp:extent cx="542290" cy="384175"/>
          <wp:effectExtent l="0" t="0" r="0" b="0"/>
          <wp:wrapSquare wrapText="bothSides"/>
          <wp:docPr id="2023691315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384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A1575">
      <w:rPr>
        <w:noProof/>
      </w:rPr>
      <w:drawing>
        <wp:anchor distT="0" distB="0" distL="114300" distR="114300" simplePos="0" relativeHeight="251708928" behindDoc="0" locked="0" layoutInCell="1" allowOverlap="1" wp14:anchorId="2AE4657F" wp14:editId="21F15F58">
          <wp:simplePos x="0" y="0"/>
          <wp:positionH relativeFrom="column">
            <wp:posOffset>3910965</wp:posOffset>
          </wp:positionH>
          <wp:positionV relativeFrom="page">
            <wp:posOffset>10176510</wp:posOffset>
          </wp:positionV>
          <wp:extent cx="914400" cy="353695"/>
          <wp:effectExtent l="0" t="0" r="0" b="8255"/>
          <wp:wrapSquare wrapText="bothSides"/>
          <wp:docPr id="123103973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A1575">
      <w:rPr>
        <w:noProof/>
      </w:rPr>
      <w:drawing>
        <wp:anchor distT="0" distB="0" distL="114300" distR="114300" simplePos="0" relativeHeight="251721216" behindDoc="0" locked="0" layoutInCell="1" allowOverlap="1" wp14:anchorId="5853B3B1" wp14:editId="5C9D517F">
          <wp:simplePos x="0" y="0"/>
          <wp:positionH relativeFrom="column">
            <wp:posOffset>5006340</wp:posOffset>
          </wp:positionH>
          <wp:positionV relativeFrom="page">
            <wp:posOffset>10182225</wp:posOffset>
          </wp:positionV>
          <wp:extent cx="756285" cy="335280"/>
          <wp:effectExtent l="0" t="0" r="5715" b="7620"/>
          <wp:wrapSquare wrapText="bothSides"/>
          <wp:docPr id="1212957140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" cy="335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A08EBD" w14:textId="77777777" w:rsidR="00B12187" w:rsidRDefault="00B12187" w:rsidP="005A1575">
      <w:r>
        <w:separator/>
      </w:r>
    </w:p>
  </w:footnote>
  <w:footnote w:type="continuationSeparator" w:id="0">
    <w:p w14:paraId="5B7F4348" w14:textId="77777777" w:rsidR="00B12187" w:rsidRDefault="00B12187" w:rsidP="005A1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287E9" w14:textId="281CD96B" w:rsidR="005A1575" w:rsidRPr="005A1575" w:rsidRDefault="00177FDF" w:rsidP="005A1575">
    <w:pPr>
      <w:pStyle w:val="Cabealho"/>
      <w:jc w:val="center"/>
    </w:pPr>
    <w:r>
      <w:rPr>
        <w:noProof/>
      </w:rPr>
      <w:drawing>
        <wp:inline distT="0" distB="0" distL="0" distR="0" wp14:anchorId="75CDB71C" wp14:editId="6FF693D2">
          <wp:extent cx="3253105" cy="1610360"/>
          <wp:effectExtent l="0" t="0" r="0" b="0"/>
          <wp:docPr id="1222666444" name="Imagem 1" descr="Logotipo, nome da empres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2666444" name="Imagem 1" descr="Logotipo, nome da empresa&#10;&#10;O conteúdo gerado por IA pode estar incorreto.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65" t="33993" r="-2172" b="26667"/>
                  <a:stretch>
                    <a:fillRect/>
                  </a:stretch>
                </pic:blipFill>
                <pic:spPr bwMode="auto">
                  <a:xfrm>
                    <a:off x="0" y="0"/>
                    <a:ext cx="3253105" cy="1610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alt="Desenho de lápis de cor&#10;&#10;O conteúdo gerado por IA pode estar incorreto." style="width:13.8pt;height:12.6pt;visibility:visible;mso-wrap-style:square" o:bullet="t">
        <v:imagedata r:id="rId1" o:title="Desenho de lápis de cor&#10;&#10;O conteúdo gerado por IA pode estar incorreto"/>
        <o:lock v:ext="edit" aspectratio="f"/>
      </v:shape>
    </w:pict>
  </w:numPicBullet>
  <w:abstractNum w:abstractNumId="0" w15:restartNumberingAfterBreak="0">
    <w:nsid w:val="00085097"/>
    <w:multiLevelType w:val="hybridMultilevel"/>
    <w:tmpl w:val="F4366B92"/>
    <w:lvl w:ilvl="0" w:tplc="48DEDE6C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99"/>
        <w:sz w:val="20"/>
        <w:szCs w:val="20"/>
        <w:lang w:val="pt-PT" w:eastAsia="en-US" w:bidi="ar-SA"/>
      </w:rPr>
    </w:lvl>
    <w:lvl w:ilvl="1" w:tplc="67DCBFB4">
      <w:numFmt w:val="bullet"/>
      <w:lvlText w:val="•"/>
      <w:lvlJc w:val="left"/>
      <w:pPr>
        <w:ind w:left="1610" w:hanging="360"/>
      </w:pPr>
      <w:rPr>
        <w:rFonts w:hint="default"/>
        <w:lang w:val="pt-PT" w:eastAsia="en-US" w:bidi="ar-SA"/>
      </w:rPr>
    </w:lvl>
    <w:lvl w:ilvl="2" w:tplc="E18AFBE4">
      <w:numFmt w:val="bullet"/>
      <w:lvlText w:val="•"/>
      <w:lvlJc w:val="left"/>
      <w:pPr>
        <w:ind w:left="2401" w:hanging="360"/>
      </w:pPr>
      <w:rPr>
        <w:rFonts w:hint="default"/>
        <w:lang w:val="pt-PT" w:eastAsia="en-US" w:bidi="ar-SA"/>
      </w:rPr>
    </w:lvl>
    <w:lvl w:ilvl="3" w:tplc="F5CAE5BC">
      <w:numFmt w:val="bullet"/>
      <w:lvlText w:val="•"/>
      <w:lvlJc w:val="left"/>
      <w:pPr>
        <w:ind w:left="3191" w:hanging="360"/>
      </w:pPr>
      <w:rPr>
        <w:rFonts w:hint="default"/>
        <w:lang w:val="pt-PT" w:eastAsia="en-US" w:bidi="ar-SA"/>
      </w:rPr>
    </w:lvl>
    <w:lvl w:ilvl="4" w:tplc="173CB834">
      <w:numFmt w:val="bullet"/>
      <w:lvlText w:val="•"/>
      <w:lvlJc w:val="left"/>
      <w:pPr>
        <w:ind w:left="3982" w:hanging="360"/>
      </w:pPr>
      <w:rPr>
        <w:rFonts w:hint="default"/>
        <w:lang w:val="pt-PT" w:eastAsia="en-US" w:bidi="ar-SA"/>
      </w:rPr>
    </w:lvl>
    <w:lvl w:ilvl="5" w:tplc="4D0EA188">
      <w:numFmt w:val="bullet"/>
      <w:lvlText w:val="•"/>
      <w:lvlJc w:val="left"/>
      <w:pPr>
        <w:ind w:left="4773" w:hanging="360"/>
      </w:pPr>
      <w:rPr>
        <w:rFonts w:hint="default"/>
        <w:lang w:val="pt-PT" w:eastAsia="en-US" w:bidi="ar-SA"/>
      </w:rPr>
    </w:lvl>
    <w:lvl w:ilvl="6" w:tplc="7B6C660E">
      <w:numFmt w:val="bullet"/>
      <w:lvlText w:val="•"/>
      <w:lvlJc w:val="left"/>
      <w:pPr>
        <w:ind w:left="5563" w:hanging="360"/>
      </w:pPr>
      <w:rPr>
        <w:rFonts w:hint="default"/>
        <w:lang w:val="pt-PT" w:eastAsia="en-US" w:bidi="ar-SA"/>
      </w:rPr>
    </w:lvl>
    <w:lvl w:ilvl="7" w:tplc="B296967C">
      <w:numFmt w:val="bullet"/>
      <w:lvlText w:val="•"/>
      <w:lvlJc w:val="left"/>
      <w:pPr>
        <w:ind w:left="6354" w:hanging="360"/>
      </w:pPr>
      <w:rPr>
        <w:rFonts w:hint="default"/>
        <w:lang w:val="pt-PT" w:eastAsia="en-US" w:bidi="ar-SA"/>
      </w:rPr>
    </w:lvl>
    <w:lvl w:ilvl="8" w:tplc="989AD612">
      <w:numFmt w:val="bullet"/>
      <w:lvlText w:val="•"/>
      <w:lvlJc w:val="left"/>
      <w:pPr>
        <w:ind w:left="7145" w:hanging="360"/>
      </w:pPr>
      <w:rPr>
        <w:rFonts w:hint="default"/>
        <w:lang w:val="pt-PT" w:eastAsia="en-US" w:bidi="ar-SA"/>
      </w:rPr>
    </w:lvl>
  </w:abstractNum>
  <w:num w:numId="1" w16cid:durableId="14564083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854"/>
    <w:rsid w:val="00003F4F"/>
    <w:rsid w:val="000436E8"/>
    <w:rsid w:val="000441D7"/>
    <w:rsid w:val="0005037C"/>
    <w:rsid w:val="00050A98"/>
    <w:rsid w:val="00054011"/>
    <w:rsid w:val="00060926"/>
    <w:rsid w:val="00084A04"/>
    <w:rsid w:val="000A0135"/>
    <w:rsid w:val="000A1B4B"/>
    <w:rsid w:val="000B2778"/>
    <w:rsid w:val="000B7C18"/>
    <w:rsid w:val="000C0401"/>
    <w:rsid w:val="000C2952"/>
    <w:rsid w:val="000C662A"/>
    <w:rsid w:val="000D5E17"/>
    <w:rsid w:val="000E2549"/>
    <w:rsid w:val="000E6288"/>
    <w:rsid w:val="000E7033"/>
    <w:rsid w:val="0011405D"/>
    <w:rsid w:val="0012443D"/>
    <w:rsid w:val="00131006"/>
    <w:rsid w:val="001333A4"/>
    <w:rsid w:val="0013382D"/>
    <w:rsid w:val="00154149"/>
    <w:rsid w:val="00164ECA"/>
    <w:rsid w:val="00177FDF"/>
    <w:rsid w:val="001875C2"/>
    <w:rsid w:val="001A2EE9"/>
    <w:rsid w:val="001B07E8"/>
    <w:rsid w:val="001B2490"/>
    <w:rsid w:val="001B414D"/>
    <w:rsid w:val="001B732E"/>
    <w:rsid w:val="001D19D6"/>
    <w:rsid w:val="001D4FA5"/>
    <w:rsid w:val="001D67FC"/>
    <w:rsid w:val="001F387B"/>
    <w:rsid w:val="001F43CB"/>
    <w:rsid w:val="002015CB"/>
    <w:rsid w:val="00205B63"/>
    <w:rsid w:val="00206DA3"/>
    <w:rsid w:val="002258C2"/>
    <w:rsid w:val="002430CC"/>
    <w:rsid w:val="00262DE6"/>
    <w:rsid w:val="002644D4"/>
    <w:rsid w:val="00276122"/>
    <w:rsid w:val="00280930"/>
    <w:rsid w:val="00280F72"/>
    <w:rsid w:val="00287600"/>
    <w:rsid w:val="00297640"/>
    <w:rsid w:val="002A2038"/>
    <w:rsid w:val="002B6003"/>
    <w:rsid w:val="002F3682"/>
    <w:rsid w:val="002F3912"/>
    <w:rsid w:val="002F6F79"/>
    <w:rsid w:val="00300687"/>
    <w:rsid w:val="003040E7"/>
    <w:rsid w:val="00315121"/>
    <w:rsid w:val="0031571D"/>
    <w:rsid w:val="00317D0B"/>
    <w:rsid w:val="00340B04"/>
    <w:rsid w:val="00371DCA"/>
    <w:rsid w:val="003741EC"/>
    <w:rsid w:val="00374C0F"/>
    <w:rsid w:val="003834B3"/>
    <w:rsid w:val="00390241"/>
    <w:rsid w:val="003949CE"/>
    <w:rsid w:val="003B0E17"/>
    <w:rsid w:val="003B16F8"/>
    <w:rsid w:val="003C4D90"/>
    <w:rsid w:val="003D13BB"/>
    <w:rsid w:val="003D35B1"/>
    <w:rsid w:val="003D6408"/>
    <w:rsid w:val="003E0E46"/>
    <w:rsid w:val="00410C22"/>
    <w:rsid w:val="0042459F"/>
    <w:rsid w:val="00426725"/>
    <w:rsid w:val="00431647"/>
    <w:rsid w:val="0046737B"/>
    <w:rsid w:val="00476968"/>
    <w:rsid w:val="00485B34"/>
    <w:rsid w:val="00490901"/>
    <w:rsid w:val="00494DED"/>
    <w:rsid w:val="004A3CAC"/>
    <w:rsid w:val="004A77B3"/>
    <w:rsid w:val="004B06DB"/>
    <w:rsid w:val="004B3806"/>
    <w:rsid w:val="004C244F"/>
    <w:rsid w:val="004D4429"/>
    <w:rsid w:val="004E409D"/>
    <w:rsid w:val="004F2EE7"/>
    <w:rsid w:val="00504D69"/>
    <w:rsid w:val="00505279"/>
    <w:rsid w:val="00525B8C"/>
    <w:rsid w:val="00550E6C"/>
    <w:rsid w:val="005654C2"/>
    <w:rsid w:val="00567AD6"/>
    <w:rsid w:val="005749E0"/>
    <w:rsid w:val="00581012"/>
    <w:rsid w:val="0059029D"/>
    <w:rsid w:val="005902EE"/>
    <w:rsid w:val="005924CB"/>
    <w:rsid w:val="005A1575"/>
    <w:rsid w:val="005A4991"/>
    <w:rsid w:val="005A4DAB"/>
    <w:rsid w:val="005B1D55"/>
    <w:rsid w:val="005B232E"/>
    <w:rsid w:val="005C0982"/>
    <w:rsid w:val="005C131C"/>
    <w:rsid w:val="005C2F23"/>
    <w:rsid w:val="005C7899"/>
    <w:rsid w:val="00603BBC"/>
    <w:rsid w:val="00604167"/>
    <w:rsid w:val="00604B6B"/>
    <w:rsid w:val="006239A8"/>
    <w:rsid w:val="0063249B"/>
    <w:rsid w:val="00645BA4"/>
    <w:rsid w:val="006640CB"/>
    <w:rsid w:val="00666B51"/>
    <w:rsid w:val="00674585"/>
    <w:rsid w:val="00684344"/>
    <w:rsid w:val="00685CC4"/>
    <w:rsid w:val="00694161"/>
    <w:rsid w:val="006A600B"/>
    <w:rsid w:val="006C3DCE"/>
    <w:rsid w:val="006E3F6B"/>
    <w:rsid w:val="006F46A8"/>
    <w:rsid w:val="0070674E"/>
    <w:rsid w:val="00713F22"/>
    <w:rsid w:val="0071512E"/>
    <w:rsid w:val="0072163D"/>
    <w:rsid w:val="00726DA0"/>
    <w:rsid w:val="007406EE"/>
    <w:rsid w:val="00754B49"/>
    <w:rsid w:val="007570C8"/>
    <w:rsid w:val="007701A8"/>
    <w:rsid w:val="0077191D"/>
    <w:rsid w:val="00786521"/>
    <w:rsid w:val="007963EC"/>
    <w:rsid w:val="007A2EBD"/>
    <w:rsid w:val="007A3840"/>
    <w:rsid w:val="007B00E2"/>
    <w:rsid w:val="007B775B"/>
    <w:rsid w:val="007D4783"/>
    <w:rsid w:val="007D47F7"/>
    <w:rsid w:val="007E44F8"/>
    <w:rsid w:val="00816DBD"/>
    <w:rsid w:val="00817E36"/>
    <w:rsid w:val="00836259"/>
    <w:rsid w:val="00854C9F"/>
    <w:rsid w:val="0087798A"/>
    <w:rsid w:val="00882FFA"/>
    <w:rsid w:val="008A1654"/>
    <w:rsid w:val="008A7DD1"/>
    <w:rsid w:val="008B2A38"/>
    <w:rsid w:val="008F42E3"/>
    <w:rsid w:val="00923ED9"/>
    <w:rsid w:val="00926A01"/>
    <w:rsid w:val="0093105F"/>
    <w:rsid w:val="00936CDB"/>
    <w:rsid w:val="00936FD4"/>
    <w:rsid w:val="00937EDB"/>
    <w:rsid w:val="009613E3"/>
    <w:rsid w:val="00962C69"/>
    <w:rsid w:val="009B3888"/>
    <w:rsid w:val="009B4F3B"/>
    <w:rsid w:val="00A173E3"/>
    <w:rsid w:val="00A2135E"/>
    <w:rsid w:val="00A508CC"/>
    <w:rsid w:val="00A5324B"/>
    <w:rsid w:val="00A63A68"/>
    <w:rsid w:val="00A971CD"/>
    <w:rsid w:val="00AA7B36"/>
    <w:rsid w:val="00AD20BB"/>
    <w:rsid w:val="00AD2E5E"/>
    <w:rsid w:val="00AD444C"/>
    <w:rsid w:val="00B00C8E"/>
    <w:rsid w:val="00B02E58"/>
    <w:rsid w:val="00B10085"/>
    <w:rsid w:val="00B12187"/>
    <w:rsid w:val="00B12A37"/>
    <w:rsid w:val="00B62E54"/>
    <w:rsid w:val="00B709F8"/>
    <w:rsid w:val="00B82491"/>
    <w:rsid w:val="00BB0083"/>
    <w:rsid w:val="00BC2A16"/>
    <w:rsid w:val="00BC6E43"/>
    <w:rsid w:val="00BD71D1"/>
    <w:rsid w:val="00BF10BF"/>
    <w:rsid w:val="00BF7D3F"/>
    <w:rsid w:val="00C00E87"/>
    <w:rsid w:val="00C055D9"/>
    <w:rsid w:val="00C121D8"/>
    <w:rsid w:val="00C25A21"/>
    <w:rsid w:val="00C31BEB"/>
    <w:rsid w:val="00C32455"/>
    <w:rsid w:val="00C55B1E"/>
    <w:rsid w:val="00C64980"/>
    <w:rsid w:val="00C80508"/>
    <w:rsid w:val="00CA573E"/>
    <w:rsid w:val="00CB0CC5"/>
    <w:rsid w:val="00CD3275"/>
    <w:rsid w:val="00CE2B1C"/>
    <w:rsid w:val="00D047F7"/>
    <w:rsid w:val="00D14AB3"/>
    <w:rsid w:val="00D26987"/>
    <w:rsid w:val="00D30700"/>
    <w:rsid w:val="00D62743"/>
    <w:rsid w:val="00D639D5"/>
    <w:rsid w:val="00D64429"/>
    <w:rsid w:val="00D646C1"/>
    <w:rsid w:val="00D647E7"/>
    <w:rsid w:val="00D80360"/>
    <w:rsid w:val="00D828C7"/>
    <w:rsid w:val="00D864B6"/>
    <w:rsid w:val="00DA5CA5"/>
    <w:rsid w:val="00DB10EC"/>
    <w:rsid w:val="00DB5854"/>
    <w:rsid w:val="00DC17B6"/>
    <w:rsid w:val="00DC3E6B"/>
    <w:rsid w:val="00DC52E7"/>
    <w:rsid w:val="00DC535F"/>
    <w:rsid w:val="00DD54C5"/>
    <w:rsid w:val="00DD6D36"/>
    <w:rsid w:val="00DE04D3"/>
    <w:rsid w:val="00E3214E"/>
    <w:rsid w:val="00E4021A"/>
    <w:rsid w:val="00E4249C"/>
    <w:rsid w:val="00E54EC6"/>
    <w:rsid w:val="00E765B7"/>
    <w:rsid w:val="00E81B6B"/>
    <w:rsid w:val="00EA3423"/>
    <w:rsid w:val="00EA51E0"/>
    <w:rsid w:val="00EA72FF"/>
    <w:rsid w:val="00ED69BF"/>
    <w:rsid w:val="00F11795"/>
    <w:rsid w:val="00F34471"/>
    <w:rsid w:val="00F37464"/>
    <w:rsid w:val="00F41FCA"/>
    <w:rsid w:val="00F46632"/>
    <w:rsid w:val="00F47914"/>
    <w:rsid w:val="00F52ED6"/>
    <w:rsid w:val="00F57F18"/>
    <w:rsid w:val="00F62C01"/>
    <w:rsid w:val="00F64A91"/>
    <w:rsid w:val="00F87681"/>
    <w:rsid w:val="00F914F0"/>
    <w:rsid w:val="00F948A7"/>
    <w:rsid w:val="00FB1901"/>
    <w:rsid w:val="00FE77E7"/>
    <w:rsid w:val="00FF1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6BC7DD"/>
  <w15:docId w15:val="{38903907-1200-4329-BC66-725619F5F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next w:val="Normal"/>
    <w:link w:val="Ttulo1Char"/>
    <w:uiPriority w:val="9"/>
    <w:qFormat/>
    <w:rsid w:val="0078652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20"/>
      <w:ind w:left="821" w:right="115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A1575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A1575"/>
    <w:rPr>
      <w:rFonts w:ascii="Times New Roman" w:eastAsia="Times New Roman" w:hAnsi="Times New Roman" w:cs="Times New Roman"/>
      <w:lang w:val="pt-PT"/>
    </w:rPr>
  </w:style>
  <w:style w:type="table" w:styleId="Tabelacomgrade">
    <w:name w:val="Table Grid"/>
    <w:basedOn w:val="Tabelanormal"/>
    <w:uiPriority w:val="39"/>
    <w:rsid w:val="00154149"/>
    <w:pPr>
      <w:widowControl/>
      <w:autoSpaceDE/>
      <w:autoSpaceDN/>
    </w:pPr>
    <w:rPr>
      <w:kern w:val="2"/>
      <w:lang w:val="pt-BR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D6442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50E6C"/>
    <w:rPr>
      <w:sz w:val="24"/>
      <w:szCs w:val="24"/>
    </w:rPr>
  </w:style>
  <w:style w:type="paragraph" w:styleId="Reviso">
    <w:name w:val="Revision"/>
    <w:hidden/>
    <w:uiPriority w:val="99"/>
    <w:semiHidden/>
    <w:rsid w:val="00DD6D36"/>
    <w:pPr>
      <w:widowControl/>
      <w:autoSpaceDE/>
      <w:autoSpaceDN/>
    </w:pPr>
    <w:rPr>
      <w:rFonts w:ascii="Times New Roman" w:eastAsia="Times New Roman" w:hAnsi="Times New Roman" w:cs="Times New Roman"/>
      <w:lang w:val="pt-PT"/>
    </w:rPr>
  </w:style>
  <w:style w:type="character" w:styleId="Refdecomentrio">
    <w:name w:val="annotation reference"/>
    <w:basedOn w:val="Fontepargpadro"/>
    <w:uiPriority w:val="99"/>
    <w:semiHidden/>
    <w:unhideWhenUsed/>
    <w:rsid w:val="00DD6D3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D6D36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D6D36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D6D3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D6D36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character" w:styleId="MenoPendente">
    <w:name w:val="Unresolved Mention"/>
    <w:basedOn w:val="Fontepargpadro"/>
    <w:uiPriority w:val="99"/>
    <w:semiHidden/>
    <w:unhideWhenUsed/>
    <w:rsid w:val="004A3CAC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78652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274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6" Type="http://schemas.openxmlformats.org/officeDocument/2006/relationships/image" Target="media/image17.png"/><Relationship Id="rId5" Type="http://schemas.openxmlformats.org/officeDocument/2006/relationships/image" Target="media/image16.png"/><Relationship Id="rId4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2290</Words>
  <Characters>12600</Characters>
  <Application>Microsoft Office Word</Application>
  <DocSecurity>0</DocSecurity>
  <Lines>247</Lines>
  <Paragraphs>77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Lísias Faria</dc:creator>
  <cp:lastModifiedBy>Daiza Alves</cp:lastModifiedBy>
  <cp:revision>10</cp:revision>
  <dcterms:created xsi:type="dcterms:W3CDTF">2025-10-29T23:35:00Z</dcterms:created>
  <dcterms:modified xsi:type="dcterms:W3CDTF">2025-10-29T23:53:00Z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2022-08-23T00:00:00Z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2023-08-30T00:00:00Z</vt:filetime>
  </property>
</Properties>
</file>