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Mude - EDUCAÇÃO FINANCEIRA ATRAVÉS DA TECNOLOGIA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Brenda Marciely Castro Brito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Luiz Gustavo de Oliveira Costa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Renan de Souza Moreira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Graziela de Castro Pereira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Rebeca Mary Gomes Pereira Lima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Rodolfo de Oliveira Rodrigues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de Conhecimento: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Análise e Desenvolvimento de Sistemas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Educação Financeira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281" w:before="281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é um dos grandes desafios da sociedade atual, especialmente entre jovens e estudantes universitários, que muitas vezes enfrentam dificuldades para administrar seus recursos de forma consciente. O uso inadequado do dinheiro pode levar ao endividamento e à falta de planejamento. Nesse contexto, a tecnologia surge como uma aliada, oferecendo ferramentas que tornam o aprendizado mais acessível e interativo. Aplicativos, plataformas digitais e recursos online podem auxiliar os estudantes a desenvolver hábitos financeiros mais saudáveis e uma melhor relação com o dinheiro.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281" w:before="281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Objetivo e Metodologia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trabalho tem como objetivo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avaliar como o uso da tecnologia pode contribuir para o aprendizado e a prática da educação financeira entre universitários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tem caráter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exploratório e quase-experimental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aplicação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questionários antes e depois das atividades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fim de comparar o nível de conhecimento e comportamento financeiro dos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realizada com um grupo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estudantes universitários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participaram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práticas sobre controle financeiro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utilizando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aplicativos e planilhas digitais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registrar gastos e planejar o uso do dinheiro.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oficinas práticas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ocorrem em ambiente digital, com duração aproximada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quatro semanas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nas quais os alunos aprendem a planejar seus gastos, registrar despesas e criar metas de economia. Os dados são analisados de forma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quantitativa e descritiva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observando variações no nível de controle financeiro e na pontuação dos questionários aplicados.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299" w:before="29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Densidade Científica: Aplicativo FinanceAI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FinanceAI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fornece uma interface de acompanhamento financeiro pessoal que integra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gráficos, tabelas e inteligência artificial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transformando dados financeiros em insights acionáveis.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Indicadores analisados: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Receita mensal, gastos totais e poupança (valores em R$ e variação percentual).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Percentual de utilização do orçamento.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Distribuição de despesas por categoria: Alimentação, Transporte, Lazer, Habitação.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1 – Comparação antes e depois do uso do FinanceAI (valores simulados)</w:t>
      </w:r>
      <w:r w:rsidDel="00000000" w:rsidR="00000000" w:rsidRPr="00000000">
        <w:rPr>
          <w:rtl w:val="0"/>
        </w:rPr>
      </w:r>
    </w:p>
    <w:tbl>
      <w:tblPr>
        <w:tblStyle w:val="Table1"/>
        <w:tblW w:w="77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26"/>
        <w:gridCol w:w="1733"/>
        <w:gridCol w:w="1840"/>
        <w:gridCol w:w="1671"/>
        <w:tblGridChange w:id="0">
          <w:tblGrid>
            <w:gridCol w:w="2526"/>
            <w:gridCol w:w="1733"/>
            <w:gridCol w:w="1840"/>
            <w:gridCol w:w="1671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Indicador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Antes (média)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Depois (média)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Variação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Receita Mensal (R$)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Gastos Totais (R$)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1.150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-17,4%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Poupança (R$)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+400%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 Orçamento utilizado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95%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79%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-16%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Gráfico 1 – Distribuição de gastos por categoria (antes/depois)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Alimentação: 35% → 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Transporte: 20% → 18%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Lazer: 25% → 15%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Habitação: 20% → 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Discussão científica: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uso do FinanceAI facilitou a visualização de despesas e receitas, aumentando a compreensão do orçamento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chatbot com IA fornece recomendações personalizadas, estimulando decisões financeiras mais conscientes.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Limitações: curto período de observação (4 semanas) e número reduzido de participantes, restrição à generalização dos resultados.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Sugestões: ampliar o acompanhamento temporal e incluir comparativos mensais para análise de tendências.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Style w:val="Heading3"/>
        <w:spacing w:after="281" w:before="281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intervenção, os participantes apresentaram: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organização financeira e disciplina no registro de gastos.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Redução de despesas supérfluas e aumento da poupança.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Melhor compreensão do orçamento e uso consciente do crédito.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indicam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tecnologia + educação financeira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contribuem significativamente para a formação de hábitos financeiros saudáveis, alinhando aprendizado teórico e prático de forma eficiente.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spacing w:after="281" w:before="281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Referencial Teórico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é essencial para que indivíduos tomem decisões seguras e sustentáveis sobre recursos monetários (LUSARDI; MITCHELL, 2020). No contexto educacional, tecnologias digitais favorecem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aprendizado ativo e o engajamento dos alunos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promovendo autonomia e interação (KOZMA, 2021; SELWYN,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plataformas digitais e aplicativos móveis têm se mostrado eficazes para melhorar a literacia financeira, permitindo acompanhamento individualizado e feedback em tempo real (BANCO CENTRAL DO BRASIL, 2025; SEBRAE,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after="299" w:before="29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Considerações Finais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reforça que integrar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financeira e tecnologia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facilita o aprendizado e estimula a prática de hábitos financeiros conscientes.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do FinanceAI promove autonomia, disciplina e planejamento entre estudantes, podendo reduzir o endividamento e melhorar a qualidade de vida. A tecnologia, quando bem utilizada, transforma dados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insights financeiros práticos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consolidando-se como ferramenta científica de ensino e aprendizado.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spacing w:after="299" w:before="29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Palavras-chave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financeira; tecnologia; aplicativos digitais; controle de gastos; autonomia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after="299" w:before="29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after="299" w:before="29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BANCO CENTRAL DO BRASIL. Cidadania Financeira. Disponível em: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https://www.bcb.gov.br/cidadaniafinanceira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20 out. 2025.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SEBRAE. Educação Financeira para Jovens. 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https://sebrae.com.br/sites/PortalSebrae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20 out. 2025.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CECÍERJ. Como a educação financeira pode impactar na qualidade de vida e no futuro dos alunos. Educação Pública, 2024. Disponível 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https://educacaopublica.cecierj.edu.br/artigos/25/6/como-a-educacao-financeira-pode-impactar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20 out. 2025.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FEIJÃO, Luciano. Educação Financeira. Fortaleza: Fundação Luciano Feijão, 2024.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LUSARDI, A.; MITCHELL, O. S. The Importance of Financial Literacy: Theory and Evidence. Journal of Economic Literature, v. 58, n. 3, p. 613–643, 2020.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KOZMA, R. Technology, Learning, and Education Reform in the Digital Age. Cambridge: Cambridge University Press, 2021.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SELWYN, N. Education and Technology: Key Issues and Debates. 3. ed. London: Routledge,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4" w:top="1701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Calibri"/>
  <w:font w:name="Georgia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914082</wp:posOffset>
          </wp:positionH>
          <wp:positionV relativeFrom="paragraph">
            <wp:posOffset>0</wp:posOffset>
          </wp:positionV>
          <wp:extent cx="1771650" cy="650528"/>
          <wp:effectExtent b="0" l="0" r="0" t="0"/>
          <wp:wrapSquare wrapText="bothSides" distB="0" distT="0" distL="114300" distR="114300"/>
          <wp:docPr descr="Unifametro | Formar para transformar" id="2" name="image2.png"/>
          <a:graphic>
            <a:graphicData uri="http://schemas.openxmlformats.org/drawingml/2006/picture">
              <pic:pic>
                <pic:nvPicPr>
                  <pic:cNvPr descr="Unifametro | Formar para transforma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-1756408</wp:posOffset>
          </wp:positionH>
          <wp:positionV relativeFrom="paragraph">
            <wp:posOffset>367030</wp:posOffset>
          </wp:positionV>
          <wp:extent cx="5760085" cy="20193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-3808</wp:posOffset>
          </wp:positionH>
          <wp:positionV relativeFrom="paragraph">
            <wp:posOffset>1905</wp:posOffset>
          </wp:positionV>
          <wp:extent cx="1976598" cy="720000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UNIFAMETRO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XXI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-60958</wp:posOffset>
          </wp:positionH>
          <wp:positionV relativeFrom="paragraph">
            <wp:posOffset>40005</wp:posOffset>
          </wp:positionV>
          <wp:extent cx="2232025" cy="700405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-26549" r="0" t="54395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UNIFAMETRO 2019: DIVERSIDADES TECNOLÓGICAS E SEUS IMPACTOS SUSTENTÁVEIS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1481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1481ab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bcb.gov.br/cidadaniafinanceira" TargetMode="External"/><Relationship Id="rId7" Type="http://schemas.openxmlformats.org/officeDocument/2006/relationships/hyperlink" Target="https://sebrae.com.br/sites/PortalSebrae" TargetMode="External"/><Relationship Id="rId8" Type="http://schemas.openxmlformats.org/officeDocument/2006/relationships/hyperlink" Target="https://educacaopublica.cecierj.edu.br/artigos/25/6/como-a-educacao-financeira-pode-impacta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