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4"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5720673" cy="190500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20673" cy="1905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bookmarkStart w:colFirst="0" w:colLast="0" w:name="bookmark=id.xu9b1o39mmtb" w:id="0"/>
    <w:bookmarkEnd w:id="0"/>
    <w:p w:rsidR="00000000" w:rsidDel="00000000" w:rsidP="00000000" w:rsidRDefault="00000000" w:rsidRPr="00000000" w14:paraId="00000004">
      <w:pPr>
        <w:pStyle w:val="Heading1"/>
        <w:spacing w:before="0" w:lineRule="auto"/>
        <w:ind w:left="312" w:right="347" w:firstLine="0"/>
        <w:jc w:val="center"/>
        <w:rPr/>
      </w:pPr>
      <w:r w:rsidDel="00000000" w:rsidR="00000000" w:rsidRPr="00000000">
        <w:rPr>
          <w:rtl w:val="0"/>
        </w:rPr>
        <w:t xml:space="preserve">VIDA MARIA: NOSSAS CENAS MARCANTES: REFLEXÕES DE ALUNOS DE 6º ANO SOBRE EDUCAÇÃO, LAZER E INFÂNCIA LIVRE DE EXPLORAÇÃO DO TRABALHO INFANTIL.</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bookmarkStart w:colFirst="0" w:colLast="0" w:name="bookmark=id.erv6xw34fhyn" w:id="1"/>
    <w:bookmarkEnd w:id="1"/>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 w:right="34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SOUSA, Gabriela Batista de, </w:t>
      </w:r>
      <w:hyperlink r:id="rId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gabriela.batista@ufnt.edu.br;</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SILVA, Kalicia Batista, </w:t>
      </w:r>
      <w:hyperlink r:id="rId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kalicia.silva@ufnt.edu.br</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SILVA, Nayla Khiberly Gomes Silva, </w:t>
      </w:r>
      <w:hyperlink r:id="rId1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nayla.silva@ufnt.edu.br</w:t>
        </w:r>
      </w:hyperlink>
      <w:hyperlink r:id="rId1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3</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SOUSA, Raquel Alves de, </w:t>
      </w:r>
      <w:hyperlink r:id="rId1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raquel.sousa@ufnt.edu.br,</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CLARO, Silene Ferreira, </w:t>
      </w:r>
      <w:hyperlink r:id="rId1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silene.claro@ufnt.edu.br</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ind w:left="284" w:firstLine="0"/>
        <w:jc w:val="both"/>
        <w:rPr>
          <w:sz w:val="24"/>
          <w:szCs w:val="24"/>
        </w:rPr>
      </w:pPr>
      <w:r w:rsidDel="00000000" w:rsidR="00000000" w:rsidRPr="00000000">
        <w:rPr>
          <w:b w:val="1"/>
          <w:sz w:val="24"/>
          <w:szCs w:val="24"/>
          <w:rtl w:val="0"/>
        </w:rPr>
        <w:t xml:space="preserve">Área Temática: </w:t>
      </w:r>
      <w:r w:rsidDel="00000000" w:rsidR="00000000" w:rsidRPr="00000000">
        <w:rPr>
          <w:sz w:val="24"/>
          <w:szCs w:val="24"/>
          <w:rtl w:val="0"/>
        </w:rPr>
        <w:t xml:space="preserve">Ciências Humanas, Sociais Aplicadas e Letras.</w:t>
      </w:r>
    </w:p>
    <w:bookmarkStart w:colFirst="0" w:colLast="0" w:name="bookmark=id.w1b5mgcxcsf" w:id="2"/>
    <w:bookmarkEnd w:id="2"/>
    <w:p w:rsidR="00000000" w:rsidDel="00000000" w:rsidP="00000000" w:rsidRDefault="00000000" w:rsidRPr="00000000" w14:paraId="00000009">
      <w:pPr>
        <w:pStyle w:val="Heading1"/>
        <w:spacing w:before="253" w:lineRule="auto"/>
        <w:ind w:left="284" w:firstLine="0"/>
        <w:rPr/>
      </w:pPr>
      <w:r w:rsidDel="00000000" w:rsidR="00000000" w:rsidRPr="00000000">
        <w:rPr>
          <w:rtl w:val="0"/>
        </w:rPr>
        <w:t xml:space="preserve">RESUMO</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15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Esse relato de experiência apresenta a atividade desenvolvida no âmbito do Subprojeto Interdisciplinar II – Pedagogia e Ciências Sociais – Educação em Direitos Humanos do Programa Institucional de Bolsas de Iniciação à Docência (PIBID), realizada</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Colégio Estadual Dom Orione, em uma turma do 6º ano do Ensino Fundamental, durante o mês de maio de 2025. A experiência teve como foco discutir os Direitos Humanos, o Estatuto da Criança e do Adolescente (ECA) e as desigualdades sociais que afetam crianças e adolescentes no Brasil, tendo como base a exibição e discussão do curta-metragem “Vida Maria”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proposta metodológica fundamentou-se na aprendizagem significativa, no diálogo freiriano e em práticas críticas de ensino, que valorizam a escuta ativa e a participação dos estudantes. Os resultados evidenciaram a capacidade crítica dos alunos, o despertar da empatia e a valorização do direito à educação como elemento fundamental para romper ciclos de exclusão social. A atividade revelou, ainda, a importância da escola como espaço de acolhimento e transformação, alinhada às Diretrizes Curriculares Nacionais para a Educação das Relações Étnico-Raciais (BRASIL, 2004). Conclui-se que a prática contribuiu para o fortalecimento da formação cidadã, incentivando a reflexão ética e política dos estudantes.</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40" w:lineRule="auto"/>
        <w:ind w:left="284" w:right="16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Palavras-chave: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Experiência pedagógica, PIBID, Direitos Humanos, Educação Básica, Ensino Fundamental.</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bookmarkStart w:colFirst="0" w:colLast="0" w:name="bookmark=id.u5itzq4j1qfb" w:id="3"/>
    <w:bookmarkEnd w:id="3"/>
    <w:p w:rsidR="00000000" w:rsidDel="00000000" w:rsidP="00000000" w:rsidRDefault="00000000" w:rsidRPr="00000000" w14:paraId="00000011">
      <w:pPr>
        <w:pStyle w:val="Heading1"/>
        <w:numPr>
          <w:ilvl w:val="0"/>
          <w:numId w:val="2"/>
        </w:numPr>
        <w:tabs>
          <w:tab w:val="left" w:leader="none" w:pos="1004"/>
        </w:tabs>
        <w:spacing w:before="0" w:lineRule="auto"/>
        <w:ind w:left="1004" w:hanging="360"/>
        <w:jc w:val="left"/>
        <w:rPr/>
      </w:pPr>
      <w:r w:rsidDel="00000000" w:rsidR="00000000" w:rsidRPr="00000000">
        <w:rPr>
          <w:rtl w:val="0"/>
        </w:rPr>
        <w:t xml:space="preserve">INTRODUÇÃO</w:t>
      </w:r>
    </w:p>
    <w:p w:rsidR="00000000" w:rsidDel="00000000" w:rsidP="00000000" w:rsidRDefault="00000000" w:rsidRPr="00000000" w14:paraId="00000012">
      <w:pPr>
        <w:spacing w:before="107" w:lineRule="auto"/>
        <w:ind w:left="0" w:firstLine="0"/>
        <w:rPr>
          <w:sz w:val="20"/>
          <w:szCs w:val="20"/>
        </w:rPr>
        <w:sectPr>
          <w:headerReference r:id="rId14" w:type="default"/>
          <w:pgSz w:h="16840" w:w="11920" w:orient="portrait"/>
          <w:pgMar w:bottom="280" w:top="480" w:left="1417" w:right="992" w:header="720" w:footer="720"/>
          <w:pgNumType w:start="1"/>
        </w:sect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360" w:lineRule="auto"/>
        <w:ind w:left="284" w:right="154" w:firstLine="360.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rumc7jnysu7e" w:id="4"/>
      <w:bookmarkEnd w:id="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relato procura socializar uma experiência formativa junto ao projeto de extensão que foi realizado no Colégio Estadual Dom Orione, localizado no Bairro Beira Rio, na cidade de Tocantinópolis, em uma turma do 6º ano do Ensino Fundamental. O objetivo central foi trabalhar questões relacionadas aos direitos das crianças e adolescentes por meio da exibição do curta-metragem Vida Maria, explorando as desigualdades sociais, o trabalho infantil e o papel transformador da educação.</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84" w:right="156" w:firstLine="360.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Essa temática dialoga diretamente com o recorte do Subprojeto Interdisciplinar II, que prioriza as relações étnico-raciais e de gênero. O filme apresenta a história de uma menina nordestina que, como muitas mulheres negras e pobres, enfrenta múltiplas formas de exclusão social. Assim, a proposta buscou discutir não apenas a violação dos direitos da criança, mas também as interseccionalidades de gênero, raça e classe, que atravessam a vida de Maria e de tantas outras meninas brasileiras.</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84" w:right="159" w:firstLine="360.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curta, produzido em 2006, retrata a trajetória de Maria, uma menina nordestina que abandona os estudos para trabalhar e, na vida adulta, repete esse ciclo com a própria filha. Esse enredo tornou-se um recurso pedagógico potente para refletir sobre realidades sociais que ainda persistem no Brasil, especialmente em comunidades de baixa renda.</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84" w:right="158" w:firstLine="360.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escolha do curta justifica-se por sua capacidade de sensibilizar e provocar reflexão crítica, aproximando os alunos de debates sobre infância, gênero, trabalho precoce e desigualdade social.</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84" w:right="155" w:firstLine="360.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Como afirmam as Diretrizes Curriculares Nacionais para a Educação das Relações Étnico-Raciais (BRASIL, 2004), o direito à educação deve assegurar práticas que valorizem a diversidade e rompam com processos históricos de exclusão.</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84" w:right="156" w:firstLine="360.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Além disso, Gomes (2002) aponta que a escola, ao assumir compromisso com a diversidade, deve criar espaços de reflexão que problematizam a reprodução das desigualdades sociais e raciais. Assim, a experiência relatada insere-se nesse movimento de uma prática pedagógica crítica e humanizadora, que conecta teoria e realidade concreta dos estudantes, conforme defendido por Freire (2020), ao valorizar o diálogo e a construção coletiva do conhecimento.</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bookmarkStart w:colFirst="0" w:colLast="0" w:name="bookmark=id.4x266nu4hhcb" w:id="5"/>
    <w:bookmarkEnd w:id="5"/>
    <w:p w:rsidR="00000000" w:rsidDel="00000000" w:rsidP="00000000" w:rsidRDefault="00000000" w:rsidRPr="00000000" w14:paraId="0000001A">
      <w:pPr>
        <w:pStyle w:val="Heading1"/>
        <w:numPr>
          <w:ilvl w:val="0"/>
          <w:numId w:val="2"/>
        </w:numPr>
        <w:tabs>
          <w:tab w:val="left" w:leader="none" w:pos="1004"/>
        </w:tabs>
        <w:ind w:left="1004" w:hanging="360"/>
        <w:jc w:val="left"/>
        <w:rPr/>
      </w:pPr>
      <w:r w:rsidDel="00000000" w:rsidR="00000000" w:rsidRPr="00000000">
        <w:rPr>
          <w:rtl w:val="0"/>
        </w:rPr>
        <w:t xml:space="preserve">METODOLOGIA</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84" w:right="159"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20" w:orient="portrait"/>
          <w:pgMar w:bottom="280" w:top="1640" w:left="1417" w:right="992"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Antes da realização da atividade na escola, as bolsistas do PIBID participaram de encontros preparatórios entre si e com a supervisora, Professora Pablina Coelho, docente de sala de aula selecionada para supervisionar as ações dos bolsistas do PIBID em um dos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360" w:lineRule="auto"/>
        <w:ind w:left="284" w:right="1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núcleos do Colégio Estadual Dom Orione. Nesses momentos, supervisora e bolsistas debateram o conteúdo do curta e refletiram sobre as melhores estratégias de mediação. A intenção era prever possíveis reações da turma, antecipar questionamentos e organizar os recursos necessários para que a atividade tivesse fluidez e impacto pedagógico.</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84" w:right="157"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Outro ponto central foi a elaboração coletiva das perguntas norteadoras e dos diálogos possíveis. As bolsistas discutiram quais questões poderiam provocar maior reflexão nos alunos e como relacioná-las ao contexto social em que estão inseridos. Essa etapa de preparação fortaleceu a segurança das mediadoras, garantindo que a atividade fosse conduzida de maneira clara, objetiva e sensível às diferentes realidades dos estudantes.</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84" w:right="159"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atividade foi planejada de forma colaborativa entre bolsistas e professores supervisores daquele núcleo do Subprojeto Interdisciplinar II do PIBID/UFNT, orientada pelos princípios da dialogicidade (FREIRE, 2020), da escuta ativa e da valorização da experiência discente. O percurso metodológico foi organizado em etapas:</w:t>
      </w:r>
    </w:p>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84"/>
        </w:tabs>
        <w:spacing w:after="0" w:before="200" w:line="360" w:lineRule="auto"/>
        <w:ind w:left="284" w:right="159" w:firstLine="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Preparação do ambiente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organização da sala em roda, para favorecer a interação horizontal e a troca de experiências.</w:t>
      </w: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54"/>
        </w:tabs>
        <w:spacing w:after="0" w:before="200" w:line="360" w:lineRule="auto"/>
        <w:ind w:left="284" w:right="155" w:firstLine="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Exibição do curta-metragem “Vida Maria”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 a utilização de equipamentos como projetor e sistema de som, na sala do 6º ano, os estudantes participaram de uma exibição em forma de roda, demonstrando grande interesse e envolvimento. Durante a atividade, foram instigados a refletir previamente sobre o título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Vida Maria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compartilhando suas interpretações e expectativas de maneira participativa. A experiência revelou curiosidade, sensibilidade e espírito crítico por parte dos alunos, que se mostraram receptivos e atentos ao tema proposto.</w:t>
      </w: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14"/>
        </w:tabs>
        <w:spacing w:after="0" w:before="200" w:line="360" w:lineRule="auto"/>
        <w:ind w:left="284" w:right="161" w:firstLine="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Roda de conversa inicial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momento de acolhimento das primeiras impressões e sentimentos, sem julgamentos, priorizando a participação voluntária.</w:t>
      </w: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54"/>
        </w:tabs>
        <w:spacing w:after="0" w:before="200" w:line="360" w:lineRule="auto"/>
        <w:ind w:left="284" w:right="155" w:firstLine="0"/>
        <w:jc w:val="both"/>
        <w:rPr>
          <w:smallCaps w:val="0"/>
          <w:strike w:val="0"/>
          <w:color w:val="000000"/>
          <w:u w:val="none"/>
          <w:shd w:fill="auto" w:val="clear"/>
          <w:vertAlign w:val="baseline"/>
        </w:rPr>
        <w:sectPr>
          <w:type w:val="nextPage"/>
          <w:pgSz w:h="16840" w:w="11920" w:orient="portrait"/>
          <w:pgMar w:bottom="280" w:top="1640" w:left="1417" w:right="992" w:header="720" w:footer="720"/>
        </w:sect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Reflexão guiada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mediação foi conduzida por meio de perguntas problematizadoras sobre os direitos negados à personagem, estabelecendo relações com o Estatuto da Criança e do Adolescente (ECA) e os princípios da Educação em Direitos Humanos. O debate destacou, além dos direitos à educação, ao lazer e à infância livre de exploração do trabalho infantil, as questões de gênero e étnico-raciais, promovendo reflexões sobre como as desigualdades sociais e culturais afetam de forma distinta meninas, mulheres e pessoas negras, especialmente no acesso às oportunidades e na construção de suas trajetórias de vida.</w:t>
      </w: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54"/>
        </w:tabs>
        <w:spacing w:after="0" w:before="61" w:line="360" w:lineRule="auto"/>
        <w:ind w:left="284" w:right="155" w:firstLine="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Produção artística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elaboração de desenhos representando cenas marcantes ou versões alternativas da vida de Maria.</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99"/>
        </w:tabs>
        <w:spacing w:after="0" w:before="200" w:line="360" w:lineRule="auto"/>
        <w:ind w:left="284" w:right="169" w:firstLine="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Exposição coletiva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montagem de um mural intitulado Vida Maria: Nossas Cenas Marcantes, valorizando cada produção da turma.</w:t>
      </w: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44"/>
        </w:tabs>
        <w:spacing w:after="0" w:before="200" w:line="360" w:lineRule="auto"/>
        <w:ind w:left="284" w:right="161" w:firstLine="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Fechamento reflexivo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retomada coletiva das aprendizagens e reafirmação do compromisso com a defesa dos direitos das crianças.</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60" w:lineRule="auto"/>
        <w:ind w:left="284" w:right="159" w:firstLine="70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Como lembra Gomes (2002), a escola deve ser espaço privilegiado de reflexão crítica, e essa metodologia buscou justamente criar condições para que os estudantes se tornassem protagonistas do debate, aproximando teoria e prática pedagógica.</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bookmarkStart w:colFirst="0" w:colLast="0" w:name="bookmark=id.1vome34cze5b" w:id="6"/>
    <w:bookmarkEnd w:id="6"/>
    <w:p w:rsidR="00000000" w:rsidDel="00000000" w:rsidP="00000000" w:rsidRDefault="00000000" w:rsidRPr="00000000" w14:paraId="00000029">
      <w:pPr>
        <w:pStyle w:val="Heading1"/>
        <w:numPr>
          <w:ilvl w:val="0"/>
          <w:numId w:val="2"/>
        </w:numPr>
        <w:tabs>
          <w:tab w:val="left" w:leader="none" w:pos="1004"/>
        </w:tabs>
        <w:ind w:left="1004" w:hanging="360"/>
        <w:jc w:val="left"/>
        <w:rPr/>
      </w:pPr>
      <w:r w:rsidDel="00000000" w:rsidR="00000000" w:rsidRPr="00000000">
        <w:rPr>
          <w:rtl w:val="0"/>
        </w:rPr>
        <w:t xml:space="preserve">RELATO DE EXPERIÊNCIA</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84" w:right="156"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recepção da atividade foi marcada pelo entusiasmo e envolvimento dos alunos, que participaram de forma atenta e reflexiva. Muitos expressaram indignação diante da trajetória de Maria, reconhecendo situações semelhantes em suas comunidades, como abandono escolar e trabalho precoce.</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84" w:right="162"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 roda de conversa, destacaram-se falas que apontavam a educação como chave para a transformação social. Alguns estudantes comentaram que, se Maria tivesse permanecido na escola, poderia ter tido outras oportunidades.</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84" w:right="162"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acordo com Cavalleiro (2012), o silêncio sobre desigualdades dentro da escola contribui para a sua perpetuação. A experiência relatada rompeu com esse silêncio, oferecendo espaço para a fala e a escuta, o que tornou a atividade ainda mais significativa.</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84" w:right="157"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produção artística revelou a potência criativa dos alunos. Os desenhos variaram entre cenas que representavam dor e exploração e outras que projetavam alternativas de futuro para Maria, como estudar, trabalhar em profissões dignas e conquistar autonomia. Esse exercício favoreceu a empatia e a capacidade de imaginar realidades transformadas.</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84" w:right="156"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mural coletivo se constituiu em uma síntese visual das aprendizagens, reforçando a cooperação entre os alunos e dando visibilidade às suas percepções. O envolvimento da turma mostrou como a arte pode potencializar reflexões críticas e dar materialidade às experiências.</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84" w:right="161"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20" w:orient="portrait"/>
          <w:pgMar w:bottom="280" w:top="1640" w:left="1417" w:right="992"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mediação pedagógica desempenhada pelas bolsistas do Subprojeto Interdisciplinar II – Pedagogia e Ciências Sociais do PIBID/UFNT foi essencial para a condução da atividade. Ao circularem pela sala durante a produção dos desenhos, dialogam com os alunos sobre suas</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360" w:lineRule="auto"/>
        <w:ind w:left="284" w:right="16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escolhas, incentivando-os a refletir sobre as cenas representadas e sobre os significados por trás de cada registro. Esse acompanhamento possibilitou um processo de construção coletiva, no qual os estudantes se sentiram acolhidos e valorizados.</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84" w:right="163"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Entretanto, também se observaram desafios importantes. Entre eles, o tempo limitado para a finalização das produções artísticas, a necessidade de retomar o foco em alguns momentos da roda de conversa e as dificuldades de alguns estudantes em expressar suas ideias oralmente. Esses aspectos revelam a complexidade do trabalho pedagógico e a necessidade de flexibilidade e sensibilidade do professor diante das especificidades de cada turma e de cada estudante.</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84" w:right="155"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fim, a experiência revelou-se formativa não apenas para os estudantes, mas também para as bolsistas envolvidas. Ao vivenciarem a prática docente em um contexto real, puderam articular conhecimentos teóricos com estratégias pedagógicas concretas, fortalecendo sua identidade profissional. Do ponto de vista institucional, a atividade contribuiu para a aproximação entre a universidade e a escola, reafirmando o papel do PIBID como política de incentivo à formação de professores e de fortalecimento da educação básica.</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bookmarkStart w:colFirst="0" w:colLast="0" w:name="bookmark=id.19csf6p09a8g" w:id="7"/>
    <w:bookmarkEnd w:id="7"/>
    <w:p w:rsidR="00000000" w:rsidDel="00000000" w:rsidP="00000000" w:rsidRDefault="00000000" w:rsidRPr="00000000" w14:paraId="00000036">
      <w:pPr>
        <w:pStyle w:val="Heading1"/>
        <w:numPr>
          <w:ilvl w:val="0"/>
          <w:numId w:val="2"/>
        </w:numPr>
        <w:tabs>
          <w:tab w:val="left" w:leader="none" w:pos="1004"/>
        </w:tabs>
        <w:ind w:left="1004" w:hanging="360"/>
        <w:jc w:val="left"/>
        <w:rPr/>
      </w:pPr>
      <w:r w:rsidDel="00000000" w:rsidR="00000000" w:rsidRPr="00000000">
        <w:rPr>
          <w:rtl w:val="0"/>
        </w:rPr>
        <w:t xml:space="preserve">CONSIDERAÇÕES FINAIS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bookmarkStart w:colFirst="0" w:colLast="0" w:name="bookmark=id.9g5u5ml88kg5" w:id="8"/>
    <w:bookmarkEnd w:id="8"/>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404" w:right="157" w:firstLine="600.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experiência realizada no Colégio Estadual Dom Orione revelou a força da produção fílmica como recurso pedagógico crítico, capaz de suscitar reflexões profundas sobre desigualdade social, infância e direitos humanos. O curta-metragem Vida Maria foi mais que um disparador: tornou-se um espelho de realidades ainda presentes e um convite à transformação.</w:t>
      </w:r>
    </w:p>
    <w:bookmarkStart w:colFirst="0" w:colLast="0" w:name="bookmark=id.x0r8376k1bxs" w:id="9"/>
    <w:bookmarkEnd w:id="9"/>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04" w:right="155" w:firstLine="600.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À luz da necropolítica de Achille Mbembe (2018), a exclusão vivida por Maria pode ser compreendida como resultado de um sistema que define quais vidas são consideradas dignas de existir e quais são relegadas à margem da sociedade. Nesse sentido, Maria se enquadra nos grupos historicamente submetidos à necropolítica, isto é, aqueles marcados por vulnerabilidades sociais, de gênero, raça e classe.</w:t>
      </w:r>
    </w:p>
    <w:bookmarkStart w:colFirst="0" w:colLast="0" w:name="bookmark=id.mc0e36wv78ql" w:id="10"/>
    <w:bookmarkEnd w:id="10"/>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04" w:right="158" w:firstLine="600.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20" w:orient="portrait"/>
          <w:pgMar w:bottom="280" w:top="1640" w:left="1417" w:right="992"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Enquanto menina pobre e moradora do meio rural, Maria representa as infâncias femininas e empobrecidas que enfrentam negação do direito à educação, ao lazer e à proteção, sendo submetidas a ciclos de exploração do trabalho infantil e reprodução da pobreza. Além disso, ao situar-se em um contexto regional e étnico marcado por desigualdades estruturais, sua experiência também reflete o modo como a necropolítica</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360" w:lineRule="auto"/>
        <w:ind w:left="404" w:right="16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atinge com maior intensidade meninas negras e periféricas, cujas vidas são frequentemente invisibilizadas e desvalorizadas pelo Estado e pela sociedade.</w:t>
      </w:r>
    </w:p>
    <w:bookmarkStart w:colFirst="0" w:colLast="0" w:name="bookmark=id.ceivurvousvg" w:id="11"/>
    <w:bookmarkEnd w:id="11"/>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04" w:right="157" w:firstLine="600.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 mesma forma, Maciel et al. (2016) ressaltam que a escola deve constituir-se como espaço privilegiado de formação cidadã, tendo os direitos humanos como eixos estruturantes de sua prática.</w:t>
      </w:r>
    </w:p>
    <w:bookmarkStart w:colFirst="0" w:colLast="0" w:name="bookmark=id.n3wd9mzeb4qo" w:id="12"/>
    <w:bookmarkEnd w:id="12"/>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04" w:right="157" w:firstLine="600.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Assim, considera-se que práticas pedagógicas como esta contribuem para a formação crítica e cidadã dos estudantes, ao mesmo tempo em que fortalecem a identidade docente em formação, no caso das bolsistas do PIBID. Recomenda-se que experiências semelhantes sejam multiplicadas em diferentes contextos, como forma de romper ciclos de exclusão e reafirmar a educação como direito universal.</w:t>
      </w:r>
    </w:p>
    <w:bookmarkStart w:colFirst="0" w:colLast="0" w:name="bookmark=id.sgcf8p3kvxb7" w:id="13"/>
    <w:bookmarkEnd w:id="13"/>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84" w:right="161"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Outro ponto relevante refere-se à importância de políticas públicas de incentivo à formação docente, como o PIBID. A vivência proporcionada aos bolsistas nesse contexto permitiu um aprendizado profundo sobre os desafios e as possibilidades da prática educativa. Ao mesmo tempo em que fortalece a formação inicial dos professores, o programa também beneficia a escola básica, ao inserir novas propostas pedagógicas e fortalecer a relação entre universidade e comunidade escolar.</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bookmarkStart w:colFirst="0" w:colLast="0" w:name="bookmark=id.rtgbk9j3ud6e" w:id="14"/>
    <w:bookmarkEnd w:id="14"/>
    <w:p w:rsidR="00000000" w:rsidDel="00000000" w:rsidP="00000000" w:rsidRDefault="00000000" w:rsidRPr="00000000" w14:paraId="00000040">
      <w:pPr>
        <w:pStyle w:val="Heading1"/>
        <w:numPr>
          <w:ilvl w:val="0"/>
          <w:numId w:val="2"/>
        </w:numPr>
        <w:tabs>
          <w:tab w:val="left" w:leader="none" w:pos="1004"/>
        </w:tabs>
        <w:ind w:left="1004" w:hanging="360"/>
        <w:jc w:val="left"/>
        <w:rPr/>
      </w:pPr>
      <w:r w:rsidDel="00000000" w:rsidR="00000000" w:rsidRPr="00000000">
        <w:rPr>
          <w:rtl w:val="0"/>
        </w:rPr>
        <w:t xml:space="preserve">FINANCIAMENTOS</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bookmarkStart w:colFirst="0" w:colLast="0" w:name="bookmark=id.787ybk91ogm2" w:id="15"/>
    <w:bookmarkEnd w:id="15"/>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84"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 experiência foi desenvolvida com apoio da CAPES, por meio do Programa Institucional de Bolsas de Iniciação à Docência – PIBID.</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bookmarkStart w:colFirst="0" w:colLast="0" w:name="bookmark=id.l491txkteer" w:id="16"/>
    <w:bookmarkEnd w:id="16"/>
    <w:p w:rsidR="00000000" w:rsidDel="00000000" w:rsidP="00000000" w:rsidRDefault="00000000" w:rsidRPr="00000000" w14:paraId="00000044">
      <w:pPr>
        <w:pStyle w:val="Heading1"/>
        <w:numPr>
          <w:ilvl w:val="0"/>
          <w:numId w:val="2"/>
        </w:numPr>
        <w:tabs>
          <w:tab w:val="left" w:leader="none" w:pos="284"/>
        </w:tabs>
        <w:ind w:left="284" w:hanging="240"/>
        <w:jc w:val="left"/>
        <w:rPr/>
      </w:pPr>
      <w:bookmarkStart w:colFirst="0" w:colLast="0" w:name="_heading=h.sov9fkqbfmbz" w:id="17"/>
      <w:bookmarkEnd w:id="17"/>
      <w:r w:rsidDel="00000000" w:rsidR="00000000" w:rsidRPr="00000000">
        <w:rPr>
          <w:rtl w:val="0"/>
        </w:rPr>
        <w:t xml:space="preserve">REFERÊNCIAS</w:t>
      </w:r>
    </w:p>
    <w:p w:rsidR="00000000" w:rsidDel="00000000" w:rsidP="00000000" w:rsidRDefault="00000000" w:rsidRPr="00000000" w14:paraId="00000045">
      <w:pPr>
        <w:spacing w:before="138" w:line="276" w:lineRule="auto"/>
        <w:ind w:left="284" w:right="163" w:firstLine="0"/>
        <w:jc w:val="both"/>
        <w:rPr>
          <w:sz w:val="24"/>
          <w:szCs w:val="24"/>
        </w:rPr>
      </w:pPr>
      <w:r w:rsidDel="00000000" w:rsidR="00000000" w:rsidRPr="00000000">
        <w:rPr>
          <w:sz w:val="24"/>
          <w:szCs w:val="24"/>
          <w:rtl w:val="0"/>
        </w:rPr>
        <w:t xml:space="preserve">CAVALLEIRO, Eliane. </w:t>
      </w:r>
      <w:r w:rsidDel="00000000" w:rsidR="00000000" w:rsidRPr="00000000">
        <w:rPr>
          <w:b w:val="1"/>
          <w:sz w:val="24"/>
          <w:szCs w:val="24"/>
          <w:rtl w:val="0"/>
        </w:rPr>
        <w:t xml:space="preserve">Do silêncio do lar ao silêncio escolar</w:t>
      </w:r>
      <w:r w:rsidDel="00000000" w:rsidR="00000000" w:rsidRPr="00000000">
        <w:rPr>
          <w:sz w:val="24"/>
          <w:szCs w:val="24"/>
          <w:rtl w:val="0"/>
        </w:rPr>
        <w:t xml:space="preserve">: racismo, preconceito e discriminação na educação infantil. São Paulo: Contexto, 2012.</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284" w:right="16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GOMES, Nilma Lino. Educação e relações raciais: refletindo sobre algumas estratégias de atuação. In: GOMES, Nilma Lino (Org.).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Superando o racismo na escola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ed. Brasília: MEC, 2002.</w:t>
      </w:r>
    </w:p>
    <w:p w:rsidR="00000000" w:rsidDel="00000000" w:rsidP="00000000" w:rsidRDefault="00000000" w:rsidRPr="00000000" w14:paraId="00000047">
      <w:pPr>
        <w:spacing w:before="200" w:lineRule="auto"/>
        <w:ind w:left="284" w:firstLine="0"/>
        <w:jc w:val="both"/>
        <w:rPr>
          <w:b w:val="1"/>
          <w:sz w:val="24"/>
          <w:szCs w:val="24"/>
        </w:rPr>
      </w:pPr>
      <w:r w:rsidDel="00000000" w:rsidR="00000000" w:rsidRPr="00000000">
        <w:rPr>
          <w:sz w:val="24"/>
          <w:szCs w:val="24"/>
          <w:rtl w:val="0"/>
        </w:rPr>
        <w:t xml:space="preserve">MACIEL, T. S.; SILVA, M. E. F.; BRADO, T. S. A. M. (eds). </w:t>
      </w:r>
      <w:r w:rsidDel="00000000" w:rsidR="00000000" w:rsidRPr="00000000">
        <w:rPr>
          <w:b w:val="1"/>
          <w:sz w:val="24"/>
          <w:szCs w:val="24"/>
          <w:rtl w:val="0"/>
        </w:rPr>
        <w:t xml:space="preserve">Direitos humanos,</w:t>
      </w:r>
    </w:p>
    <w:p w:rsidR="00000000" w:rsidDel="00000000" w:rsidP="00000000" w:rsidRDefault="00000000" w:rsidRPr="00000000" w14:paraId="00000048">
      <w:pPr>
        <w:spacing w:before="41" w:line="448" w:lineRule="auto"/>
        <w:ind w:left="284" w:right="1235" w:firstLine="0"/>
        <w:rPr>
          <w:sz w:val="24"/>
          <w:szCs w:val="24"/>
        </w:rPr>
      </w:pPr>
      <w:r w:rsidDel="00000000" w:rsidR="00000000" w:rsidRPr="00000000">
        <w:rPr>
          <w:b w:val="1"/>
          <w:sz w:val="24"/>
          <w:szCs w:val="24"/>
          <w:rtl w:val="0"/>
        </w:rPr>
        <w:t xml:space="preserve">diversidade, gênero e educação</w:t>
      </w:r>
      <w:r w:rsidDel="00000000" w:rsidR="00000000" w:rsidRPr="00000000">
        <w:rPr>
          <w:sz w:val="24"/>
          <w:szCs w:val="24"/>
          <w:rtl w:val="0"/>
        </w:rPr>
        <w:t xml:space="preserve">. São Paulo: Autores Associados, 2016. MBEMBE, Achille. </w:t>
      </w:r>
      <w:r w:rsidDel="00000000" w:rsidR="00000000" w:rsidRPr="00000000">
        <w:rPr>
          <w:b w:val="1"/>
          <w:sz w:val="24"/>
          <w:szCs w:val="24"/>
          <w:rtl w:val="0"/>
        </w:rPr>
        <w:t xml:space="preserve">Necropolítica</w:t>
      </w:r>
      <w:r w:rsidDel="00000000" w:rsidR="00000000" w:rsidRPr="00000000">
        <w:rPr>
          <w:sz w:val="24"/>
          <w:szCs w:val="24"/>
          <w:rtl w:val="0"/>
        </w:rPr>
        <w:t xml:space="preserve">. São Paulo: n-1 edições, 2018.</w:t>
      </w:r>
    </w:p>
    <w:p w:rsidR="00000000" w:rsidDel="00000000" w:rsidP="00000000" w:rsidRDefault="00000000" w:rsidRPr="00000000" w14:paraId="00000049">
      <w:pPr>
        <w:spacing w:before="37" w:lineRule="auto"/>
        <w:ind w:left="284" w:firstLine="0"/>
        <w:rPr>
          <w:sz w:val="24"/>
          <w:szCs w:val="24"/>
        </w:rPr>
      </w:pPr>
      <w:r w:rsidDel="00000000" w:rsidR="00000000" w:rsidRPr="00000000">
        <w:rPr>
          <w:sz w:val="24"/>
          <w:szCs w:val="24"/>
          <w:rtl w:val="0"/>
        </w:rPr>
        <w:t xml:space="preserve">FREIRE, Paulo. </w:t>
      </w:r>
      <w:r w:rsidDel="00000000" w:rsidR="00000000" w:rsidRPr="00000000">
        <w:rPr>
          <w:b w:val="1"/>
          <w:sz w:val="24"/>
          <w:szCs w:val="24"/>
          <w:rtl w:val="0"/>
        </w:rPr>
        <w:t xml:space="preserve">Pedagogia do Oprimido. </w:t>
      </w:r>
      <w:r w:rsidDel="00000000" w:rsidR="00000000" w:rsidRPr="00000000">
        <w:rPr>
          <w:sz w:val="24"/>
          <w:szCs w:val="24"/>
          <w:rtl w:val="0"/>
        </w:rPr>
        <w:t xml:space="preserve">60. ed. Rio de Janeiro: Paz e Terra, 2020.</w:t>
      </w:r>
    </w:p>
    <w:sectPr>
      <w:type w:val="nextPage"/>
      <w:pgSz w:h="16840" w:w="11920" w:orient="portrait"/>
      <w:pgMar w:bottom="280" w:top="1640" w:left="1417" w:right="992"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84" w:hanging="300"/>
      </w:pPr>
      <w:rPr>
        <w:rFonts w:ascii="Times New Roman" w:cs="Times New Roman" w:eastAsia="Times New Roman" w:hAnsi="Times New Roman"/>
        <w:b w:val="1"/>
        <w:i w:val="0"/>
        <w:sz w:val="24"/>
        <w:szCs w:val="24"/>
      </w:rPr>
    </w:lvl>
    <w:lvl w:ilvl="1">
      <w:start w:val="0"/>
      <w:numFmt w:val="bullet"/>
      <w:lvlText w:val="•"/>
      <w:lvlJc w:val="left"/>
      <w:pPr>
        <w:ind w:left="1203" w:hanging="300"/>
      </w:pPr>
      <w:rPr/>
    </w:lvl>
    <w:lvl w:ilvl="2">
      <w:start w:val="0"/>
      <w:numFmt w:val="bullet"/>
      <w:lvlText w:val="•"/>
      <w:lvlJc w:val="left"/>
      <w:pPr>
        <w:ind w:left="2126" w:hanging="300"/>
      </w:pPr>
      <w:rPr/>
    </w:lvl>
    <w:lvl w:ilvl="3">
      <w:start w:val="0"/>
      <w:numFmt w:val="bullet"/>
      <w:lvlText w:val="•"/>
      <w:lvlJc w:val="left"/>
      <w:pPr>
        <w:ind w:left="3049" w:hanging="300"/>
      </w:pPr>
      <w:rPr/>
    </w:lvl>
    <w:lvl w:ilvl="4">
      <w:start w:val="0"/>
      <w:numFmt w:val="bullet"/>
      <w:lvlText w:val="•"/>
      <w:lvlJc w:val="left"/>
      <w:pPr>
        <w:ind w:left="3972" w:hanging="300"/>
      </w:pPr>
      <w:rPr/>
    </w:lvl>
    <w:lvl w:ilvl="5">
      <w:start w:val="0"/>
      <w:numFmt w:val="bullet"/>
      <w:lvlText w:val="•"/>
      <w:lvlJc w:val="left"/>
      <w:pPr>
        <w:ind w:left="4895" w:hanging="300"/>
      </w:pPr>
      <w:rPr/>
    </w:lvl>
    <w:lvl w:ilvl="6">
      <w:start w:val="0"/>
      <w:numFmt w:val="bullet"/>
      <w:lvlText w:val="•"/>
      <w:lvlJc w:val="left"/>
      <w:pPr>
        <w:ind w:left="5818" w:hanging="300"/>
      </w:pPr>
      <w:rPr/>
    </w:lvl>
    <w:lvl w:ilvl="7">
      <w:start w:val="0"/>
      <w:numFmt w:val="bullet"/>
      <w:lvlText w:val="•"/>
      <w:lvlJc w:val="left"/>
      <w:pPr>
        <w:ind w:left="6741" w:hanging="300"/>
      </w:pPr>
      <w:rPr/>
    </w:lvl>
    <w:lvl w:ilvl="8">
      <w:start w:val="0"/>
      <w:numFmt w:val="bullet"/>
      <w:lvlText w:val="•"/>
      <w:lvlJc w:val="left"/>
      <w:pPr>
        <w:ind w:left="7664" w:hanging="300"/>
      </w:pPr>
      <w:rPr/>
    </w:lvl>
  </w:abstractNum>
  <w:abstractNum w:abstractNumId="2">
    <w:lvl w:ilvl="0">
      <w:start w:val="1"/>
      <w:numFmt w:val="decimal"/>
      <w:lvlText w:val="%1."/>
      <w:lvlJc w:val="left"/>
      <w:pPr>
        <w:ind w:left="1004" w:hanging="360"/>
      </w:pPr>
      <w:rPr>
        <w:rFonts w:ascii="Times New Roman" w:cs="Times New Roman" w:eastAsia="Times New Roman" w:hAnsi="Times New Roman"/>
        <w:b w:val="1"/>
        <w:i w:val="0"/>
        <w:sz w:val="24"/>
        <w:szCs w:val="24"/>
      </w:rPr>
    </w:lvl>
    <w:lvl w:ilvl="1">
      <w:start w:val="0"/>
      <w:numFmt w:val="bullet"/>
      <w:lvlText w:val="•"/>
      <w:lvlJc w:val="left"/>
      <w:pPr>
        <w:ind w:left="1851" w:hanging="360"/>
      </w:pPr>
      <w:rPr/>
    </w:lvl>
    <w:lvl w:ilvl="2">
      <w:start w:val="0"/>
      <w:numFmt w:val="bullet"/>
      <w:lvlText w:val="•"/>
      <w:lvlJc w:val="left"/>
      <w:pPr>
        <w:ind w:left="2702" w:hanging="360"/>
      </w:pPr>
      <w:rPr/>
    </w:lvl>
    <w:lvl w:ilvl="3">
      <w:start w:val="0"/>
      <w:numFmt w:val="bullet"/>
      <w:lvlText w:val="•"/>
      <w:lvlJc w:val="left"/>
      <w:pPr>
        <w:ind w:left="3553" w:hanging="360"/>
      </w:pPr>
      <w:rPr/>
    </w:lvl>
    <w:lvl w:ilvl="4">
      <w:start w:val="0"/>
      <w:numFmt w:val="bullet"/>
      <w:lvlText w:val="•"/>
      <w:lvlJc w:val="left"/>
      <w:pPr>
        <w:ind w:left="4404" w:hanging="360"/>
      </w:pPr>
      <w:rPr/>
    </w:lvl>
    <w:lvl w:ilvl="5">
      <w:start w:val="0"/>
      <w:numFmt w:val="bullet"/>
      <w:lvlText w:val="•"/>
      <w:lvlJc w:val="left"/>
      <w:pPr>
        <w:ind w:left="5255" w:hanging="360"/>
      </w:pPr>
      <w:rPr/>
    </w:lvl>
    <w:lvl w:ilvl="6">
      <w:start w:val="0"/>
      <w:numFmt w:val="bullet"/>
      <w:lvlText w:val="•"/>
      <w:lvlJc w:val="left"/>
      <w:pPr>
        <w:ind w:left="6106" w:hanging="360"/>
      </w:pPr>
      <w:rPr/>
    </w:lvl>
    <w:lvl w:ilvl="7">
      <w:start w:val="0"/>
      <w:numFmt w:val="bullet"/>
      <w:lvlText w:val="•"/>
      <w:lvlJc w:val="left"/>
      <w:pPr>
        <w:ind w:left="6957" w:hanging="360"/>
      </w:pPr>
      <w:rPr/>
    </w:lvl>
    <w:lvl w:ilvl="8">
      <w:start w:val="0"/>
      <w:numFmt w:val="bullet"/>
      <w:lvlText w:val="•"/>
      <w:lvlJc w:val="left"/>
      <w:pPr>
        <w:ind w:left="7808"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_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1" w:lineRule="auto"/>
      <w:ind w:left="1004" w:hanging="36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nayla.silva@ufnt.edu.br3" TargetMode="External"/><Relationship Id="rId10" Type="http://schemas.openxmlformats.org/officeDocument/2006/relationships/hyperlink" Target="mailto:nayla.silva@ufnt.edu.br3" TargetMode="External"/><Relationship Id="rId13" Type="http://schemas.openxmlformats.org/officeDocument/2006/relationships/hyperlink" Target="mailto:silene.claro@ufnt.edu.br5" TargetMode="External"/><Relationship Id="rId12" Type="http://schemas.openxmlformats.org/officeDocument/2006/relationships/hyperlink" Target="mailto:raquel.sousa@ufnt.edu.br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kalicia.silva@ufnt.edu.br2"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gabriela.batista@ufnt.edu.b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WTCioUFae1DoM+dOEGHQmfgsyw==">CgMxLjAyD2lkLnh1OWIxbzM5bW10YjIPaWQuZXJ2Nnh3MzRmaHluMg5pZC53MWI1bWdjeGNzZjIPaWQudTVpdHpxNGoxcWZiMg5oLnJ1bWM3am55c3U3ZTIPaWQuNHgyNjZudTRoaGNiMg9pZC4xdm9tZTM0Y3plNWIyD2lkLjE5Y3NmNnAwOWE4ZzIPaWQuOWc1dTVtbDg4a2c1Mg9pZC54MHI4Mzc2azFieHMyD2lkLm1jMGUzNnd2NzhxbDIPaWQuY2VpdnVydm91c3ZnMg9pZC5uM3dkOW16ZWI0cW8yD2lkLnNnY2Y4cDNrdnhiNzIPaWQucnRnYms5ajN1ZDZlMg9pZC43ODd5Yms5MW9nbTIyDmlkLmw0OTF0eGt0ZWVyMg5oLnNvdjlma3FiZm1iejgAciExMFoyUGg1cmJ1U3M2OUF1MVpYY0VNNkplTUZpaXYzVG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