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right="160" w:firstLine="0"/>
        <w:jc w:val="center"/>
        <w:rPr/>
        <w:sectPr>
          <w:headerReference r:id="rId7" w:type="default"/>
          <w:pgSz w:h="16840" w:w="11910" w:orient="portrait"/>
          <w:pgMar w:bottom="1134" w:top="1701" w:left="1701" w:right="1134" w:header="442" w:footer="0"/>
          <w:pgNumType w:start="1"/>
        </w:sectPr>
      </w:pPr>
      <w:r w:rsidDel="00000000" w:rsidR="00000000" w:rsidRPr="00000000">
        <w:rPr>
          <w:rtl w:val="0"/>
        </w:rPr>
      </w:r>
    </w:p>
    <w:p w:rsidR="00000000" w:rsidDel="00000000" w:rsidP="00000000" w:rsidRDefault="00000000" w:rsidRPr="00000000" w14:paraId="00000002">
      <w:pPr>
        <w:pStyle w:val="Heading1"/>
        <w:ind w:left="0" w:right="160" w:firstLine="0"/>
        <w:jc w:val="center"/>
        <w:rPr>
          <w:color w:val="ff0000"/>
          <w:highlight w:val="yellow"/>
        </w:rPr>
      </w:pPr>
      <w:r w:rsidDel="00000000" w:rsidR="00000000" w:rsidRPr="00000000">
        <w:rPr>
          <w:highlight w:val="white"/>
          <w:rtl w:val="0"/>
        </w:rPr>
        <w:t xml:space="preserve">RELATO DE EXPERIÊNCIA</w:t>
      </w:r>
      <w:r w:rsidDel="00000000" w:rsidR="00000000" w:rsidRPr="00000000">
        <w:rPr>
          <w:color w:val="ff0000"/>
          <w:highlight w:val="yellow"/>
          <w:rtl w:val="0"/>
        </w:rPr>
        <w:t xml:space="preserve"> </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pStyle w:val="Heading1"/>
        <w:ind w:left="0" w:right="160" w:firstLine="0"/>
        <w:jc w:val="center"/>
        <w:rPr/>
      </w:pPr>
      <w:r w:rsidDel="00000000" w:rsidR="00000000" w:rsidRPr="00000000">
        <w:rPr>
          <w:rtl w:val="0"/>
        </w:rPr>
        <w:t xml:space="preserve">O JOGO DE RPG COMO ESTRATÉGIA LÚDICA NO ENSINO DO GÊNERO  CONTO DE FADAS: </w:t>
      </w:r>
      <w:r w:rsidDel="00000000" w:rsidR="00000000" w:rsidRPr="00000000">
        <w:rPr>
          <w:rtl w:val="0"/>
        </w:rPr>
        <w:t xml:space="preserve">EXPERIÊNCIAS DO PIBID ALFABETIZAÇÃO NA ESCOLA MUNICIPAL PROFESSOR ANTÔNIO FARIAS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right="97"/>
        <w:rPr>
          <w:color w:val="000000"/>
          <w:sz w:val="24"/>
          <w:szCs w:val="24"/>
        </w:rPr>
      </w:pPr>
      <w:r w:rsidDel="00000000" w:rsidR="00000000" w:rsidRPr="00000000">
        <w:rPr>
          <w:sz w:val="24"/>
          <w:szCs w:val="24"/>
          <w:rtl w:val="0"/>
        </w:rPr>
        <w:t xml:space="preserve">DIAS, M. C. S.,</w:t>
      </w:r>
      <w:r w:rsidDel="00000000" w:rsidR="00000000" w:rsidRPr="00000000">
        <w:rPr>
          <w:color w:val="000000"/>
          <w:sz w:val="24"/>
          <w:szCs w:val="24"/>
          <w:rtl w:val="0"/>
        </w:rPr>
        <w:t xml:space="preserve"> </w:t>
      </w:r>
      <w:r w:rsidDel="00000000" w:rsidR="00000000" w:rsidRPr="00000000">
        <w:rPr>
          <w:sz w:val="24"/>
          <w:szCs w:val="24"/>
          <w:rtl w:val="0"/>
        </w:rPr>
        <w:t xml:space="preserve">mayra.dias@ufnt.edu.br</w:t>
      </w:r>
      <w:r w:rsidDel="00000000" w:rsidR="00000000" w:rsidRPr="00000000">
        <w:rPr>
          <w:color w:val="000000"/>
          <w:sz w:val="24"/>
          <w:szCs w:val="24"/>
          <w:rtl w:val="0"/>
        </w:rPr>
        <w:t xml:space="preserve">, </w:t>
      </w:r>
      <w:r w:rsidDel="00000000" w:rsidR="00000000" w:rsidRPr="00000000">
        <w:rPr>
          <w:sz w:val="24"/>
          <w:szCs w:val="24"/>
          <w:rtl w:val="0"/>
        </w:rPr>
        <w:t xml:space="preserve">UFNT, </w:t>
      </w:r>
      <w:r w:rsidDel="00000000" w:rsidR="00000000" w:rsidRPr="00000000">
        <w:rPr>
          <w:sz w:val="24"/>
          <w:szCs w:val="24"/>
          <w:rtl w:val="0"/>
        </w:rPr>
        <w:t xml:space="preserve">SARAIVA, P. P., porcillo.saraiva@ufnt.edu.br, UFNT, SOUSA, L. F. dos S., luis.sousa@ufnt.edu.br, UFNT, SILVA, I. C.</w:t>
      </w:r>
      <w:r w:rsidDel="00000000" w:rsidR="00000000" w:rsidRPr="00000000">
        <w:rPr>
          <w:sz w:val="24"/>
          <w:szCs w:val="24"/>
          <w:rtl w:val="0"/>
        </w:rPr>
        <w:t xml:space="preserve">, isabela.silva@ufnt.edu.br, UFNT</w:t>
      </w:r>
      <w:r w:rsidDel="00000000" w:rsidR="00000000" w:rsidRPr="00000000">
        <w:rPr>
          <w:sz w:val="24"/>
          <w:szCs w:val="24"/>
          <w:rtl w:val="0"/>
        </w:rPr>
        <w:t xml:space="preserve">, SOUSA, E. G. de, elizonegomes1@gmail.com, SEMED-Tocantinópolis/TO, COSTA-VASCONCELOS, Z. K., zian.karla@ufnt.edu.br, UFNT.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Área Temática: </w:t>
      </w:r>
      <w:r w:rsidDel="00000000" w:rsidR="00000000" w:rsidRPr="00000000">
        <w:rPr>
          <w:sz w:val="24"/>
          <w:szCs w:val="24"/>
          <w:rtl w:val="0"/>
        </w:rPr>
        <w:t xml:space="preserve">Ciências Humanas.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0A">
      <w:pPr>
        <w:pStyle w:val="Heading1"/>
        <w:ind w:left="0" w:firstLine="0"/>
        <w:jc w:val="both"/>
        <w:rPr>
          <w:sz w:val="24"/>
          <w:szCs w:val="24"/>
        </w:rPr>
      </w:pPr>
      <w:r w:rsidDel="00000000" w:rsidR="00000000" w:rsidRPr="00000000">
        <w:rPr>
          <w:rtl w:val="0"/>
        </w:rPr>
        <w:t xml:space="preserve">RESUMO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O presente relato descreve uma experiência pedagógica realizada no âmbito  do Programa Institucional de Bolsa de Iniciação à Docência (PIBID) de Alfabetização, desenvolvida na Escola Municipal Professor Antônio Farias, realizada no dia 03 de setembro de 2025 com foco no uso do jogo RPG (Role-Playing Game) como estratégia para instigar as crianças a se envolverem de forma leve e lúdica no mundo da alfabetização por meio do gênero textual conto de fadas, ajudando também no desenvolvimento do raciocínio lógico e da cooperação entre as crianças. A metodologia baseia-se em autores como Anita Grando, Liane Tarouco, Mary Stela Sakamoto Lopes que destacam como o uso do RPG e de outras práticas lúdicas são essenciais nos momentos de ensino-aprendizagem das crianças e adolescentes. Os resultados denotam o engajamento dos alunos e o desenvolvimento da consciência metalinguística diante de um cenário onde o modelo de ensino tradicional prevalece. Dessa forma, a proposta uniu ludicidade e aprendizagem, favorecendo o avanço na leitura, escrita e socialização dos alunos.</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b w:val="1"/>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sz w:val="24"/>
          <w:szCs w:val="24"/>
        </w:rPr>
      </w:pPr>
      <w:r w:rsidDel="00000000" w:rsidR="00000000" w:rsidRPr="00000000">
        <w:rPr>
          <w:b w:val="1"/>
          <w:color w:val="000000"/>
          <w:sz w:val="24"/>
          <w:szCs w:val="24"/>
          <w:rtl w:val="0"/>
        </w:rPr>
        <w:t xml:space="preserve">Palavras-chave: </w:t>
      </w:r>
      <w:r w:rsidDel="00000000" w:rsidR="00000000" w:rsidRPr="00000000">
        <w:rPr>
          <w:sz w:val="24"/>
          <w:szCs w:val="24"/>
          <w:rtl w:val="0"/>
        </w:rPr>
        <w:t xml:space="preserve">Ludicidade</w:t>
      </w:r>
      <w:r w:rsidDel="00000000" w:rsidR="00000000" w:rsidRPr="00000000">
        <w:rPr>
          <w:color w:val="000000"/>
          <w:sz w:val="24"/>
          <w:szCs w:val="24"/>
          <w:rtl w:val="0"/>
        </w:rPr>
        <w:t xml:space="preserve">; </w:t>
      </w:r>
      <w:r w:rsidDel="00000000" w:rsidR="00000000" w:rsidRPr="00000000">
        <w:rPr>
          <w:sz w:val="24"/>
          <w:szCs w:val="24"/>
          <w:rtl w:val="0"/>
        </w:rPr>
        <w:t xml:space="preserve">Educação</w:t>
      </w:r>
      <w:r w:rsidDel="00000000" w:rsidR="00000000" w:rsidRPr="00000000">
        <w:rPr>
          <w:color w:val="000000"/>
          <w:sz w:val="24"/>
          <w:szCs w:val="24"/>
          <w:rtl w:val="0"/>
        </w:rPr>
        <w:t xml:space="preserve">; </w:t>
      </w:r>
      <w:r w:rsidDel="00000000" w:rsidR="00000000" w:rsidRPr="00000000">
        <w:rPr>
          <w:sz w:val="24"/>
          <w:szCs w:val="24"/>
          <w:rtl w:val="0"/>
        </w:rPr>
        <w:t xml:space="preserve">Gênero Textual</w:t>
      </w:r>
      <w:r w:rsidDel="00000000" w:rsidR="00000000" w:rsidRPr="00000000">
        <w:rPr>
          <w:color w:val="000000"/>
          <w:sz w:val="24"/>
          <w:szCs w:val="24"/>
          <w:rtl w:val="0"/>
        </w:rPr>
        <w:t xml:space="preserve">; </w:t>
      </w:r>
      <w:r w:rsidDel="00000000" w:rsidR="00000000" w:rsidRPr="00000000">
        <w:rPr>
          <w:sz w:val="24"/>
          <w:szCs w:val="24"/>
          <w:rtl w:val="0"/>
        </w:rPr>
        <w:t xml:space="preserve">Imaginação</w:t>
      </w:r>
      <w:r w:rsidDel="00000000" w:rsidR="00000000" w:rsidRPr="00000000">
        <w:rPr>
          <w:color w:val="000000"/>
          <w:sz w:val="24"/>
          <w:szCs w:val="24"/>
          <w:rtl w:val="0"/>
        </w:rPr>
        <w:t xml:space="preserve">; </w:t>
      </w:r>
      <w:r w:rsidDel="00000000" w:rsidR="00000000" w:rsidRPr="00000000">
        <w:rPr>
          <w:sz w:val="24"/>
          <w:szCs w:val="24"/>
          <w:rtl w:val="0"/>
        </w:rPr>
        <w:t xml:space="preserve">Imersão</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rtl w:val="0"/>
        </w:rPr>
      </w:r>
    </w:p>
    <w:p w:rsidR="00000000" w:rsidDel="00000000" w:rsidP="00000000" w:rsidRDefault="00000000" w:rsidRPr="00000000" w14:paraId="00000010">
      <w:pPr>
        <w:pStyle w:val="Heading1"/>
        <w:numPr>
          <w:ilvl w:val="0"/>
          <w:numId w:val="1"/>
        </w:numPr>
        <w:tabs>
          <w:tab w:val="left" w:leader="none" w:pos="129"/>
        </w:tabs>
        <w:spacing w:line="360" w:lineRule="auto"/>
        <w:ind w:left="-283" w:firstLine="285"/>
        <w:jc w:val="both"/>
        <w:rPr/>
      </w:pPr>
      <w:r w:rsidDel="00000000" w:rsidR="00000000" w:rsidRPr="00000000">
        <w:rPr>
          <w:rtl w:val="0"/>
        </w:rPr>
        <w:t xml:space="preserve">INTRODUÇÃO</w:t>
      </w:r>
    </w:p>
    <w:p w:rsidR="00000000" w:rsidDel="00000000" w:rsidP="00000000" w:rsidRDefault="00000000" w:rsidRPr="00000000" w14:paraId="00000011">
      <w:pPr>
        <w:tabs>
          <w:tab w:val="left" w:leader="none" w:pos="129"/>
        </w:tabs>
        <w:spacing w:line="360" w:lineRule="auto"/>
        <w:ind w:left="0" w:firstLine="708.6614173228347"/>
        <w:jc w:val="both"/>
        <w:rPr>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ind w:left="0" w:firstLine="708.6614173228347"/>
        <w:jc w:val="both"/>
        <w:rPr>
          <w:sz w:val="24"/>
          <w:szCs w:val="24"/>
        </w:rPr>
      </w:pPr>
      <w:r w:rsidDel="00000000" w:rsidR="00000000" w:rsidRPr="00000000">
        <w:rPr>
          <w:sz w:val="24"/>
          <w:szCs w:val="24"/>
          <w:rtl w:val="0"/>
        </w:rPr>
        <w:t xml:space="preserve">Com a finalidade de propiciar aos alunos da Escola Municipal Professor Antonio Farias atendidos pelo Programa Institucional de Bolsa de Iniciação à Docência (PIBID) de Alfabetização coordenado pela professora doutora Zian Karla Vasconcelos, a experiência de vivenciar o espaço escolar, foi trabalhado de forma inicial no programa a imersão no mundo literário com o intuito de preparar as crianças que participam do programa para adentrar na abordagem direta sobre alfabetização e letramento.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ind w:left="0" w:firstLine="708.6614173228347"/>
        <w:jc w:val="both"/>
        <w:rPr>
          <w:sz w:val="24"/>
          <w:szCs w:val="24"/>
        </w:rPr>
      </w:pPr>
      <w:r w:rsidDel="00000000" w:rsidR="00000000" w:rsidRPr="00000000">
        <w:rPr>
          <w:sz w:val="24"/>
          <w:szCs w:val="24"/>
          <w:rtl w:val="0"/>
        </w:rPr>
        <w:t xml:space="preserve">O programa desenvolve suas atividades em conjunto com três escolas públicas sendo elas “Escola Municipal Alto da Boa Vista II, Escola Municipal Professor Antônio Farias e Escola Municipal Walfredo Campos Maia”, cada escola possui um supervisor do programa que fica responsável por auxiliar o grupo de bolsistas que atuam nelas.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60" w:lineRule="auto"/>
        <w:ind w:left="0" w:firstLine="708.6614173228347"/>
        <w:jc w:val="both"/>
        <w:rPr>
          <w:sz w:val="24"/>
          <w:szCs w:val="24"/>
        </w:rPr>
      </w:pPr>
      <w:r w:rsidDel="00000000" w:rsidR="00000000" w:rsidRPr="00000000">
        <w:rPr>
          <w:sz w:val="24"/>
          <w:szCs w:val="24"/>
          <w:rtl w:val="0"/>
        </w:rPr>
        <w:t xml:space="preserve">Cada escola recebe 8 bolsistas, que se dividem em dois subgrupos “A” e “B”, cada subgrupo trabalha com turmas multisseriadas, apesar disso, grande parte da turma se encontra no mesmo nível de alfabetização. O subgrupo “B” que atua na Escola Municipal Professor Antônio Farias se reúne às segundas feiras para planejar e às quartas feiras realiza os planejamentos. As aulas do subgrupo ocorrem das 14h às 16h na sala de Atendimento Educacional Especializado (AEE) da instituição, são atendidas um total de 8 alunos com frequência regular.</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60" w:lineRule="auto"/>
        <w:ind w:left="0" w:firstLine="708.6614173228347"/>
        <w:jc w:val="both"/>
        <w:rPr>
          <w:sz w:val="24"/>
          <w:szCs w:val="24"/>
        </w:rPr>
      </w:pPr>
      <w:r w:rsidDel="00000000" w:rsidR="00000000" w:rsidRPr="00000000">
        <w:rPr>
          <w:sz w:val="24"/>
          <w:szCs w:val="24"/>
          <w:rtl w:val="0"/>
        </w:rPr>
        <w:t xml:space="preserve">Para contextualizar esta reflexão, relembramos que, a ludicidade vem sendo cada vez mais trabalhada na educação como ferramenta para o desenvolvimento físico, cognitivo e psicológico do educando. “Os termos ‘lúdico’ e ‘ludicidade’ são sinônimos, e possuem um significado abrangente. Referem-se ao brincar, jogar, contar e ouvir histórias, ilustrar, pintar, cantar e dançar, soltar a imaginação, e se aventurar pelo mundo da fantasia e da magia” (Lopes, p. 44, 2018).</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ind w:left="0" w:firstLine="708.6614173228347"/>
        <w:jc w:val="both"/>
        <w:rPr>
          <w:sz w:val="24"/>
          <w:szCs w:val="24"/>
        </w:rPr>
      </w:pPr>
      <w:r w:rsidDel="00000000" w:rsidR="00000000" w:rsidRPr="00000000">
        <w:rPr>
          <w:sz w:val="24"/>
          <w:szCs w:val="24"/>
          <w:rtl w:val="0"/>
        </w:rPr>
        <w:t xml:space="preserve">Assim,com o intuito de propiciar aos alunos uma aprendizagem mais significativa e uma maior imersão no mundo da literatura de forma lúdica, desenvolvemos com eles uma partida de Role-Playing Game (RPG). O RPG é um jogo </w:t>
      </w:r>
      <w:r w:rsidDel="00000000" w:rsidR="00000000" w:rsidRPr="00000000">
        <w:rPr>
          <w:sz w:val="24"/>
          <w:szCs w:val="24"/>
          <w:rtl w:val="0"/>
        </w:rPr>
        <w:t xml:space="preserve">“[...] de representação de papéis, onde a cooperação e a criatividade são seus principais elementos” (Grando; Tarouco, p. 3, 2008). </w:t>
      </w:r>
      <w:r w:rsidDel="00000000" w:rsidR="00000000" w:rsidRPr="00000000">
        <w:rPr>
          <w:sz w:val="24"/>
          <w:szCs w:val="24"/>
          <w:rtl w:val="0"/>
        </w:rPr>
        <w:t xml:space="preserve">Neste, os jogadores participam da história de forma ativa e interativa, tomando decisões e assumindo o controle de personagens criados por eles. Essa maior interatividade torna a narrativa mais interessante aos educandos, que têm a possibilidade de interpretar seus próprios personagens e tomar certas decisões no decorrer da história, transformando a contação de histórias em uma experiência mais imersiva.</w:t>
      </w:r>
    </w:p>
    <w:p w:rsidR="00000000" w:rsidDel="00000000" w:rsidP="00000000" w:rsidRDefault="00000000" w:rsidRPr="00000000" w14:paraId="00000017">
      <w:pPr>
        <w:spacing w:line="360" w:lineRule="auto"/>
        <w:ind w:left="0" w:firstLine="708.6614173228347"/>
        <w:jc w:val="both"/>
        <w:rPr>
          <w:sz w:val="24"/>
          <w:szCs w:val="24"/>
        </w:rPr>
      </w:pPr>
      <w:r w:rsidDel="00000000" w:rsidR="00000000" w:rsidRPr="00000000">
        <w:rPr>
          <w:sz w:val="24"/>
          <w:szCs w:val="24"/>
          <w:rtl w:val="0"/>
        </w:rPr>
        <w:t xml:space="preserve">Este trabalho visa apresentar a experiência vivida pelos bolsistas por meio de um jogo do tipo Role-Playing Game (RPG) que possibilitou às crianças uma experiência única e lúdica, por meio de uma história contada e produzida pelo pibidiano Porcillo Porfírio Saraiva.</w:t>
      </w:r>
    </w:p>
    <w:p w:rsidR="00000000" w:rsidDel="00000000" w:rsidP="00000000" w:rsidRDefault="00000000" w:rsidRPr="00000000" w14:paraId="00000018">
      <w:pPr>
        <w:spacing w:line="360" w:lineRule="auto"/>
        <w:ind w:left="0" w:firstLine="708.6614173228347"/>
        <w:jc w:val="both"/>
        <w:rPr>
          <w:sz w:val="24"/>
          <w:szCs w:val="24"/>
        </w:rPr>
      </w:pPr>
      <w:r w:rsidDel="00000000" w:rsidR="00000000" w:rsidRPr="00000000">
        <w:rPr>
          <w:sz w:val="24"/>
          <w:szCs w:val="24"/>
          <w:rtl w:val="0"/>
        </w:rPr>
        <w:t xml:space="preserve">A discussão teórica presente no decorrer deste estudo, visa promover uma reflexão crítica acerca da metodologia utilizada para imersão no mundo literário, por meio do RPG, destacando como essa dinâmica foi trabalhada utilizando apenas recursos simples.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ind w:left="0" w:firstLine="708.6614173228347"/>
        <w:jc w:val="both"/>
        <w:rPr>
          <w:sz w:val="24"/>
          <w:szCs w:val="24"/>
        </w:rPr>
      </w:pPr>
      <w:r w:rsidDel="00000000" w:rsidR="00000000" w:rsidRPr="00000000">
        <w:rPr>
          <w:rtl w:val="0"/>
        </w:rPr>
      </w:r>
    </w:p>
    <w:p w:rsidR="00000000" w:rsidDel="00000000" w:rsidP="00000000" w:rsidRDefault="00000000" w:rsidRPr="00000000" w14:paraId="0000001A">
      <w:pPr>
        <w:pStyle w:val="Heading1"/>
        <w:numPr>
          <w:ilvl w:val="0"/>
          <w:numId w:val="1"/>
        </w:numPr>
        <w:tabs>
          <w:tab w:val="left" w:leader="none" w:pos="129"/>
        </w:tabs>
        <w:spacing w:line="360" w:lineRule="auto"/>
        <w:ind w:left="-283" w:firstLine="285"/>
        <w:jc w:val="both"/>
        <w:rPr/>
      </w:pPr>
      <w:r w:rsidDel="00000000" w:rsidR="00000000" w:rsidRPr="00000000">
        <w:rPr>
          <w:rtl w:val="0"/>
        </w:rPr>
        <w:t xml:space="preserve">METODOLOGIA</w:t>
      </w:r>
    </w:p>
    <w:p w:rsidR="00000000" w:rsidDel="00000000" w:rsidP="00000000" w:rsidRDefault="00000000" w:rsidRPr="00000000" w14:paraId="0000001B">
      <w:pPr>
        <w:pStyle w:val="Heading1"/>
        <w:tabs>
          <w:tab w:val="left" w:leader="none" w:pos="358"/>
        </w:tabs>
        <w:spacing w:line="360" w:lineRule="auto"/>
        <w:ind w:left="0" w:firstLine="708.6614173228347"/>
        <w:jc w:val="both"/>
        <w:rPr>
          <w:b w:val="0"/>
        </w:rPr>
      </w:pPr>
      <w:r w:rsidDel="00000000" w:rsidR="00000000" w:rsidRPr="00000000">
        <w:rPr>
          <w:rtl w:val="0"/>
        </w:rPr>
      </w:r>
    </w:p>
    <w:p w:rsidR="00000000" w:rsidDel="00000000" w:rsidP="00000000" w:rsidRDefault="00000000" w:rsidRPr="00000000" w14:paraId="0000001C">
      <w:pPr>
        <w:pStyle w:val="Heading1"/>
        <w:tabs>
          <w:tab w:val="left" w:leader="none" w:pos="358"/>
        </w:tabs>
        <w:spacing w:line="360" w:lineRule="auto"/>
        <w:ind w:left="0" w:firstLine="708.6614173228347"/>
        <w:jc w:val="both"/>
        <w:rPr>
          <w:b w:val="0"/>
        </w:rPr>
      </w:pPr>
      <w:r w:rsidDel="00000000" w:rsidR="00000000" w:rsidRPr="00000000">
        <w:rPr>
          <w:b w:val="0"/>
          <w:rtl w:val="0"/>
        </w:rPr>
        <w:t xml:space="preserve">A atividade foi desenvolvida por meio da contação de uma história baseada em uma aventura de RPG (Role-Playing Game), utilizando o gênero literário conto de fadas como ponto de partida. A proposta buscou integrar a literatura infantil a elementos lúdicos, promovendo a imaginação, a oralidade e a interpretação. As crianças foram convidadas a criarem personagens, escolhendo nomes próprios, o que estimulou a criatividade, a autonomia e a apropriação da narrativa. Durante a história, foram trabalhadas as capacidades sensoriais e motoras por meio de ações simbólicas (empurrar uma pedra, subir uma montanha, enfrentar o dragão), desenvolvendo a coordenação motora grossa e o engajamento corporal.</w:t>
      </w:r>
    </w:p>
    <w:p w:rsidR="00000000" w:rsidDel="00000000" w:rsidP="00000000" w:rsidRDefault="00000000" w:rsidRPr="00000000" w14:paraId="0000001D">
      <w:pPr>
        <w:pStyle w:val="Heading1"/>
        <w:tabs>
          <w:tab w:val="left" w:leader="none" w:pos="358"/>
        </w:tabs>
        <w:spacing w:line="360" w:lineRule="auto"/>
        <w:ind w:left="0" w:firstLine="708.6614173228347"/>
        <w:jc w:val="both"/>
        <w:rPr>
          <w:b w:val="0"/>
        </w:rPr>
      </w:pPr>
      <w:r w:rsidDel="00000000" w:rsidR="00000000" w:rsidRPr="00000000">
        <w:rPr>
          <w:b w:val="0"/>
          <w:rtl w:val="0"/>
        </w:rPr>
        <w:t xml:space="preserve">A orientação espacial e a noção de progressão narrativa foram exploradas através de um mapa, que avançava à medida que a história se desenvolvia. Esse recurso favoreceu a compreensão da sequência dos eventos e estimulou a capacidade de representação gráfica e cartográfica.</w:t>
      </w:r>
    </w:p>
    <w:p w:rsidR="00000000" w:rsidDel="00000000" w:rsidP="00000000" w:rsidRDefault="00000000" w:rsidRPr="00000000" w14:paraId="0000001E">
      <w:pPr>
        <w:pStyle w:val="Heading1"/>
        <w:tabs>
          <w:tab w:val="left" w:leader="none" w:pos="358"/>
        </w:tabs>
        <w:spacing w:line="360" w:lineRule="auto"/>
        <w:ind w:left="0" w:firstLine="708.6614173228347"/>
        <w:jc w:val="both"/>
        <w:rPr>
          <w:b w:val="0"/>
        </w:rPr>
      </w:pPr>
      <w:r w:rsidDel="00000000" w:rsidR="00000000" w:rsidRPr="00000000">
        <w:rPr>
          <w:b w:val="0"/>
          <w:rtl w:val="0"/>
        </w:rPr>
        <w:t xml:space="preserve">O trabalho em equipe foi outro eixo metodológico fundamental: desafios coletivos, como um abraço em grupo para vencer um medo, reforçando valores de cooperação, solidariedade e convivência social. Além disso, a mediação dos bolsistas foi constante, orientando as crianças, incentivando suas falas e valorizando suas contribuições, o que garantiu um processo de aprendizagem participativo e inclusivo.</w:t>
      </w:r>
    </w:p>
    <w:p w:rsidR="00000000" w:rsidDel="00000000" w:rsidP="00000000" w:rsidRDefault="00000000" w:rsidRPr="00000000" w14:paraId="0000001F">
      <w:pPr>
        <w:pStyle w:val="Heading1"/>
        <w:tabs>
          <w:tab w:val="left" w:leader="none" w:pos="358"/>
        </w:tabs>
        <w:spacing w:line="360" w:lineRule="auto"/>
        <w:ind w:left="0" w:firstLine="708.6614173228347"/>
        <w:jc w:val="both"/>
        <w:rPr>
          <w:b w:val="0"/>
        </w:rPr>
      </w:pPr>
      <w:r w:rsidDel="00000000" w:rsidR="00000000" w:rsidRPr="00000000">
        <w:rPr>
          <w:b w:val="0"/>
          <w:rtl w:val="0"/>
        </w:rPr>
        <w:t xml:space="preserve">As metodologias adotadas possibilitaram que os estudantes fossem protagonistas da atividade, compreendendo-se como agentes ativos da narrativa. O enredo só avançava mediante suas escolhas e ações, o que lhes proporcionou a experiência de co-responsabilidade, autonomia e construção coletiva do conhecimento.</w:t>
      </w:r>
    </w:p>
    <w:p w:rsidR="00000000" w:rsidDel="00000000" w:rsidP="00000000" w:rsidRDefault="00000000" w:rsidRPr="00000000" w14:paraId="00000020">
      <w:pPr>
        <w:pStyle w:val="Heading1"/>
        <w:tabs>
          <w:tab w:val="left" w:leader="none" w:pos="358"/>
        </w:tabs>
        <w:spacing w:line="360" w:lineRule="auto"/>
        <w:ind w:left="0" w:firstLine="708.6614173228347"/>
        <w:jc w:val="both"/>
        <w:rPr/>
      </w:pPr>
      <w:r w:rsidDel="00000000" w:rsidR="00000000" w:rsidRPr="00000000">
        <w:rPr>
          <w:rtl w:val="0"/>
        </w:rPr>
      </w:r>
    </w:p>
    <w:p w:rsidR="00000000" w:rsidDel="00000000" w:rsidP="00000000" w:rsidRDefault="00000000" w:rsidRPr="00000000" w14:paraId="00000021">
      <w:pPr>
        <w:pStyle w:val="Heading1"/>
        <w:numPr>
          <w:ilvl w:val="0"/>
          <w:numId w:val="1"/>
        </w:numPr>
        <w:tabs>
          <w:tab w:val="left" w:leader="none" w:pos="129"/>
        </w:tabs>
        <w:spacing w:line="360" w:lineRule="auto"/>
        <w:ind w:left="-283" w:firstLine="285"/>
        <w:jc w:val="both"/>
        <w:rPr/>
      </w:pPr>
      <w:r w:rsidDel="00000000" w:rsidR="00000000" w:rsidRPr="00000000">
        <w:rPr>
          <w:rtl w:val="0"/>
        </w:rPr>
        <w:t xml:space="preserve">RELATO DE EXPERIÊNCIA</w:t>
      </w:r>
    </w:p>
    <w:p w:rsidR="00000000" w:rsidDel="00000000" w:rsidP="00000000" w:rsidRDefault="00000000" w:rsidRPr="00000000" w14:paraId="00000022">
      <w:pPr>
        <w:spacing w:line="360" w:lineRule="auto"/>
        <w:jc w:val="both"/>
        <w:rPr>
          <w:sz w:val="24"/>
          <w:szCs w:val="24"/>
        </w:rPr>
      </w:pPr>
      <w:r w:rsidDel="00000000" w:rsidR="00000000" w:rsidRPr="00000000">
        <w:rPr>
          <w:rtl w:val="0"/>
        </w:rPr>
      </w:r>
    </w:p>
    <w:p w:rsidR="00000000" w:rsidDel="00000000" w:rsidP="00000000" w:rsidRDefault="00000000" w:rsidRPr="00000000" w14:paraId="00000023">
      <w:pPr>
        <w:spacing w:line="360" w:lineRule="auto"/>
        <w:ind w:firstLine="708.6614173228347"/>
        <w:jc w:val="both"/>
        <w:rPr>
          <w:sz w:val="24"/>
          <w:szCs w:val="24"/>
        </w:rPr>
      </w:pPr>
      <w:r w:rsidDel="00000000" w:rsidR="00000000" w:rsidRPr="00000000">
        <w:rPr>
          <w:sz w:val="24"/>
          <w:szCs w:val="24"/>
          <w:rtl w:val="0"/>
        </w:rPr>
        <w:t xml:space="preserve">A aula iniciou-se com uma breve recapitulação sobre o gênero literário conto de fadas, relembrando características como elementos mágicos, criaturas fantásticas e a lição final. Em seguida, introduziu-se o RPG – tema central da aula – abordando as diferenças entre o gênero trabalhado e outros, preparando o terreno para que as crianças vivenciassem a literatura de forma lúdica. Cada aluno recebeu um papel e foi orientado a escrever seu nome e criar o nome de um personagem a ser interpretado.</w:t>
      </w:r>
    </w:p>
    <w:p w:rsidR="00000000" w:rsidDel="00000000" w:rsidP="00000000" w:rsidRDefault="00000000" w:rsidRPr="00000000" w14:paraId="00000024">
      <w:pPr>
        <w:spacing w:line="360" w:lineRule="auto"/>
        <w:ind w:left="0" w:firstLine="708.6614173228347"/>
        <w:jc w:val="both"/>
        <w:rPr>
          <w:sz w:val="24"/>
          <w:szCs w:val="24"/>
        </w:rPr>
      </w:pPr>
      <w:r w:rsidDel="00000000" w:rsidR="00000000" w:rsidRPr="00000000">
        <w:rPr>
          <w:sz w:val="24"/>
          <w:szCs w:val="24"/>
          <w:rtl w:val="0"/>
        </w:rPr>
        <w:t xml:space="preserve">O conto trabalhado, intitulado: O Coração da Primavera, foi escrito pelo pibidiano Porcillo Porfírio Saraiva. A narrativa gira em torno do reino de Eterna, conhecido por sua primavera encantadora. Entretanto, um dragão vermelho roubou o coração da primavera, fonte da beleza e do poder mágico do reino, mergulhando-o em tristeza e medo. Para restaurar a alegria, o rei envia soldados em busca do coração roubado, enfrentando desafios até derrotar o dragão. A história foi narrada por Porcillo, enquanto as crianças interpretavam os soldados em busca da relíquia, utilizando espadas e machados de papelão, confeccionados pelos bolsistas.</w:t>
      </w:r>
    </w:p>
    <w:p w:rsidR="00000000" w:rsidDel="00000000" w:rsidP="00000000" w:rsidRDefault="00000000" w:rsidRPr="00000000" w14:paraId="00000025">
      <w:pPr>
        <w:spacing w:line="360" w:lineRule="auto"/>
        <w:ind w:left="0" w:firstLine="708.6614173228347"/>
        <w:jc w:val="both"/>
        <w:rPr>
          <w:sz w:val="24"/>
          <w:szCs w:val="24"/>
        </w:rPr>
      </w:pPr>
      <w:r w:rsidDel="00000000" w:rsidR="00000000" w:rsidRPr="00000000">
        <w:rPr>
          <w:sz w:val="24"/>
          <w:szCs w:val="24"/>
          <w:rtl w:val="0"/>
        </w:rPr>
        <w:t xml:space="preserve">Durante a dinâmica, as crianças realizaram trilhas imaginárias e desafios que exigiam trabalho em equipe. A imersão foi total, a ludicidade contribuiu para a compreensão da narrativa, estimulando interpretação, imaginação e construção coletiva. Após esse momento, os pibidianos explicaram as características do RPG, destacando-o como um jogo de interpretação de papéis em que a narrativa avança conforme as ações dos participantes.</w:t>
      </w:r>
    </w:p>
    <w:p w:rsidR="00000000" w:rsidDel="00000000" w:rsidP="00000000" w:rsidRDefault="00000000" w:rsidRPr="00000000" w14:paraId="00000026">
      <w:pPr>
        <w:spacing w:line="360" w:lineRule="auto"/>
        <w:ind w:left="0" w:firstLine="708.6614173228347"/>
        <w:jc w:val="both"/>
        <w:rPr>
          <w:sz w:val="24"/>
          <w:szCs w:val="24"/>
        </w:rPr>
      </w:pPr>
      <w:r w:rsidDel="00000000" w:rsidR="00000000" w:rsidRPr="00000000">
        <w:rPr>
          <w:sz w:val="24"/>
          <w:szCs w:val="24"/>
          <w:rtl w:val="0"/>
        </w:rPr>
        <w:t xml:space="preserve">Na sequência, as crianças produziram croquis representando os locais vivenciados na história, organizadas em dois grupos:</w:t>
      </w:r>
    </w:p>
    <w:p w:rsidR="00000000" w:rsidDel="00000000" w:rsidP="00000000" w:rsidRDefault="00000000" w:rsidRPr="00000000" w14:paraId="00000027">
      <w:pPr>
        <w:spacing w:line="360" w:lineRule="auto"/>
        <w:ind w:firstLine="708.6614173228347"/>
        <w:jc w:val="both"/>
        <w:rPr>
          <w:sz w:val="24"/>
          <w:szCs w:val="24"/>
        </w:rPr>
      </w:pPr>
      <w:r w:rsidDel="00000000" w:rsidR="00000000" w:rsidRPr="00000000">
        <w:rPr>
          <w:sz w:val="24"/>
          <w:szCs w:val="24"/>
          <w:rtl w:val="0"/>
        </w:rPr>
        <w:t xml:space="preserve">Grupo 1: Rebeka, Helena, Yasmin e Beatriz;</w:t>
      </w:r>
    </w:p>
    <w:p w:rsidR="00000000" w:rsidDel="00000000" w:rsidP="00000000" w:rsidRDefault="00000000" w:rsidRPr="00000000" w14:paraId="00000028">
      <w:pPr>
        <w:spacing w:line="360" w:lineRule="auto"/>
        <w:ind w:firstLine="708.6614173228347"/>
        <w:jc w:val="both"/>
        <w:rPr>
          <w:sz w:val="24"/>
          <w:szCs w:val="24"/>
        </w:rPr>
      </w:pPr>
      <w:r w:rsidDel="00000000" w:rsidR="00000000" w:rsidRPr="00000000">
        <w:rPr>
          <w:sz w:val="24"/>
          <w:szCs w:val="24"/>
          <w:rtl w:val="0"/>
        </w:rPr>
        <w:t xml:space="preserve">Grupo 2: Kayke, Davi e Eva.</w:t>
      </w:r>
    </w:p>
    <w:p w:rsidR="00000000" w:rsidDel="00000000" w:rsidP="00000000" w:rsidRDefault="00000000" w:rsidRPr="00000000" w14:paraId="00000029">
      <w:pPr>
        <w:spacing w:line="360" w:lineRule="auto"/>
        <w:ind w:left="0" w:firstLine="708.6614173228347"/>
        <w:jc w:val="both"/>
        <w:rPr>
          <w:sz w:val="24"/>
          <w:szCs w:val="24"/>
        </w:rPr>
      </w:pPr>
      <w:r w:rsidDel="00000000" w:rsidR="00000000" w:rsidRPr="00000000">
        <w:rPr>
          <w:sz w:val="24"/>
          <w:szCs w:val="24"/>
          <w:rtl w:val="0"/>
        </w:rPr>
        <w:t xml:space="preserve">Os espaços representados foram: Reino de Eterna, Montanha dos Sussurros, Caverna, Floresta do Medo e Covil do Dragão. A atividade foi concluída com apresentações coletivas dos cartazes, possibilitando avaliar o desenvolvimento de cada criança e os avanços na compreensão do gênero conto de fadas, do RPG e da produção gráfica.</w:t>
      </w:r>
    </w:p>
    <w:p w:rsidR="00000000" w:rsidDel="00000000" w:rsidP="00000000" w:rsidRDefault="00000000" w:rsidRPr="00000000" w14:paraId="0000002A">
      <w:pPr>
        <w:spacing w:line="360" w:lineRule="auto"/>
        <w:ind w:left="0" w:firstLine="708.6614173228347"/>
        <w:jc w:val="both"/>
        <w:rPr>
          <w:sz w:val="24"/>
          <w:szCs w:val="24"/>
        </w:rPr>
      </w:pPr>
      <w:r w:rsidDel="00000000" w:rsidR="00000000" w:rsidRPr="00000000">
        <w:rPr>
          <w:sz w:val="24"/>
          <w:szCs w:val="24"/>
          <w:rtl w:val="0"/>
        </w:rPr>
        <w:t xml:space="preserve">A aula encerrou-se com uma roda de conversa entre os pibidianos, destacando como pontos positivos a participação e o envolvimento das crianças, e como ponto negativo a agitação natural provocada pelo entusiasmo. Apesar disso, concluiu-se que os objetivos foram plenamente atingidos e que a metodologia se mostrou eficaz no estímulo à imaginação, à ludicidade e à aprendizagem significativa.</w:t>
      </w:r>
    </w:p>
    <w:p w:rsidR="00000000" w:rsidDel="00000000" w:rsidP="00000000" w:rsidRDefault="00000000" w:rsidRPr="00000000" w14:paraId="0000002B">
      <w:pPr>
        <w:pStyle w:val="Heading1"/>
        <w:tabs>
          <w:tab w:val="left" w:leader="none" w:pos="358"/>
        </w:tabs>
        <w:spacing w:line="360" w:lineRule="auto"/>
        <w:ind w:left="0" w:firstLine="708.6614173228347"/>
        <w:jc w:val="both"/>
        <w:rPr/>
      </w:pPr>
      <w:r w:rsidDel="00000000" w:rsidR="00000000" w:rsidRPr="00000000">
        <w:rPr>
          <w:rtl w:val="0"/>
        </w:rPr>
        <w:t xml:space="preserve">  </w:t>
      </w:r>
    </w:p>
    <w:p w:rsidR="00000000" w:rsidDel="00000000" w:rsidP="00000000" w:rsidRDefault="00000000" w:rsidRPr="00000000" w14:paraId="0000002C">
      <w:pPr>
        <w:pStyle w:val="Heading1"/>
        <w:numPr>
          <w:ilvl w:val="0"/>
          <w:numId w:val="1"/>
        </w:numPr>
        <w:tabs>
          <w:tab w:val="left" w:leader="none" w:pos="129"/>
        </w:tabs>
        <w:spacing w:line="360" w:lineRule="auto"/>
        <w:ind w:left="-283" w:firstLine="285"/>
        <w:jc w:val="both"/>
        <w:rPr/>
      </w:pPr>
      <w:r w:rsidDel="00000000" w:rsidR="00000000" w:rsidRPr="00000000">
        <w:rPr>
          <w:rtl w:val="0"/>
        </w:rPr>
        <w:t xml:space="preserve">CONSIDERAÇÕES FINAIS</w:t>
      </w:r>
    </w:p>
    <w:p w:rsidR="00000000" w:rsidDel="00000000" w:rsidP="00000000" w:rsidRDefault="00000000" w:rsidRPr="00000000" w14:paraId="0000002D">
      <w:pPr>
        <w:pStyle w:val="Heading1"/>
        <w:tabs>
          <w:tab w:val="left" w:leader="none" w:pos="358"/>
        </w:tabs>
        <w:spacing w:line="360" w:lineRule="auto"/>
        <w:ind w:left="0" w:firstLine="708.6614173228347"/>
        <w:jc w:val="both"/>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ind w:left="0" w:firstLine="708.6614173228347"/>
        <w:jc w:val="both"/>
        <w:rPr>
          <w:sz w:val="24"/>
          <w:szCs w:val="24"/>
        </w:rPr>
      </w:pPr>
      <w:r w:rsidDel="00000000" w:rsidR="00000000" w:rsidRPr="00000000">
        <w:rPr>
          <w:sz w:val="24"/>
          <w:szCs w:val="24"/>
          <w:rtl w:val="0"/>
        </w:rPr>
        <w:t xml:space="preserve">A experiência em questão validou a potência do Role-Playing Game (RPG) como recurso pedagógico estratégico no processo de construção do conhecimento, especialmente na compreensão e interpretação do gênero conto de fadas. A proposta articulou ludicidade, imaginação e aprendizagem significativa, favorecendo a imersão das crianças na narrativa e o desenvolvimento de múltiplas habilidades.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left="0" w:firstLine="708.6614173228347"/>
        <w:jc w:val="both"/>
        <w:rPr>
          <w:sz w:val="24"/>
          <w:szCs w:val="24"/>
        </w:rPr>
      </w:pPr>
      <w:r w:rsidDel="00000000" w:rsidR="00000000" w:rsidRPr="00000000">
        <w:rPr>
          <w:sz w:val="24"/>
          <w:szCs w:val="24"/>
          <w:rtl w:val="0"/>
        </w:rPr>
        <w:t xml:space="preserve">A metodologia mostrou-se eficaz ao promover a participação ativa dos estudantes, que se tornaram protagonistas do processo, exercitando raciocínio lógico, autonomia e pensamento criativo ao tomarem decisões dentro da história. Além disso, as ações simbólicas e os desafios propostos durante a narrativa contribuíram para o aprimoramento das habilidades motoras e da coordenação, enquanto a elaboração coletiva dos croquis estimulou a capacidade de localização espacial e a representação gráfica.</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ind w:left="0" w:firstLine="708.6614173228347"/>
        <w:jc w:val="both"/>
        <w:rPr>
          <w:sz w:val="24"/>
          <w:szCs w:val="24"/>
        </w:rPr>
      </w:pPr>
      <w:r w:rsidDel="00000000" w:rsidR="00000000" w:rsidRPr="00000000">
        <w:rPr>
          <w:sz w:val="24"/>
          <w:szCs w:val="24"/>
          <w:rtl w:val="0"/>
        </w:rPr>
        <w:t xml:space="preserve">O trabalho colaborativo fortaleceu a socialização, a cooperação e a expressão oral, aspectos fundamentais para a formação integral do educando. Observou-se, portanto, que o RPG é uma ferramenta capaz de integrar diferentes áreas do conhecimento — literatura, arte, espaço e movimento — de forma lúdica e reflexiva.</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ind w:left="0" w:firstLine="708.6614173228347"/>
        <w:jc w:val="both"/>
        <w:rPr>
          <w:sz w:val="24"/>
          <w:szCs w:val="24"/>
        </w:rPr>
      </w:pPr>
      <w:r w:rsidDel="00000000" w:rsidR="00000000" w:rsidRPr="00000000">
        <w:rPr>
          <w:sz w:val="24"/>
          <w:szCs w:val="24"/>
          <w:rtl w:val="0"/>
        </w:rPr>
        <w:t xml:space="preserve">Conclui-se que o uso do RPG em contexto escolar não apenas favorece a imersão literária, mas também amplia as possibilidades de aprendizagem ao unir fantasia e construção cognitiva. Assim, reafirma-se a ludicidade como elemento essencial para uma prática educativa inovadora, criativa e significativa.</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ind w:firstLine="708.6614173228347"/>
        <w:jc w:val="both"/>
        <w:rPr>
          <w:color w:val="000000"/>
          <w:sz w:val="24"/>
          <w:szCs w:val="24"/>
        </w:rPr>
      </w:pPr>
      <w:r w:rsidDel="00000000" w:rsidR="00000000" w:rsidRPr="00000000">
        <w:rPr>
          <w:rtl w:val="0"/>
        </w:rPr>
      </w:r>
    </w:p>
    <w:p w:rsidR="00000000" w:rsidDel="00000000" w:rsidP="00000000" w:rsidRDefault="00000000" w:rsidRPr="00000000" w14:paraId="00000033">
      <w:pPr>
        <w:pStyle w:val="Heading1"/>
        <w:numPr>
          <w:ilvl w:val="0"/>
          <w:numId w:val="1"/>
        </w:numPr>
        <w:tabs>
          <w:tab w:val="left" w:leader="none" w:pos="129"/>
        </w:tabs>
        <w:spacing w:line="360" w:lineRule="auto"/>
        <w:ind w:left="-283" w:firstLine="285"/>
        <w:jc w:val="both"/>
        <w:rPr/>
      </w:pPr>
      <w:r w:rsidDel="00000000" w:rsidR="00000000" w:rsidRPr="00000000">
        <w:rPr>
          <w:rtl w:val="0"/>
        </w:rPr>
        <w:t xml:space="preserve">FINANCIAMENTOS </w:t>
      </w:r>
    </w:p>
    <w:p w:rsidR="00000000" w:rsidDel="00000000" w:rsidP="00000000" w:rsidRDefault="00000000" w:rsidRPr="00000000" w14:paraId="00000034">
      <w:pPr>
        <w:tabs>
          <w:tab w:val="left" w:leader="none" w:pos="129"/>
        </w:tabs>
        <w:spacing w:line="360" w:lineRule="auto"/>
        <w:ind w:left="-283" w:firstLine="0"/>
        <w:rPr>
          <w:sz w:val="24"/>
          <w:szCs w:val="24"/>
        </w:rPr>
      </w:pPr>
      <w:r w:rsidDel="00000000" w:rsidR="00000000" w:rsidRPr="00000000">
        <w:rPr>
          <w:rtl w:val="0"/>
        </w:rPr>
      </w:r>
    </w:p>
    <w:p w:rsidR="00000000" w:rsidDel="00000000" w:rsidP="00000000" w:rsidRDefault="00000000" w:rsidRPr="00000000" w14:paraId="00000035">
      <w:pPr>
        <w:pStyle w:val="Heading1"/>
        <w:tabs>
          <w:tab w:val="left" w:leader="none" w:pos="358"/>
        </w:tabs>
        <w:spacing w:line="360" w:lineRule="auto"/>
        <w:ind w:left="0" w:firstLine="708.6614173228347"/>
        <w:jc w:val="both"/>
        <w:rPr>
          <w:b w:val="0"/>
          <w:color w:val="ff0000"/>
        </w:rPr>
      </w:pPr>
      <w:r w:rsidDel="00000000" w:rsidR="00000000" w:rsidRPr="00000000">
        <w:rPr>
          <w:b w:val="0"/>
          <w:rtl w:val="0"/>
        </w:rPr>
        <w:t xml:space="preserve">Financiamento CAPES.</w:t>
      </w:r>
      <w:r w:rsidDel="00000000" w:rsidR="00000000" w:rsidRPr="00000000">
        <w:rPr>
          <w:rtl w:val="0"/>
        </w:rPr>
      </w:r>
    </w:p>
    <w:p w:rsidR="00000000" w:rsidDel="00000000" w:rsidP="00000000" w:rsidRDefault="00000000" w:rsidRPr="00000000" w14:paraId="00000036">
      <w:pPr>
        <w:pStyle w:val="Heading1"/>
        <w:tabs>
          <w:tab w:val="left" w:leader="none" w:pos="358"/>
        </w:tabs>
        <w:spacing w:line="360" w:lineRule="auto"/>
        <w:ind w:left="0" w:firstLine="708.6614173228347"/>
        <w:jc w:val="both"/>
        <w:rPr/>
      </w:pPr>
      <w:r w:rsidDel="00000000" w:rsidR="00000000" w:rsidRPr="00000000">
        <w:rPr>
          <w:rtl w:val="0"/>
        </w:rPr>
      </w:r>
    </w:p>
    <w:p w:rsidR="00000000" w:rsidDel="00000000" w:rsidP="00000000" w:rsidRDefault="00000000" w:rsidRPr="00000000" w14:paraId="00000037">
      <w:pPr>
        <w:pStyle w:val="Heading1"/>
        <w:numPr>
          <w:ilvl w:val="0"/>
          <w:numId w:val="1"/>
        </w:numPr>
        <w:tabs>
          <w:tab w:val="left" w:leader="none" w:pos="129"/>
        </w:tabs>
        <w:spacing w:line="360" w:lineRule="auto"/>
        <w:ind w:left="-283" w:firstLine="285"/>
        <w:jc w:val="both"/>
        <w:rPr/>
      </w:pPr>
      <w:r w:rsidDel="00000000" w:rsidR="00000000" w:rsidRPr="00000000">
        <w:rPr>
          <w:rtl w:val="0"/>
        </w:rPr>
        <w:t xml:space="preserve">REFERÊNCIAS </w:t>
      </w:r>
      <w:r w:rsidDel="00000000" w:rsidR="00000000" w:rsidRPr="00000000">
        <w:rPr>
          <w:rtl w:val="0"/>
        </w:rPr>
      </w:r>
    </w:p>
    <w:p w:rsidR="00000000" w:rsidDel="00000000" w:rsidP="00000000" w:rsidRDefault="00000000" w:rsidRPr="00000000" w14:paraId="00000038">
      <w:pPr>
        <w:spacing w:line="360" w:lineRule="auto"/>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highlight w:val="white"/>
          <w:rtl w:val="0"/>
        </w:rPr>
        <w:t xml:space="preserve">GRANDO, Anita; TAROUCO, Liane Margarida Rockenbach. O Uso de Jogos Educacionais do Tipo RPG na Educação. </w:t>
      </w:r>
      <w:r w:rsidDel="00000000" w:rsidR="00000000" w:rsidRPr="00000000">
        <w:rPr>
          <w:b w:val="1"/>
          <w:sz w:val="24"/>
          <w:szCs w:val="24"/>
          <w:highlight w:val="white"/>
          <w:rtl w:val="0"/>
        </w:rPr>
        <w:t xml:space="preserve">RENOTE</w:t>
      </w:r>
      <w:r w:rsidDel="00000000" w:rsidR="00000000" w:rsidRPr="00000000">
        <w:rPr>
          <w:sz w:val="24"/>
          <w:szCs w:val="24"/>
          <w:highlight w:val="white"/>
          <w:rtl w:val="0"/>
        </w:rPr>
        <w:t xml:space="preserve">, Porto Alegre, v. 6, n. 1, 2008. DOI: 10.22456/1679-1916.14403. Disponível em: &lt;https://seer.ufrgs.br/index.php/renote/article/view/14403&gt; Acesso em: 09 de outubro de 2025.</w:t>
      </w: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color w:val="ff0000"/>
          <w:sz w:val="24"/>
          <w:szCs w:val="24"/>
        </w:rPr>
      </w:pPr>
      <w:r w:rsidDel="00000000" w:rsidR="00000000" w:rsidRPr="00000000">
        <w:rPr>
          <w:sz w:val="24"/>
          <w:szCs w:val="24"/>
          <w:rtl w:val="0"/>
        </w:rPr>
        <w:t xml:space="preserve">LOPES, Mary Stela Sakamoto. </w:t>
      </w:r>
      <w:r w:rsidDel="00000000" w:rsidR="00000000" w:rsidRPr="00000000">
        <w:rPr>
          <w:b w:val="1"/>
          <w:sz w:val="24"/>
          <w:szCs w:val="24"/>
          <w:rtl w:val="0"/>
        </w:rPr>
        <w:t xml:space="preserve">O direito de aprendizagem e do brincar nos anos iniciais do ensino fundamental</w:t>
      </w:r>
      <w:r w:rsidDel="00000000" w:rsidR="00000000" w:rsidRPr="00000000">
        <w:rPr>
          <w:sz w:val="24"/>
          <w:szCs w:val="24"/>
          <w:rtl w:val="0"/>
        </w:rPr>
        <w:t xml:space="preserve">: formação lúdica docente. Dissertação (Mestrado) – Universidade Estadual Paulista. Faculdade de Ciências, Bauru, 2018. Disponível em: &lt;https://repositorio.unesp.br/entities/publication/8a4aeb0d-1cd0-4b2e-ae5d-4f45661350a1&gt; Acesso em: 02 de outubro de 2025.</w:t>
      </w:r>
      <w:r w:rsidDel="00000000" w:rsidR="00000000" w:rsidRPr="00000000">
        <w:rPr>
          <w:rtl w:val="0"/>
        </w:rPr>
      </w:r>
    </w:p>
    <w:sectPr>
      <w:headerReference r:id="rId8" w:type="default"/>
      <w:type w:val="continuous"/>
      <w:pgSz w:h="16840" w:w="11910" w:orient="portrait"/>
      <w:pgMar w:bottom="1134" w:top="1701" w:left="1700" w:right="1134" w:header="442"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widowControl w:val="1"/>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Pr>
      <w:drawing>
        <wp:inline distB="0" distT="0" distL="0" distR="0">
          <wp:extent cx="5762625" cy="192214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2625" cy="192214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tbl>
    <w:tblPr>
      <w:tblStyle w:val="Table1"/>
      <w:tblW w:w="931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3E">
          <w:pPr>
            <w:spacing w:line="14.399999999999999" w:lineRule="auto"/>
            <w:rPr>
              <w:sz w:val="20"/>
              <w:szCs w:val="20"/>
            </w:rPr>
          </w:pPr>
          <w:r w:rsidDel="00000000" w:rsidR="00000000" w:rsidRPr="00000000">
            <w:rPr>
              <w:rtl w:val="0"/>
            </w:rPr>
          </w:r>
        </w:p>
      </w:tc>
    </w:tr>
  </w:tbl>
  <w:p w:rsidR="00000000" w:rsidDel="00000000" w:rsidP="00000000" w:rsidRDefault="00000000" w:rsidRPr="00000000" w14:paraId="0000003F">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3" w:firstLine="285"/>
      </w:pPr>
      <w:rPr>
        <w:rFonts w:ascii="Times New Roman" w:cs="Times New Roman" w:eastAsia="Times New Roman" w:hAnsi="Times New Roman"/>
        <w:b w:val="1"/>
        <w:sz w:val="24"/>
        <w:szCs w:val="24"/>
      </w:rPr>
    </w:lvl>
    <w:lvl w:ilvl="1">
      <w:start w:val="0"/>
      <w:numFmt w:val="bullet"/>
      <w:lvlText w:val="•"/>
      <w:lvlJc w:val="left"/>
      <w:pPr>
        <w:ind w:left="1296" w:hanging="240"/>
      </w:pPr>
      <w:rPr/>
    </w:lvl>
    <w:lvl w:ilvl="2">
      <w:start w:val="0"/>
      <w:numFmt w:val="bullet"/>
      <w:lvlText w:val="•"/>
      <w:lvlJc w:val="left"/>
      <w:pPr>
        <w:ind w:left="2233" w:hanging="240"/>
      </w:pPr>
      <w:rPr/>
    </w:lvl>
    <w:lvl w:ilvl="3">
      <w:start w:val="0"/>
      <w:numFmt w:val="bullet"/>
      <w:lvlText w:val="•"/>
      <w:lvlJc w:val="left"/>
      <w:pPr>
        <w:ind w:left="3169" w:hanging="240"/>
      </w:pPr>
      <w:rPr/>
    </w:lvl>
    <w:lvl w:ilvl="4">
      <w:start w:val="0"/>
      <w:numFmt w:val="bullet"/>
      <w:lvlText w:val="•"/>
      <w:lvlJc w:val="left"/>
      <w:pPr>
        <w:ind w:left="4106" w:hanging="240"/>
      </w:pPr>
      <w:rPr/>
    </w:lvl>
    <w:lvl w:ilvl="5">
      <w:start w:val="0"/>
      <w:numFmt w:val="bullet"/>
      <w:lvlText w:val="•"/>
      <w:lvlJc w:val="left"/>
      <w:pPr>
        <w:ind w:left="5043" w:hanging="240"/>
      </w:pPr>
      <w:rPr/>
    </w:lvl>
    <w:lvl w:ilvl="6">
      <w:start w:val="0"/>
      <w:numFmt w:val="bullet"/>
      <w:lvlText w:val="•"/>
      <w:lvlJc w:val="left"/>
      <w:pPr>
        <w:ind w:left="5979" w:hanging="240"/>
      </w:pPr>
      <w:rPr/>
    </w:lvl>
    <w:lvl w:ilvl="7">
      <w:start w:val="0"/>
      <w:numFmt w:val="bullet"/>
      <w:lvlText w:val="•"/>
      <w:lvlJc w:val="left"/>
      <w:pPr>
        <w:ind w:left="6916" w:hanging="240"/>
      </w:pPr>
      <w:rPr/>
    </w:lvl>
    <w:lvl w:ilvl="8">
      <w:start w:val="0"/>
      <w:numFmt w:val="bullet"/>
      <w:lvlText w:val="•"/>
      <w:lvlJc w:val="left"/>
      <w:pPr>
        <w:ind w:left="7853" w:hanging="2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7"/>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character" w:styleId="Refdecomentrio">
    <w:name w:val="annotation reference"/>
    <w:basedOn w:val="Fontepargpadro"/>
    <w:uiPriority w:val="99"/>
    <w:semiHidden w:val="1"/>
    <w:unhideWhenUsed w:val="1"/>
    <w:rsid w:val="00DA1DD6"/>
    <w:rPr>
      <w:sz w:val="16"/>
      <w:szCs w:val="16"/>
    </w:rPr>
  </w:style>
  <w:style w:type="paragraph" w:styleId="Textodecomentrio">
    <w:name w:val="annotation text"/>
    <w:basedOn w:val="Normal"/>
    <w:link w:val="TextodecomentrioChar"/>
    <w:uiPriority w:val="99"/>
    <w:semiHidden w:val="1"/>
    <w:unhideWhenUsed w:val="1"/>
    <w:rsid w:val="00DA1DD6"/>
    <w:rPr>
      <w:sz w:val="20"/>
      <w:szCs w:val="20"/>
    </w:rPr>
  </w:style>
  <w:style w:type="character" w:styleId="TextodecomentrioChar" w:customStyle="1">
    <w:name w:val="Texto de comentário Char"/>
    <w:basedOn w:val="Fontepargpadro"/>
    <w:link w:val="Textodecomentrio"/>
    <w:uiPriority w:val="99"/>
    <w:semiHidden w:val="1"/>
    <w:rsid w:val="00DA1DD6"/>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DA1DD6"/>
    <w:rPr>
      <w:b w:val="1"/>
      <w:bCs w:val="1"/>
    </w:rPr>
  </w:style>
  <w:style w:type="character" w:styleId="AssuntodocomentrioChar" w:customStyle="1">
    <w:name w:val="Assunto do comentário Char"/>
    <w:basedOn w:val="TextodecomentrioChar"/>
    <w:link w:val="Assuntodocomentrio"/>
    <w:uiPriority w:val="99"/>
    <w:semiHidden w:val="1"/>
    <w:rsid w:val="00DA1DD6"/>
    <w:rPr>
      <w:b w:val="1"/>
      <w:bCs w:val="1"/>
      <w:sz w:val="20"/>
      <w:szCs w:val="20"/>
    </w:rPr>
  </w:style>
  <w:style w:type="paragraph" w:styleId="Reviso">
    <w:name w:val="Revision"/>
    <w:hidden w:val="1"/>
    <w:uiPriority w:val="99"/>
    <w:semiHidden w:val="1"/>
    <w:rsid w:val="00DA1DD6"/>
    <w:pPr>
      <w:widowControl w:val="1"/>
    </w:pPr>
  </w:style>
  <w:style w:type="paragraph" w:styleId="Textodebalo">
    <w:name w:val="Balloon Text"/>
    <w:basedOn w:val="Normal"/>
    <w:link w:val="TextodebaloChar"/>
    <w:uiPriority w:val="99"/>
    <w:semiHidden w:val="1"/>
    <w:unhideWhenUsed w:val="1"/>
    <w:rsid w:val="00DA1DD6"/>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DA1DD6"/>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HMWvDqtE46SyLmsmSN0pAqJytw==">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2025-10-08T14:05:00Z</dcterms:created>
</cp:coreProperties>
</file>