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69B8">
      <w:pPr>
        <w:pStyle w:val="5"/>
        <w:jc w:val="left"/>
      </w:pPr>
    </w:p>
    <w:p w14:paraId="181FFD8F">
      <w:pPr>
        <w:pStyle w:val="5"/>
        <w:spacing w:before="84"/>
        <w:jc w:val="left"/>
      </w:pPr>
    </w:p>
    <w:p w14:paraId="1C9287E4">
      <w:pPr>
        <w:pStyle w:val="2"/>
        <w:spacing w:line="360" w:lineRule="auto"/>
      </w:pPr>
      <w:r>
        <w:t>RISCO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SAÚDE</w:t>
      </w:r>
      <w:r>
        <w:rPr>
          <w:spacing w:val="-4"/>
        </w:rPr>
        <w:t xml:space="preserve"> </w:t>
      </w:r>
      <w:r>
        <w:t>HUMANA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GARIMPO</w:t>
      </w:r>
      <w:r>
        <w:rPr>
          <w:spacing w:val="-4"/>
        </w:rPr>
        <w:t xml:space="preserve"> </w:t>
      </w:r>
      <w:r>
        <w:t>ARTESANAL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OURO NA AMAZÔNIA ORIENTAL, SÃO FÉLIX DO XINGU, PA</w:t>
      </w:r>
    </w:p>
    <w:p w14:paraId="181F2BB2">
      <w:pPr>
        <w:pStyle w:val="5"/>
        <w:spacing w:before="139"/>
        <w:jc w:val="left"/>
        <w:rPr>
          <w:b/>
        </w:rPr>
      </w:pPr>
    </w:p>
    <w:p w14:paraId="13E28E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ind w:left="74" w:right="210" w:firstLine="0"/>
        <w:textAlignment w:val="auto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3435350</wp:posOffset>
                </wp:positionH>
                <wp:positionV relativeFrom="paragraph">
                  <wp:posOffset>685165</wp:posOffset>
                </wp:positionV>
                <wp:extent cx="1050925" cy="762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925" h="7620">
                              <a:moveTo>
                                <a:pt x="105034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50340" y="7620"/>
                              </a:lnTo>
                              <a:lnTo>
                                <a:pt x="105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70.5pt;margin-top:53.95pt;height:0.6pt;width:82.75pt;mso-position-horizontal-relative:page;z-index:251659264;mso-width-relative:page;mso-height-relative:page;" fillcolor="#000000" filled="t" stroked="f" coordsize="1050925,7620" o:gfxdata="UEsDBAoAAAAAAIdO4kAAAAAAAAAAAAAAAAAEAAAAZHJzL1BLAwQUAAAACACHTuJAtGSA29YAAAAL&#10;AQAADwAAAGRycy9kb3ducmV2LnhtbE2PzU7DMBCE70i8g7VI3KgdlP6FOD0UwRVI+wBOvCRR43Ua&#10;u0l5e7YnOO7MaPabfHd1vZhwDJ0nDclCgUCqve2o0XA8vD1tQIRoyJreE2r4wQC74v4uN5n1M33h&#10;VMZGcAmFzGhoYxwyKUPdojNh4Qck9r796Ezkc2ykHc3M5a6Xz0qtpDMd8YfWDLhvsT6VF6ehPFWp&#10;nZL3KR4/zq82LT9Vc5i1fnxI1AuIiNf4F4YbPqNDwUyVv5ANotewTBPeEtlQ6y0ITqzVagmiuinb&#10;BGSRy/8bil9QSwMEFAAAAAgAh07iQCMsbv4dAgAA3AQAAA4AAABkcnMvZTJvRG9jLnhtbK1UwW7b&#10;MAy9D9g/CLovdrK164I4xdCgxYBhK9DuAxRZjgXIoiYqcfL3o2QrcbtLBywHixKpR75HKqvbY2fY&#10;QXnUYCs+n5WcKSuh1nZX8V/P9x9uOMMgbC0MWFXxk0J+u37/btW7pVpAC6ZWnhGIxWXvKt6G4JZF&#10;gbJVncAZOGXJ2YDvRKCt3xW1Fz2hd6ZYlOV10YOvnQepEOl0Mzj5iOjfAghNo6XagNx3yoYB1Ssj&#10;AlHCVjvk61Rt0ygZfjYNqsBMxYlpSF9KQvY2fov1Six3XrhWy7EE8ZYSXnHqhLaU9Ay1EUGwvdd/&#10;QXVaekBowkxCVwxEkiLEYl6+0uapFU4lLiQ1urPo+P9g5Y/Do2e6rji13YqOGv4wqnETxekdLinm&#10;yT36cYdkRqbHxndxJQ7smAQ9nQVVx8AkHc7Lq/LL4oozSb7P14ukd3G5K/cYHhQkHHH4jmFoR50t&#10;0WZLHm02PTU1ttOkdgbOqJ0+tXM7tNOJEO/F4qLJ+kkh7VhHdHZwUM+QwkKkEKv9+IkmIxOhSi8x&#10;xk5jX0ZlX15dwhtiJrSzO69D2DTtPwVnNTOcNICKFKSyI++zkbSgw6naCEbX99qYSB/9bntnPDuI&#10;+ErSLypJVyZhRRyFofnR2kJ9osnpaVgqjr/3wivOzDdLs0m8QzZ8NrbZ8MHcQXqNMbWFr/sAjY6d&#10;TxkG3HFDQ5/KGB9ofFXTfYq6/Cmt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0ZIDb1gAAAAsB&#10;AAAPAAAAAAAAAAEAIAAAACIAAABkcnMvZG93bnJldi54bWxQSwECFAAUAAAACACHTuJAIyxu/h0C&#10;AADcBAAADgAAAAAAAAABACAAAAAlAQAAZHJzL2Uyb0RvYy54bWxQSwUGAAAAAAYABgBZAQAAtAUA&#10;AAAA&#10;" path="m1050340,0l0,0,0,7620,1050340,7620,105034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Dayane Gomes dos Santos Ribeiro</w:t>
      </w:r>
      <w:r>
        <w:rPr>
          <w:vertAlign w:val="superscript"/>
        </w:rPr>
        <w:t>1</w:t>
      </w:r>
      <w:r>
        <w:rPr>
          <w:vertAlign w:val="baseline"/>
        </w:rPr>
        <w:t>; Marcos Antônio da Silva Viana</w:t>
      </w:r>
      <w:r>
        <w:rPr>
          <w:vertAlign w:val="superscript"/>
        </w:rPr>
        <w:t>2</w:t>
      </w:r>
      <w:r>
        <w:rPr>
          <w:vertAlign w:val="baseline"/>
        </w:rPr>
        <w:t>; Maria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Kalyane Farias da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Silva</w:t>
      </w:r>
      <w:r>
        <w:rPr>
          <w:vertAlign w:val="superscript"/>
        </w:rPr>
        <w:t>3</w:t>
      </w:r>
      <w:r>
        <w:rPr>
          <w:vertAlign w:val="baseline"/>
        </w:rPr>
        <w:t>;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Tássia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Luciane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Ferreira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de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Souza</w:t>
      </w:r>
      <w:r>
        <w:rPr>
          <w:vertAlign w:val="superscript"/>
        </w:rPr>
        <w:t>4</w:t>
      </w:r>
      <w:r>
        <w:rPr>
          <w:vertAlign w:val="baseline"/>
        </w:rPr>
        <w:t>;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Nilbia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Abreu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Ramos</w:t>
      </w:r>
      <w:r>
        <w:rPr>
          <w:spacing w:val="-1"/>
          <w:vertAlign w:val="baseline"/>
        </w:rPr>
        <w:t xml:space="preserve"> </w:t>
      </w:r>
      <w:r>
        <w:rPr>
          <w:vertAlign w:val="superscript"/>
        </w:rPr>
        <w:t>5</w:t>
      </w:r>
      <w:r>
        <w:rPr>
          <w:vertAlign w:val="baseline"/>
        </w:rPr>
        <w:t>;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Yan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Nunes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Dias</w:t>
      </w:r>
      <w:r>
        <w:rPr>
          <w:vertAlign w:val="superscript"/>
        </w:rPr>
        <w:t>6</w:t>
      </w:r>
      <w:r>
        <w:rPr>
          <w:vertAlign w:val="baseline"/>
        </w:rPr>
        <w:t>;</w:t>
      </w:r>
      <w:r>
        <w:rPr>
          <w:spacing w:val="-2"/>
          <w:vertAlign w:val="baseline"/>
        </w:rPr>
        <w:t xml:space="preserve"> </w:t>
      </w:r>
      <w:r>
        <w:rPr>
          <w:u w:val="single"/>
          <w:vertAlign w:val="baseline"/>
        </w:rPr>
        <w:t>Edna</w:t>
      </w:r>
      <w:r>
        <w:rPr>
          <w:vertAlign w:val="baseline"/>
        </w:rPr>
        <w:t xml:space="preserve"> Santos de Souza</w:t>
      </w:r>
      <w:r>
        <w:rPr>
          <w:vertAlign w:val="superscript"/>
        </w:rPr>
        <w:t>7</w:t>
      </w:r>
    </w:p>
    <w:p w14:paraId="4240D6DC">
      <w:pPr>
        <w:pStyle w:val="5"/>
        <w:ind w:left="1" w:right="141"/>
      </w:pPr>
      <w:r>
        <w:rPr>
          <w:vertAlign w:val="superscript"/>
        </w:rPr>
        <w:t>1</w:t>
      </w:r>
      <w:r>
        <w:rPr>
          <w:spacing w:val="-18"/>
          <w:vertAlign w:val="baseline"/>
        </w:rPr>
        <w:t xml:space="preserve"> </w:t>
      </w:r>
      <w:r>
        <w:rPr>
          <w:vertAlign w:val="baseline"/>
        </w:rPr>
        <w:t>Doutoranda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em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Agronomia.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Universidade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Federal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Rural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da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 xml:space="preserve">Amazônia. </w:t>
      </w:r>
      <w:r>
        <w:fldChar w:fldCharType="begin"/>
      </w:r>
      <w:r>
        <w:instrText xml:space="preserve"> HYPERLINK "mailto:dayane.ribeiro@ufra.edu.br" \h </w:instrText>
      </w:r>
      <w:r>
        <w:fldChar w:fldCharType="separate"/>
      </w:r>
      <w:r>
        <w:rPr>
          <w:spacing w:val="-2"/>
          <w:vertAlign w:val="baseline"/>
        </w:rPr>
        <w:t>dayane.ribeiro@ufra.edu.br</w:t>
      </w:r>
      <w:r>
        <w:rPr>
          <w:spacing w:val="-2"/>
          <w:vertAlign w:val="baseline"/>
        </w:rPr>
        <w:fldChar w:fldCharType="end"/>
      </w:r>
    </w:p>
    <w:p w14:paraId="13069EA8">
      <w:pPr>
        <w:pStyle w:val="5"/>
        <w:spacing w:before="239"/>
        <w:ind w:right="141"/>
      </w:pPr>
      <w:r>
        <w:rPr>
          <w:vertAlign w:val="superscript"/>
        </w:rPr>
        <w:t>2</w:t>
      </w:r>
      <w:r>
        <w:rPr>
          <w:spacing w:val="-18"/>
          <w:vertAlign w:val="baseline"/>
        </w:rPr>
        <w:t xml:space="preserve"> </w:t>
      </w:r>
      <w:r>
        <w:rPr>
          <w:vertAlign w:val="baseline"/>
        </w:rPr>
        <w:t>Doutorando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em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Agronomia.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Universidade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Federal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Rural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da</w:t>
      </w:r>
      <w:r>
        <w:rPr>
          <w:spacing w:val="-2"/>
          <w:vertAlign w:val="baseline"/>
        </w:rPr>
        <w:t xml:space="preserve"> Amazônia.</w:t>
      </w:r>
    </w:p>
    <w:p w14:paraId="4A9719A7">
      <w:pPr>
        <w:pStyle w:val="5"/>
        <w:ind w:right="139"/>
      </w:pPr>
      <w:r>
        <w:rPr>
          <w:vertAlign w:val="superscript"/>
        </w:rPr>
        <w:t>3</w:t>
      </w:r>
      <w:r>
        <w:rPr>
          <w:spacing w:val="-18"/>
          <w:vertAlign w:val="baseline"/>
        </w:rPr>
        <w:t xml:space="preserve"> </w:t>
      </w:r>
      <w:r>
        <w:rPr>
          <w:vertAlign w:val="baseline"/>
        </w:rPr>
        <w:t>Doutoranda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em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Agronomia.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Universidade Federal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Rural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da</w:t>
      </w:r>
      <w:r>
        <w:rPr>
          <w:spacing w:val="-1"/>
          <w:vertAlign w:val="baseline"/>
        </w:rPr>
        <w:t xml:space="preserve"> </w:t>
      </w:r>
      <w:r>
        <w:rPr>
          <w:spacing w:val="-2"/>
          <w:vertAlign w:val="baseline"/>
        </w:rPr>
        <w:t>Amazônia.</w:t>
      </w:r>
    </w:p>
    <w:p w14:paraId="7FA1E032">
      <w:pPr>
        <w:pStyle w:val="5"/>
        <w:spacing w:before="139"/>
        <w:ind w:right="141"/>
      </w:pPr>
      <w:r>
        <w:rPr>
          <w:vertAlign w:val="superscript"/>
        </w:rPr>
        <w:t>4</w:t>
      </w:r>
      <w:r>
        <w:rPr>
          <w:spacing w:val="-18"/>
          <w:vertAlign w:val="baseline"/>
        </w:rPr>
        <w:t xml:space="preserve"> </w:t>
      </w:r>
      <w:r>
        <w:rPr>
          <w:vertAlign w:val="baseline"/>
        </w:rPr>
        <w:t>Mestra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em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Agronomia.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Universidade Federal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Rural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da</w:t>
      </w:r>
      <w:r>
        <w:rPr>
          <w:spacing w:val="-2"/>
          <w:vertAlign w:val="baseline"/>
        </w:rPr>
        <w:t xml:space="preserve"> Amazônia.</w:t>
      </w:r>
    </w:p>
    <w:p w14:paraId="7DAA6DE7">
      <w:pPr>
        <w:pStyle w:val="5"/>
        <w:spacing w:before="137"/>
        <w:ind w:right="139"/>
      </w:pPr>
      <w:r>
        <w:rPr>
          <w:vertAlign w:val="superscript"/>
        </w:rPr>
        <w:t>5</w:t>
      </w:r>
      <w:r>
        <w:rPr>
          <w:spacing w:val="-18"/>
          <w:vertAlign w:val="baseline"/>
        </w:rPr>
        <w:t xml:space="preserve"> </w:t>
      </w:r>
      <w:r>
        <w:rPr>
          <w:vertAlign w:val="baseline"/>
        </w:rPr>
        <w:t>Mestranda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em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Agronomia.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Universidade Federal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Rural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da</w:t>
      </w:r>
      <w:r>
        <w:rPr>
          <w:spacing w:val="-1"/>
          <w:vertAlign w:val="baseline"/>
        </w:rPr>
        <w:t xml:space="preserve"> </w:t>
      </w:r>
      <w:r>
        <w:rPr>
          <w:spacing w:val="-2"/>
          <w:vertAlign w:val="baseline"/>
        </w:rPr>
        <w:t>Amazônia.</w:t>
      </w:r>
    </w:p>
    <w:p w14:paraId="59EBB3C5">
      <w:pPr>
        <w:pStyle w:val="5"/>
        <w:spacing w:before="137"/>
        <w:ind w:left="3" w:right="141"/>
      </w:pPr>
      <w:r>
        <w:rPr>
          <w:vertAlign w:val="superscript"/>
        </w:rPr>
        <w:t>6</w:t>
      </w:r>
      <w:r>
        <w:rPr>
          <w:spacing w:val="-18"/>
          <w:vertAlign w:val="baseline"/>
        </w:rPr>
        <w:t xml:space="preserve"> </w:t>
      </w:r>
      <w:r>
        <w:rPr>
          <w:vertAlign w:val="baseline"/>
        </w:rPr>
        <w:t>Doutor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em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Agronomia.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Instituto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Tecnológico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Vale -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Desenvolvimento</w:t>
      </w:r>
      <w:r>
        <w:rPr>
          <w:spacing w:val="-1"/>
          <w:vertAlign w:val="baseline"/>
        </w:rPr>
        <w:t xml:space="preserve"> </w:t>
      </w:r>
      <w:r>
        <w:rPr>
          <w:spacing w:val="-2"/>
          <w:vertAlign w:val="baseline"/>
        </w:rPr>
        <w:t>Sustentável.</w:t>
      </w:r>
    </w:p>
    <w:p w14:paraId="564ED27E">
      <w:pPr>
        <w:pStyle w:val="5"/>
        <w:spacing w:before="140"/>
        <w:ind w:right="141"/>
      </w:pPr>
      <w:r>
        <w:rPr>
          <w:vertAlign w:val="superscript"/>
        </w:rPr>
        <w:t>7</w:t>
      </w:r>
      <w:r>
        <w:rPr>
          <w:spacing w:val="-18"/>
          <w:vertAlign w:val="baseline"/>
        </w:rPr>
        <w:t xml:space="preserve"> </w:t>
      </w:r>
      <w:r>
        <w:rPr>
          <w:vertAlign w:val="baseline"/>
        </w:rPr>
        <w:t>Doutora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em Agronomia.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Universidade Federal do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Sul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e Sudeste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do</w:t>
      </w:r>
      <w:r>
        <w:rPr>
          <w:spacing w:val="-1"/>
          <w:vertAlign w:val="baseline"/>
        </w:rPr>
        <w:t xml:space="preserve"> </w:t>
      </w:r>
      <w:r>
        <w:rPr>
          <w:spacing w:val="-2"/>
          <w:vertAlign w:val="baseline"/>
        </w:rPr>
        <w:t>Pará.</w:t>
      </w:r>
    </w:p>
    <w:p w14:paraId="742A116D">
      <w:pPr>
        <w:pStyle w:val="5"/>
        <w:spacing w:before="275"/>
        <w:jc w:val="left"/>
      </w:pPr>
    </w:p>
    <w:p w14:paraId="058D00DB">
      <w:pPr>
        <w:pStyle w:val="2"/>
        <w:spacing w:before="1"/>
        <w:ind w:left="4"/>
      </w:pPr>
      <w:r>
        <w:rPr>
          <w:spacing w:val="-2"/>
        </w:rPr>
        <w:t>RESUMO</w:t>
      </w:r>
    </w:p>
    <w:p w14:paraId="2D006D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6" w:line="240" w:lineRule="auto"/>
        <w:ind w:left="2" w:right="135"/>
        <w:jc w:val="both"/>
        <w:textAlignment w:val="auto"/>
      </w:pPr>
      <w:r>
        <w:t>Em</w:t>
      </w:r>
      <w:r>
        <w:rPr>
          <w:spacing w:val="-1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extração de ouro</w:t>
      </w:r>
      <w:r>
        <w:rPr>
          <w:spacing w:val="-2"/>
        </w:rPr>
        <w:t xml:space="preserve"> </w:t>
      </w:r>
      <w:r>
        <w:t>(Au),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cobre</w:t>
      </w:r>
      <w:r>
        <w:rPr>
          <w:spacing w:val="-3"/>
        </w:rPr>
        <w:t xml:space="preserve"> </w:t>
      </w:r>
      <w:r>
        <w:t>(Cu) pode</w:t>
      </w:r>
      <w:r>
        <w:rPr>
          <w:spacing w:val="-2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disponível em</w:t>
      </w:r>
      <w:r>
        <w:rPr>
          <w:spacing w:val="-1"/>
        </w:rPr>
        <w:t xml:space="preserve"> </w:t>
      </w:r>
      <w:r>
        <w:t>altas</w:t>
      </w:r>
      <w:r>
        <w:rPr>
          <w:spacing w:val="-1"/>
        </w:rPr>
        <w:t xml:space="preserve"> </w:t>
      </w:r>
      <w:r>
        <w:t>concentrações em pilhas de resíduos após a extração do Au, por fazer parte da geoquímica da região e ter afinidade com o Au. Altas concentrações de Cu nos resíduos expostos as condições intempéricas contribui para a dispersão do elemento em rios e solos em áreas sobre influência da mineração e pode bioacumular em espécies piscívoras e ameaçar a segurança alimentar da região.</w:t>
      </w:r>
      <w:r>
        <w:rPr>
          <w:spacing w:val="-11"/>
        </w:rPr>
        <w:t xml:space="preserve"> </w:t>
      </w:r>
      <w:r>
        <w:t>Apesar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mineral</w:t>
      </w:r>
      <w:r>
        <w:rPr>
          <w:spacing w:val="-10"/>
        </w:rPr>
        <w:t xml:space="preserve"> </w:t>
      </w:r>
      <w:r>
        <w:t>essencial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funções</w:t>
      </w:r>
      <w:r>
        <w:rPr>
          <w:spacing w:val="-10"/>
        </w:rPr>
        <w:t xml:space="preserve"> </w:t>
      </w:r>
      <w:r>
        <w:t>biológicas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ferro, formação de tecidos, em excesso pode ocasionar danos neurológicos. O objetivo foi avaliar a contaminação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água,</w:t>
      </w:r>
      <w:r>
        <w:rPr>
          <w:spacing w:val="-10"/>
        </w:rPr>
        <w:t xml:space="preserve"> </w:t>
      </w:r>
      <w:r>
        <w:t>sedimento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peixes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cavas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garimpo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risco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saúde</w:t>
      </w:r>
      <w:r>
        <w:rPr>
          <w:spacing w:val="-11"/>
        </w:rPr>
        <w:t xml:space="preserve"> </w:t>
      </w:r>
      <w:r>
        <w:t>humana em</w:t>
      </w:r>
      <w:r>
        <w:rPr>
          <w:spacing w:val="-15"/>
        </w:rPr>
        <w:t xml:space="preserve"> </w:t>
      </w:r>
      <w:r>
        <w:t>São</w:t>
      </w:r>
      <w:r>
        <w:rPr>
          <w:spacing w:val="-15"/>
        </w:rPr>
        <w:t xml:space="preserve"> </w:t>
      </w:r>
      <w:r>
        <w:t>Félix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Xingu-PA.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amostras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água</w:t>
      </w:r>
      <w:r>
        <w:rPr>
          <w:spacing w:val="-15"/>
        </w:rPr>
        <w:t xml:space="preserve"> </w:t>
      </w:r>
      <w:r>
        <w:t>foram</w:t>
      </w:r>
      <w:r>
        <w:rPr>
          <w:spacing w:val="-15"/>
        </w:rPr>
        <w:t xml:space="preserve"> </w:t>
      </w:r>
      <w:r>
        <w:t>coletadas</w:t>
      </w:r>
      <w:r>
        <w:rPr>
          <w:spacing w:val="-15"/>
        </w:rPr>
        <w:t xml:space="preserve"> </w:t>
      </w:r>
      <w:r>
        <w:t>mediante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garrafa de Van Dorn, transferidos para um recipiente de 500 ml, acidificados com 1 ml de HNO</w:t>
      </w:r>
      <w:r>
        <w:rPr>
          <w:vertAlign w:val="subscript"/>
        </w:rPr>
        <w:t>3</w:t>
      </w:r>
      <w:r>
        <w:t xml:space="preserve">. Os sedimentos foram coletados com trado holandês na margem das cavas de garimpo e 1 g da </w:t>
      </w:r>
      <w:r>
        <w:rPr>
          <w:position w:val="2"/>
        </w:rPr>
        <w:t>amostra foi acidificado com NHO</w:t>
      </w:r>
      <w:r>
        <w:rPr>
          <w:sz w:val="16"/>
        </w:rPr>
        <w:t>3</w:t>
      </w:r>
      <w:r>
        <w:rPr>
          <w:position w:val="2"/>
        </w:rPr>
        <w:t>, HCl, H2O</w:t>
      </w:r>
      <w:r>
        <w:rPr>
          <w:sz w:val="16"/>
        </w:rPr>
        <w:t>2</w:t>
      </w:r>
      <w:r>
        <w:rPr>
          <w:position w:val="2"/>
        </w:rPr>
        <w:t>. Os peixes foram coletados com o uso de um puçá, posteriormente, em laboratório 0,25 g foi acidificado com NHO</w:t>
      </w:r>
      <w:r>
        <w:rPr>
          <w:sz w:val="16"/>
        </w:rPr>
        <w:t>3</w:t>
      </w:r>
      <w:r>
        <w:rPr>
          <w:position w:val="2"/>
        </w:rPr>
        <w:t>, HCl, H2O</w:t>
      </w:r>
      <w:r>
        <w:rPr>
          <w:sz w:val="16"/>
        </w:rPr>
        <w:t>2</w:t>
      </w:r>
      <w:r>
        <w:rPr>
          <w:position w:val="2"/>
        </w:rPr>
        <w:t xml:space="preserve">, todas as </w:t>
      </w:r>
      <w:r>
        <w:t>amostras foram digeridas em micro-ondas, o Cu quantificado em MP-AES. As concentrações médias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Cu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água</w:t>
      </w:r>
      <w:r>
        <w:rPr>
          <w:spacing w:val="27"/>
        </w:rPr>
        <w:t xml:space="preserve"> </w:t>
      </w:r>
      <w:r>
        <w:t>apresentaram</w:t>
      </w:r>
      <w:r>
        <w:rPr>
          <w:spacing w:val="26"/>
        </w:rPr>
        <w:t xml:space="preserve"> </w:t>
      </w:r>
      <w:r>
        <w:t>amplitude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0,20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1,5</w:t>
      </w:r>
      <w:r>
        <w:rPr>
          <w:spacing w:val="26"/>
        </w:rPr>
        <w:t xml:space="preserve"> </w:t>
      </w:r>
      <w:r>
        <w:t>mg</w:t>
      </w:r>
      <w:r>
        <w:rPr>
          <w:rFonts w:hint="default"/>
          <w:lang w:val="pt-BR"/>
        </w:rPr>
        <w:t xml:space="preserve"> </w:t>
      </w:r>
      <w:r>
        <w:t>L</w:t>
      </w:r>
      <w:r>
        <w:rPr>
          <w:vertAlign w:val="superscript"/>
        </w:rPr>
        <w:t>-1</w:t>
      </w:r>
      <w:r>
        <w:rPr>
          <w:vertAlign w:val="baseline"/>
        </w:rPr>
        <w:t>,</w:t>
      </w:r>
      <w:r>
        <w:rPr>
          <w:spacing w:val="25"/>
          <w:vertAlign w:val="baseline"/>
        </w:rPr>
        <w:t xml:space="preserve"> </w:t>
      </w:r>
      <w:r>
        <w:rPr>
          <w:vertAlign w:val="baseline"/>
        </w:rPr>
        <w:t>ultrapassou</w:t>
      </w:r>
      <w:r>
        <w:rPr>
          <w:spacing w:val="25"/>
          <w:vertAlign w:val="baseline"/>
        </w:rPr>
        <w:t xml:space="preserve"> </w:t>
      </w:r>
      <w:r>
        <w:rPr>
          <w:vertAlign w:val="baseline"/>
        </w:rPr>
        <w:t>30</w:t>
      </w:r>
      <w:r>
        <w:rPr>
          <w:spacing w:val="26"/>
          <w:vertAlign w:val="baseline"/>
        </w:rPr>
        <w:t xml:space="preserve"> </w:t>
      </w:r>
      <w:r>
        <w:rPr>
          <w:vertAlign w:val="baseline"/>
        </w:rPr>
        <w:t>vezes</w:t>
      </w:r>
      <w:r>
        <w:rPr>
          <w:spacing w:val="27"/>
          <w:vertAlign w:val="baseline"/>
        </w:rPr>
        <w:t xml:space="preserve"> </w:t>
      </w:r>
      <w:r>
        <w:rPr>
          <w:spacing w:val="-10"/>
          <w:vertAlign w:val="baseline"/>
        </w:rPr>
        <w:t>a</w:t>
      </w:r>
      <w:r>
        <w:rPr>
          <w:rFonts w:hint="default"/>
          <w:spacing w:val="-10"/>
          <w:vertAlign w:val="baseline"/>
          <w:lang w:val="pt-BR"/>
        </w:rPr>
        <w:t xml:space="preserve"> </w:t>
      </w:r>
      <w:r>
        <w:t>quantidade</w:t>
      </w:r>
      <w:r>
        <w:rPr>
          <w:spacing w:val="-15"/>
        </w:rPr>
        <w:t xml:space="preserve"> </w:t>
      </w:r>
      <w:r>
        <w:t>permitida</w:t>
      </w:r>
      <w:r>
        <w:rPr>
          <w:spacing w:val="-15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CONAMA</w:t>
      </w:r>
      <w:r>
        <w:rPr>
          <w:spacing w:val="-15"/>
        </w:rPr>
        <w:t xml:space="preserve"> </w:t>
      </w:r>
      <w:r>
        <w:t>357/2005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0,05</w:t>
      </w:r>
      <w:r>
        <w:rPr>
          <w:spacing w:val="-14"/>
        </w:rPr>
        <w:t xml:space="preserve"> </w:t>
      </w:r>
      <w:r>
        <w:t>mg</w:t>
      </w:r>
      <w:r>
        <w:rPr>
          <w:spacing w:val="-14"/>
        </w:rPr>
        <w:t xml:space="preserve"> </w:t>
      </w:r>
      <w:r>
        <w:t>L</w:t>
      </w:r>
      <w:r>
        <w:rPr>
          <w:vertAlign w:val="superscript"/>
        </w:rPr>
        <w:t>-1</w:t>
      </w:r>
      <w:r>
        <w:rPr>
          <w:vertAlign w:val="baseline"/>
        </w:rPr>
        <w:t>.</w:t>
      </w:r>
      <w:r>
        <w:rPr>
          <w:spacing w:val="-14"/>
          <w:vertAlign w:val="baseline"/>
        </w:rPr>
        <w:t xml:space="preserve"> </w:t>
      </w:r>
      <w:r>
        <w:rPr>
          <w:vertAlign w:val="baseline"/>
        </w:rPr>
        <w:t>No</w:t>
      </w:r>
      <w:r>
        <w:rPr>
          <w:spacing w:val="-15"/>
          <w:vertAlign w:val="baseline"/>
        </w:rPr>
        <w:t xml:space="preserve"> </w:t>
      </w:r>
      <w:r>
        <w:rPr>
          <w:vertAlign w:val="baseline"/>
        </w:rPr>
        <w:t>sedimento</w:t>
      </w:r>
      <w:r>
        <w:rPr>
          <w:spacing w:val="-14"/>
          <w:vertAlign w:val="baseline"/>
        </w:rPr>
        <w:t xml:space="preserve"> </w:t>
      </w:r>
      <w:r>
        <w:rPr>
          <w:vertAlign w:val="baseline"/>
        </w:rPr>
        <w:t>as</w:t>
      </w:r>
      <w:r>
        <w:rPr>
          <w:spacing w:val="-14"/>
          <w:vertAlign w:val="baseline"/>
        </w:rPr>
        <w:t xml:space="preserve"> </w:t>
      </w:r>
      <w:r>
        <w:rPr>
          <w:vertAlign w:val="baseline"/>
        </w:rPr>
        <w:t>concentrações de Cu variaram de</w:t>
      </w:r>
      <w:r>
        <w:rPr>
          <w:rFonts w:hint="default"/>
          <w:vertAlign w:val="baseline"/>
          <w:lang w:val="pt-BR"/>
        </w:rPr>
        <w:t xml:space="preserve"> </w:t>
      </w:r>
      <w:r>
        <w:rPr>
          <w:vertAlign w:val="baseline"/>
        </w:rPr>
        <w:t xml:space="preserve">14 a 54,5 mg kg </w:t>
      </w:r>
      <w:r>
        <w:rPr>
          <w:vertAlign w:val="superscript"/>
        </w:rPr>
        <w:t>-1</w:t>
      </w:r>
      <w:r>
        <w:rPr>
          <w:vertAlign w:val="baseline"/>
        </w:rPr>
        <w:t>. O Nível de Efeito Limiar (TEL) para sedimentos foi ultrapassado em 50% o limite recomendado, mas não ultrapassou o Nível de Efeito Provável (PEL).</w:t>
      </w:r>
      <w:r>
        <w:rPr>
          <w:spacing w:val="-12"/>
          <w:vertAlign w:val="baseline"/>
        </w:rPr>
        <w:t xml:space="preserve"> </w:t>
      </w:r>
      <w:r>
        <w:rPr>
          <w:vertAlign w:val="baseline"/>
        </w:rPr>
        <w:t>Níveis</w:t>
      </w:r>
      <w:r>
        <w:rPr>
          <w:spacing w:val="-11"/>
          <w:vertAlign w:val="baseline"/>
        </w:rPr>
        <w:t xml:space="preserve"> </w:t>
      </w:r>
      <w:r>
        <w:rPr>
          <w:vertAlign w:val="baseline"/>
        </w:rPr>
        <w:t>elevados</w:t>
      </w:r>
      <w:r>
        <w:rPr>
          <w:spacing w:val="-12"/>
          <w:vertAlign w:val="baseline"/>
        </w:rPr>
        <w:t xml:space="preserve"> </w:t>
      </w:r>
      <w:r>
        <w:rPr>
          <w:vertAlign w:val="baseline"/>
        </w:rPr>
        <w:t>de</w:t>
      </w:r>
      <w:r>
        <w:rPr>
          <w:spacing w:val="-13"/>
          <w:vertAlign w:val="baseline"/>
        </w:rPr>
        <w:t xml:space="preserve"> </w:t>
      </w:r>
      <w:r>
        <w:rPr>
          <w:vertAlign w:val="baseline"/>
        </w:rPr>
        <w:t>TEL</w:t>
      </w:r>
      <w:r>
        <w:rPr>
          <w:spacing w:val="-12"/>
          <w:vertAlign w:val="baseline"/>
        </w:rPr>
        <w:t xml:space="preserve"> </w:t>
      </w:r>
      <w:r>
        <w:rPr>
          <w:vertAlign w:val="baseline"/>
        </w:rPr>
        <w:t>sugere</w:t>
      </w:r>
      <w:r>
        <w:rPr>
          <w:spacing w:val="-13"/>
          <w:vertAlign w:val="baseline"/>
        </w:rPr>
        <w:t xml:space="preserve"> </w:t>
      </w:r>
      <w:r>
        <w:rPr>
          <w:vertAlign w:val="baseline"/>
        </w:rPr>
        <w:t>que</w:t>
      </w:r>
      <w:r>
        <w:rPr>
          <w:spacing w:val="-13"/>
          <w:vertAlign w:val="baseline"/>
        </w:rPr>
        <w:t xml:space="preserve"> </w:t>
      </w:r>
      <w:r>
        <w:rPr>
          <w:vertAlign w:val="baseline"/>
        </w:rPr>
        <w:t>o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contato</w:t>
      </w:r>
      <w:r>
        <w:rPr>
          <w:spacing w:val="-12"/>
          <w:vertAlign w:val="baseline"/>
        </w:rPr>
        <w:t xml:space="preserve"> </w:t>
      </w:r>
      <w:r>
        <w:rPr>
          <w:vertAlign w:val="baseline"/>
        </w:rPr>
        <w:t>bentônico</w:t>
      </w:r>
      <w:r>
        <w:rPr>
          <w:spacing w:val="-12"/>
          <w:vertAlign w:val="baseline"/>
        </w:rPr>
        <w:t xml:space="preserve"> </w:t>
      </w:r>
      <w:r>
        <w:rPr>
          <w:vertAlign w:val="baseline"/>
        </w:rPr>
        <w:t>apresenta</w:t>
      </w:r>
      <w:r>
        <w:rPr>
          <w:spacing w:val="-13"/>
          <w:vertAlign w:val="baseline"/>
        </w:rPr>
        <w:t xml:space="preserve"> </w:t>
      </w:r>
      <w:r>
        <w:rPr>
          <w:vertAlign w:val="baseline"/>
        </w:rPr>
        <w:t>potencial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risco</w:t>
      </w:r>
      <w:r>
        <w:rPr>
          <w:spacing w:val="-12"/>
          <w:vertAlign w:val="baseline"/>
        </w:rPr>
        <w:t xml:space="preserve"> </w:t>
      </w:r>
      <w:r>
        <w:rPr>
          <w:vertAlign w:val="baseline"/>
        </w:rPr>
        <w:t>a</w:t>
      </w:r>
      <w:r>
        <w:rPr>
          <w:spacing w:val="-13"/>
          <w:vertAlign w:val="baseline"/>
        </w:rPr>
        <w:t xml:space="preserve"> </w:t>
      </w:r>
      <w:r>
        <w:rPr>
          <w:vertAlign w:val="baseline"/>
        </w:rPr>
        <w:t>biota em 50%, porém não afeta funcionalidade do ecossistema. Enquanto para os peixes os valores de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Cu ultrapassaram a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estimativa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de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ingestão estabelecidos pela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ANVISA de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0,05 mg kg</w:t>
      </w:r>
      <w:r>
        <w:rPr>
          <w:vertAlign w:val="superscript"/>
        </w:rPr>
        <w:t>-1</w:t>
      </w:r>
      <w:r>
        <w:rPr>
          <w:vertAlign w:val="baseline"/>
        </w:rPr>
        <w:t>. Os cálculos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de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risco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à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saúde</w:t>
      </w:r>
      <w:r>
        <w:rPr>
          <w:rFonts w:hint="default"/>
          <w:vertAlign w:val="baseline"/>
          <w:lang w:val="pt-BR"/>
        </w:rPr>
        <w:t xml:space="preserve"> indicaram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risco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carcinogênico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(RC)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e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não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carcinogênico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(RNC)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para contato dérmico com sedimento para crianças, ingestão da água e consumo de peixes para crianças e adultos. Os teores de Cu na água, sedimento e peixes em cava do garimpo estão acima dos estabelecidos pelos limites da legislação brasileira e o contato, ingestão e</w:t>
      </w:r>
      <w:r>
        <w:rPr>
          <w:rFonts w:hint="default"/>
          <w:vertAlign w:val="baseline"/>
          <w:lang w:val="pt-BR"/>
        </w:rPr>
        <w:t xml:space="preserve"> </w:t>
      </w:r>
      <w:bookmarkStart w:id="0" w:name="_GoBack"/>
      <w:bookmarkEnd w:id="0"/>
      <w:r>
        <w:rPr>
          <w:vertAlign w:val="baseline"/>
        </w:rPr>
        <w:t>consumo podem ser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prejudiciais à saúde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humana. Além disso, valores excedentes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de TEL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no sedimento apontaram riscos</w:t>
      </w:r>
      <w:r>
        <w:rPr>
          <w:rFonts w:hint="default"/>
          <w:vertAlign w:val="baseline"/>
          <w:lang w:val="pt-BR"/>
        </w:rPr>
        <w:t xml:space="preserve"> na </w:t>
      </w:r>
      <w:r>
        <w:rPr>
          <w:vertAlign w:val="baseline"/>
        </w:rPr>
        <w:t>biota</w:t>
      </w:r>
      <w:r>
        <w:rPr>
          <w:rFonts w:hint="default"/>
          <w:vertAlign w:val="baseline"/>
          <w:lang w:val="pt-BR"/>
        </w:rPr>
        <w:t xml:space="preserve">. Isto evidencia a necessidade </w:t>
      </w:r>
      <w:r>
        <w:rPr>
          <w:vertAlign w:val="baseline"/>
        </w:rPr>
        <w:t>de estratégias para mitigar a contaminação dessas áreas.</w:t>
      </w:r>
    </w:p>
    <w:p w14:paraId="3ADD2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line="240" w:lineRule="auto"/>
        <w:ind w:left="2" w:right="0" w:firstLine="0"/>
        <w:jc w:val="both"/>
        <w:textAlignment w:val="auto"/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Ecotoxicologia</w:t>
      </w:r>
      <w:r>
        <w:rPr>
          <w:rFonts w:hint="default"/>
          <w:sz w:val="24"/>
          <w:lang w:val="pt-BR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áreas</w:t>
      </w:r>
      <w:r>
        <w:rPr>
          <w:rFonts w:hint="default"/>
          <w:sz w:val="24"/>
          <w:lang w:val="pt-BR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poluição</w:t>
      </w:r>
      <w:r>
        <w:rPr>
          <w:spacing w:val="-2"/>
          <w:sz w:val="24"/>
        </w:rPr>
        <w:t xml:space="preserve"> bentônica.</w:t>
      </w:r>
    </w:p>
    <w:p w14:paraId="648A45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240" w:lineRule="auto"/>
        <w:jc w:val="left"/>
        <w:textAlignment w:val="auto"/>
      </w:pPr>
    </w:p>
    <w:p w14:paraId="4F3E6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" w:right="0" w:firstLine="0"/>
        <w:jc w:val="both"/>
        <w:textAlignment w:val="auto"/>
        <w:rPr>
          <w:sz w:val="24"/>
        </w:rPr>
      </w:pPr>
      <w:r>
        <w:rPr>
          <w:b/>
          <w:sz w:val="24"/>
        </w:rPr>
        <w:t>Escolha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Simpósio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Ciências</w:t>
      </w:r>
      <w:r>
        <w:rPr>
          <w:spacing w:val="-2"/>
          <w:sz w:val="24"/>
        </w:rPr>
        <w:t xml:space="preserve"> Agrárias</w:t>
      </w:r>
    </w:p>
    <w:sectPr>
      <w:headerReference r:id="rId5" w:type="default"/>
      <w:footerReference r:id="rId6" w:type="default"/>
      <w:pgSz w:w="11910" w:h="16840"/>
      <w:pgMar w:top="1701" w:right="1134" w:bottom="1134" w:left="1700" w:header="108" w:footer="6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C02AA">
    <w:pPr>
      <w:pStyle w:val="5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1866900</wp:posOffset>
          </wp:positionH>
          <wp:positionV relativeFrom="page">
            <wp:posOffset>10163175</wp:posOffset>
          </wp:positionV>
          <wp:extent cx="1231900" cy="3810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4588510</wp:posOffset>
          </wp:positionH>
          <wp:positionV relativeFrom="page">
            <wp:posOffset>10147300</wp:posOffset>
          </wp:positionV>
          <wp:extent cx="418465" cy="38735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8696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6496050</wp:posOffset>
          </wp:positionH>
          <wp:positionV relativeFrom="page">
            <wp:posOffset>10200640</wp:posOffset>
          </wp:positionV>
          <wp:extent cx="756920" cy="333375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5334000</wp:posOffset>
          </wp:positionH>
          <wp:positionV relativeFrom="page">
            <wp:posOffset>10162540</wp:posOffset>
          </wp:positionV>
          <wp:extent cx="914400" cy="35306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353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3863975</wp:posOffset>
          </wp:positionH>
          <wp:positionV relativeFrom="page">
            <wp:posOffset>10300335</wp:posOffset>
          </wp:positionV>
          <wp:extent cx="377190" cy="138430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77507" cy="138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889000</wp:posOffset>
          </wp:positionH>
          <wp:positionV relativeFrom="page">
            <wp:posOffset>10281285</wp:posOffset>
          </wp:positionV>
          <wp:extent cx="647065" cy="139065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7240" cy="13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F569">
    <w:pPr>
      <w:pStyle w:val="5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2927985</wp:posOffset>
          </wp:positionH>
          <wp:positionV relativeFrom="page">
            <wp:posOffset>68580</wp:posOffset>
          </wp:positionV>
          <wp:extent cx="2178685" cy="140017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8533" cy="139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0024AC8"/>
    <w:rsid w:val="50DB0C22"/>
    <w:rsid w:val="69C61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3" w:right="14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jc w:val="center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34</TotalTime>
  <ScaleCrop>false</ScaleCrop>
  <LinksUpToDate>false</LinksUpToDate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2025-09-23T13:11:00Z</dcterms:created>
  <dc:creator>Viviane Gomes</dc:creator>
  <cp:lastModifiedBy>Dayane Gomes Dos Santos Ribeir</cp:lastModifiedBy>
  <dcterms:modified xsi:type="dcterms:W3CDTF">2025-10-14T14:40:04Z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1046-12.2.0.20323</vt:lpwstr>
  </property>
  <property fmtid="{D5CDD505-2E9C-101B-9397-08002B2CF9AE}" pid="7" name="ICV">
    <vt:lpwstr>923C60C5C3E84D6EA6C7DBF44163D998_13</vt:lpwstr>
  </property>
</Properties>
</file>