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b w:val="1"/>
        </w:rPr>
      </w:pPr>
      <w:r w:rsidDel="00000000" w:rsidR="00000000" w:rsidRPr="00000000">
        <w:rPr>
          <w:b w:val="1"/>
          <w:rtl w:val="0"/>
        </w:rPr>
        <w:t xml:space="preserve">A FORMAÇÃO DOCENTE PARA A EDUCAÇÃO PROFISSIONAL E TECNOLÓGICA: A PRÁTICA NO ENSINO PROFISSIONAL E TECNOLÓGICO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0"/>
          <w:szCs w:val="20"/>
        </w:rPr>
      </w:pPr>
      <w:r w:rsidDel="00000000" w:rsidR="00000000" w:rsidRPr="00000000">
        <w:rPr>
          <w:sz w:val="20"/>
          <w:szCs w:val="20"/>
          <w:rtl w:val="0"/>
        </w:rPr>
        <w:t xml:space="preserve">GOMES</w:t>
      </w:r>
      <w:r w:rsidDel="00000000" w:rsidR="00000000" w:rsidRPr="00000000">
        <w:rPr>
          <w:color w:val="000000"/>
          <w:sz w:val="20"/>
          <w:szCs w:val="20"/>
          <w:rtl w:val="0"/>
        </w:rPr>
        <w:t xml:space="preserve">, </w:t>
      </w:r>
      <w:r w:rsidDel="00000000" w:rsidR="00000000" w:rsidRPr="00000000">
        <w:rPr>
          <w:sz w:val="20"/>
          <w:szCs w:val="20"/>
          <w:rtl w:val="0"/>
        </w:rPr>
        <w:t xml:space="preserve">Raabe Zumba</w:t>
      </w:r>
      <w:r w:rsidDel="00000000" w:rsidR="00000000" w:rsidRPr="00000000">
        <w:rPr>
          <w:color w:val="000000"/>
          <w:sz w:val="20"/>
          <w:szCs w:val="20"/>
          <w:vertAlign w:val="superscript"/>
        </w:rPr>
        <w:footnoteReference w:customMarkFollows="0" w:id="0"/>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sz w:val="20"/>
          <w:szCs w:val="20"/>
          <w:rtl w:val="0"/>
        </w:rPr>
        <w:t xml:space="preserve">RODRIGUES</w:t>
      </w:r>
      <w:r w:rsidDel="00000000" w:rsidR="00000000" w:rsidRPr="00000000">
        <w:rPr>
          <w:color w:val="000000"/>
          <w:sz w:val="20"/>
          <w:szCs w:val="20"/>
          <w:rtl w:val="0"/>
        </w:rPr>
        <w:t xml:space="preserve">, </w:t>
      </w:r>
      <w:r w:rsidDel="00000000" w:rsidR="00000000" w:rsidRPr="00000000">
        <w:rPr>
          <w:sz w:val="20"/>
          <w:szCs w:val="20"/>
          <w:rtl w:val="0"/>
        </w:rPr>
        <w:t xml:space="preserve">Jhonata Gabriel Nougueira</w:t>
      </w:r>
      <w:r w:rsidDel="00000000" w:rsidR="00000000" w:rsidRPr="00000000">
        <w:rPr>
          <w:color w:val="000000"/>
          <w:sz w:val="20"/>
          <w:szCs w:val="20"/>
          <w:vertAlign w:val="superscript"/>
        </w:rPr>
        <w:footnoteReference w:customMarkFollows="0" w:id="1"/>
      </w:r>
      <w:r w:rsidDel="00000000" w:rsidR="00000000" w:rsidRPr="00000000">
        <w:rPr>
          <w:color w:val="000000"/>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firstLine="720"/>
        <w:jc w:val="right"/>
        <w:rPr>
          <w:rFonts w:ascii="Times New Roman" w:cs="Times New Roman" w:eastAsia="Times New Roman" w:hAnsi="Times New Roman"/>
          <w:color w:val="000000"/>
          <w:sz w:val="20"/>
          <w:szCs w:val="20"/>
        </w:rPr>
      </w:pPr>
      <w:r w:rsidDel="00000000" w:rsidR="00000000" w:rsidRPr="00000000">
        <w:rPr>
          <w:sz w:val="20"/>
          <w:szCs w:val="20"/>
          <w:rtl w:val="0"/>
        </w:rPr>
        <w:t xml:space="preserve">BRASILEIRO</w:t>
      </w:r>
      <w:r w:rsidDel="00000000" w:rsidR="00000000" w:rsidRPr="00000000">
        <w:rPr>
          <w:color w:val="000000"/>
          <w:sz w:val="20"/>
          <w:szCs w:val="20"/>
          <w:rtl w:val="0"/>
        </w:rPr>
        <w:t xml:space="preserve">, </w:t>
      </w:r>
      <w:r w:rsidDel="00000000" w:rsidR="00000000" w:rsidRPr="00000000">
        <w:rPr>
          <w:sz w:val="20"/>
          <w:szCs w:val="20"/>
          <w:rtl w:val="0"/>
        </w:rPr>
        <w:t xml:space="preserve">Regina Maria de Oliveira</w:t>
      </w:r>
      <w:r w:rsidDel="00000000" w:rsidR="00000000" w:rsidRPr="00000000">
        <w:rPr>
          <w:color w:val="000000"/>
          <w:sz w:val="20"/>
          <w:szCs w:val="20"/>
          <w:vertAlign w:val="superscript"/>
        </w:rPr>
        <w:footnoteReference w:customMarkFollows="0" w:id="2"/>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left"/>
        <w:rPr>
          <w:b w:val="1"/>
          <w:sz w:val="20"/>
          <w:szCs w:val="20"/>
        </w:rPr>
      </w:pPr>
      <w:r w:rsidDel="00000000" w:rsidR="00000000" w:rsidRPr="00000000">
        <w:rPr>
          <w:b w:val="1"/>
          <w:color w:val="000000"/>
          <w:sz w:val="20"/>
          <w:szCs w:val="20"/>
          <w:rtl w:val="0"/>
        </w:rPr>
        <w:t xml:space="preserve">Grupo de Trabalho (GT): GT - 5 - </w:t>
      </w:r>
      <w:r w:rsidDel="00000000" w:rsidR="00000000" w:rsidRPr="00000000">
        <w:rPr>
          <w:b w:val="1"/>
          <w:sz w:val="20"/>
          <w:szCs w:val="20"/>
          <w:rtl w:val="0"/>
        </w:rPr>
        <w:t xml:space="preserve">Pedagogia, Educação e seus Fundamentos (Filosóficos, Sociológicos, Antropológicos e Psicológicos).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b w:val="1"/>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b w:val="1"/>
          <w:color w:val="000000"/>
          <w:sz w:val="20"/>
          <w:szCs w:val="20"/>
          <w:rtl w:val="0"/>
        </w:rPr>
        <w:t xml:space="preserve">RESUMO</w:t>
      </w: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Esta pesquisa, em andamento, tem como finalidade analisar as percepções dos estudantes de licenciatura do Ifal sobre sua formação voltada para o ensino médio integrado na Educação Profissional e Tecnológica (EPT). A investigação orienta-se pela seguinte questão: como os licenciandos do Ifal avaliam sua preparação para atuar na docência da EPT? Trata-se de uma pesquisa qualitativa, fundamentada no estudo de caso, que utiliza análise documental e questionários como instrumentos de coleta de dados, além da análise de conteúdo como técnica interpretativa. O lócus da pesquisa é o Instituto Federal de Alagoas, envolvendo estudantes dos cursos de Ciências Biológicas, Física, Letras-Português, Matemática, Pedagogia e Química, ofertados tanto na modalidade presencial quanto a distância. Espera-se que os resultados ampliem a discussão sobre a formação docente nos Institutos Federais, contribuindo para a reorganização curricular das licenciaturas do Ifal e possibilitando uma preparação mais sólida para a prática pedagógica na Educação Profissional e Tecnológica.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b w:val="1"/>
          <w:color w:val="000000"/>
          <w:sz w:val="20"/>
          <w:szCs w:val="20"/>
          <w:rtl w:val="0"/>
        </w:rPr>
        <w:t xml:space="preserve">Palavras-chave: </w:t>
      </w:r>
      <w:r w:rsidDel="00000000" w:rsidR="00000000" w:rsidRPr="00000000">
        <w:rPr>
          <w:sz w:val="20"/>
          <w:szCs w:val="20"/>
          <w:rtl w:val="0"/>
        </w:rPr>
        <w:t xml:space="preserve">Formação Docente. Licenciaturas. Educação Profissional e Tecnológica.</w:t>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b w:val="1"/>
          <w:color w:val="000000"/>
          <w:rtl w:val="0"/>
        </w:rPr>
        <w:t xml:space="preserve">INTRODUÇÃO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853"/>
        <w:rPr>
          <w:color w:val="000000"/>
        </w:rPr>
      </w:pPr>
      <w:r w:rsidDel="00000000" w:rsidR="00000000" w:rsidRPr="00000000">
        <w:rPr>
          <w:rtl w:val="0"/>
        </w:rPr>
      </w:r>
    </w:p>
    <w:p w:rsidR="00000000" w:rsidDel="00000000" w:rsidP="00000000" w:rsidRDefault="00000000" w:rsidRPr="00000000" w14:paraId="0000000E">
      <w:pPr>
        <w:ind w:firstLine="852"/>
        <w:rPr/>
      </w:pPr>
      <w:r w:rsidDel="00000000" w:rsidR="00000000" w:rsidRPr="00000000">
        <w:rPr>
          <w:rtl w:val="0"/>
        </w:rPr>
        <w:t xml:space="preserve">A Rede Federal de Educação Profissional, Científica e Tecnológica, criada pela Lei nº 11.892/2008 com a unificação dos CEFETs e Escolas Agrotécnicas, consolidou os Institutos Federais (IFs) como instituições multicampi e pluricurriculares voltadas à oferta de educação profissional e tecnológica em diferentes níveis e modalidades. Além de atender à educação básica e superior, os IFs destinam 20% de suas vagas a cursos de licenciatura, com prioridade para áreas das ciências exatas e naturais, contribuindo para suprir o déficit de professores na educação básica.</w:t>
      </w:r>
    </w:p>
    <w:p w:rsidR="00000000" w:rsidDel="00000000" w:rsidP="00000000" w:rsidRDefault="00000000" w:rsidRPr="00000000" w14:paraId="0000000F">
      <w:pPr>
        <w:ind w:firstLine="852"/>
        <w:rPr/>
      </w:pPr>
      <w:r w:rsidDel="00000000" w:rsidR="00000000" w:rsidRPr="00000000">
        <w:rPr>
          <w:rtl w:val="0"/>
        </w:rPr>
        <w:t xml:space="preserve">O Instituto Federal de Alagoas (Ifal) oferta cursos de licenciatura presenciais desde 2010 e cursos na modalidade a distância desde 2008, em consonância com a legislação, assumindo o desafio de propor concepções pedagógicas, princípios e práticas curriculares que considerem tanto os marcos legais quanto às necessidades da educação básica e da Educação Profissional e Tecnológica (EPT). Desde 2015, o Ifal conta com 16 campi distribuídos em diferentes regiões do estado, além de polos de educação a distância, ofertando cursos de Ciências Biológicas, Física, Letras-Português, Matemática, Pedagogia e Química. Essa diversidade formativa reforça a importância da preparação de professores para a EPT, reconhecendo a especificidade dessa modalidade.</w:t>
      </w:r>
    </w:p>
    <w:p w:rsidR="00000000" w:rsidDel="00000000" w:rsidP="00000000" w:rsidRDefault="00000000" w:rsidRPr="00000000" w14:paraId="00000010">
      <w:pPr>
        <w:ind w:firstLine="852"/>
        <w:rPr/>
      </w:pPr>
      <w:r w:rsidDel="00000000" w:rsidR="00000000" w:rsidRPr="00000000">
        <w:rPr>
          <w:rtl w:val="0"/>
        </w:rPr>
        <w:t xml:space="preserve">No Ifal, a EPT na educação básica é oferecida por meio do ensino médio integrado, dos cursos técnicos subsequentes e da Educação de Jovens e Adultos (EJA). É nesse contexto pedagógico que os licenciandos são preparados para atuar como futuros docentes, sobretudo no ensino médio integrado, exercitando suas competências para atender às demandas de uma educação que articula conhecimento teórico e habilidades práticas. Para Ramos e Porto Júnior (2023, p.36), o ensino médio integrado “[...] é uma construção histórica que expressa, no Brasil, a luta pela escola unitária e politécnica, visando à formação omnilateral dos estudantes, sob o princípio educativo do trabalho”. Essa concepção busca assegurar à classe trabalhadora o direito a uma educação de qualidade, promovendo também a elevação de sua escolaridade.</w:t>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OBJETIVOS</w:t>
      </w:r>
    </w:p>
    <w:p w:rsidR="00000000" w:rsidDel="00000000" w:rsidP="00000000" w:rsidRDefault="00000000" w:rsidRPr="00000000" w14:paraId="00000013">
      <w:pPr>
        <w:rPr>
          <w:b w:val="1"/>
        </w:rPr>
      </w:pPr>
      <w:r w:rsidDel="00000000" w:rsidR="00000000" w:rsidRPr="00000000">
        <w:rPr>
          <w:b w:val="1"/>
          <w:rtl w:val="0"/>
        </w:rPr>
        <w:t xml:space="preserve">Geral</w:t>
      </w:r>
    </w:p>
    <w:p w:rsidR="00000000" w:rsidDel="00000000" w:rsidP="00000000" w:rsidRDefault="00000000" w:rsidRPr="00000000" w14:paraId="00000014">
      <w:pPr>
        <w:numPr>
          <w:ilvl w:val="0"/>
          <w:numId w:val="2"/>
        </w:numPr>
        <w:spacing w:after="160" w:lineRule="auto"/>
        <w:ind w:left="720" w:hanging="360"/>
      </w:pPr>
      <w:r w:rsidDel="00000000" w:rsidR="00000000" w:rsidRPr="00000000">
        <w:rPr>
          <w:rtl w:val="0"/>
        </w:rPr>
        <w:t xml:space="preserve">Compreender de que maneira os cursos de licenciatura ofertados pelo Instituto Federal de Alagoas (Ifal) contribuem na formação de professores para atuar na EPT.</w:t>
      </w:r>
    </w:p>
    <w:p w:rsidR="00000000" w:rsidDel="00000000" w:rsidP="00000000" w:rsidRDefault="00000000" w:rsidRPr="00000000" w14:paraId="00000015">
      <w:pPr>
        <w:spacing w:after="160" w:lineRule="auto"/>
        <w:rPr>
          <w:b w:val="1"/>
        </w:rPr>
      </w:pPr>
      <w:r w:rsidDel="00000000" w:rsidR="00000000" w:rsidRPr="00000000">
        <w:rPr>
          <w:b w:val="1"/>
          <w:rtl w:val="0"/>
        </w:rPr>
        <w:t xml:space="preserve">Específicos</w:t>
      </w:r>
    </w:p>
    <w:p w:rsidR="00000000" w:rsidDel="00000000" w:rsidP="00000000" w:rsidRDefault="00000000" w:rsidRPr="00000000" w14:paraId="00000016">
      <w:pPr>
        <w:numPr>
          <w:ilvl w:val="0"/>
          <w:numId w:val="1"/>
        </w:numPr>
        <w:spacing w:after="0" w:afterAutospacing="0" w:lineRule="auto"/>
        <w:ind w:left="720" w:hanging="360"/>
      </w:pPr>
      <w:r w:rsidDel="00000000" w:rsidR="00000000" w:rsidRPr="00000000">
        <w:rPr>
          <w:rtl w:val="0"/>
        </w:rPr>
        <w:t xml:space="preserve">Discutir os conceitos de formação docente, currículo e EPT, em consonância com as políticas educacionais/curriculares e a legislação brasileira;</w:t>
      </w:r>
    </w:p>
    <w:p w:rsidR="00000000" w:rsidDel="00000000" w:rsidP="00000000" w:rsidRDefault="00000000" w:rsidRPr="00000000" w14:paraId="00000017">
      <w:pPr>
        <w:numPr>
          <w:ilvl w:val="0"/>
          <w:numId w:val="1"/>
        </w:numPr>
        <w:spacing w:after="0" w:afterAutospacing="0" w:lineRule="auto"/>
        <w:ind w:left="720" w:hanging="360"/>
      </w:pPr>
      <w:r w:rsidDel="00000000" w:rsidR="00000000" w:rsidRPr="00000000">
        <w:rPr>
          <w:rtl w:val="0"/>
        </w:rPr>
        <w:t xml:space="preserve">Analisar os normativos legais nacionais e institucionais que tratam da formação de professores para atuar na EPT;</w:t>
      </w:r>
    </w:p>
    <w:p w:rsidR="00000000" w:rsidDel="00000000" w:rsidP="00000000" w:rsidRDefault="00000000" w:rsidRPr="00000000" w14:paraId="00000018">
      <w:pPr>
        <w:numPr>
          <w:ilvl w:val="0"/>
          <w:numId w:val="1"/>
        </w:numPr>
        <w:spacing w:after="0" w:afterAutospacing="0" w:lineRule="auto"/>
        <w:ind w:left="720" w:hanging="360"/>
      </w:pPr>
      <w:r w:rsidDel="00000000" w:rsidR="00000000" w:rsidRPr="00000000">
        <w:rPr>
          <w:rtl w:val="0"/>
        </w:rPr>
        <w:t xml:space="preserve">Identificar os princípios e concepções da EPT presentes nos projetos pedagógicos dos cursos de licenciatura do Ifal;</w:t>
      </w:r>
    </w:p>
    <w:p w:rsidR="00000000" w:rsidDel="00000000" w:rsidP="00000000" w:rsidRDefault="00000000" w:rsidRPr="00000000" w14:paraId="00000019">
      <w:pPr>
        <w:numPr>
          <w:ilvl w:val="0"/>
          <w:numId w:val="1"/>
        </w:numPr>
        <w:spacing w:after="160" w:lineRule="auto"/>
        <w:ind w:left="720" w:hanging="360"/>
      </w:pPr>
      <w:r w:rsidDel="00000000" w:rsidR="00000000" w:rsidRPr="00000000">
        <w:rPr>
          <w:rtl w:val="0"/>
        </w:rPr>
        <w:t xml:space="preserve">Caracterizar as dimensões da formação de professores na proposta dos cursos de licenciatura do Ifal e sua articulação com a EPT.</w:t>
      </w:r>
    </w:p>
    <w:p w:rsidR="00000000" w:rsidDel="00000000" w:rsidP="00000000" w:rsidRDefault="00000000" w:rsidRPr="00000000" w14:paraId="0000001A">
      <w:pPr>
        <w:spacing w:after="160" w:lineRule="auto"/>
        <w:ind w:left="720" w:firstLine="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FUNDAMENTAÇÃO TEÓRICA</w:t>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A formação docente constitui um campo central na educação, especialmente nos Institutos Federais, cuja missão inclui a oferta de cursos de licenciatura voltados para a Educação Profissional e Tecnológica (EPT). Segundo Nóvoa (2009), a formação de professores deve ser entendida como um processo contínuo e construído “dentro da profissão”, no qual o conhecimento teórico se articula à experiência prática. Essa perspectiva reforça a necessidade de aproximar os futuros docentes da realidade concreta das salas de aula, de modo que a teoria não se restrinja ao plano conceitual, mas contribua para a atuação crítica e reflexiva no contexto educacional.</w:t>
      </w:r>
    </w:p>
    <w:p w:rsidR="00000000" w:rsidDel="00000000" w:rsidP="00000000" w:rsidRDefault="00000000" w:rsidRPr="00000000" w14:paraId="0000001F">
      <w:pPr>
        <w:ind w:firstLine="720"/>
        <w:rPr/>
      </w:pPr>
      <w:r w:rsidDel="00000000" w:rsidR="00000000" w:rsidRPr="00000000">
        <w:rPr>
          <w:rtl w:val="0"/>
        </w:rPr>
        <w:t xml:space="preserve">A EPT, conforme a Resolução CNE/CP Nº 1/2021, é uma modalidade educacional que atravessa todos os níveis de ensino, integrando dimensões do trabalho, da ciência, da cultura e da tecnologia, organizada por eixos tecnológicos em consonância com a estrutura socioeconômica do país (Brasil, 2021). Essa concepção amplia o papel do professor, exigindo dele competências não apenas pedagógicas, mas também técnico-científicas, capazes de articular teoria e prática, educação geral e formação profissional. Nesse contexto, os cursos de licenciatura dos Institutos Federais, incluindo o Ifal, assumem a responsabilidade de preparar docentes para atuar em ambientes complexos, como o ensino médio integrado, no qual se realiza a articulação entre formação básica e profissional.</w:t>
      </w:r>
    </w:p>
    <w:p w:rsidR="00000000" w:rsidDel="00000000" w:rsidP="00000000" w:rsidRDefault="00000000" w:rsidRPr="00000000" w14:paraId="00000020">
      <w:pPr>
        <w:ind w:firstLine="720"/>
        <w:rPr/>
      </w:pPr>
      <w:r w:rsidDel="00000000" w:rsidR="00000000" w:rsidRPr="00000000">
        <w:rPr>
          <w:rtl w:val="0"/>
        </w:rPr>
        <w:t xml:space="preserve">O ensino médio integrado, segundo Ramos e Porto Júnior (2023), é uma construção histórica e política que busca a formação omnilateral e politécnica dos estudantes, fundamentada no princípio educativo do trabalho. Para tanto, o currículo integrado torna-se essencial, ao articular diferentes áreas do conhecimento e favorecer aprendizagens significativas e contextualizadas (Santos; Leite; Souza, 2022). Sua efetividade, porém, depende da formação prévia dos docentes, que devem dominar princípios pedagógicos, metodológicos e legais da EPT, além de refletirem criticamente sobre sua prática. Nesse processo, a análise de práticas educativas oferecem ferramentas para identificar lacunas, interpretar percepções dos licenciandos e orientar ajustes curriculares que fortaleçam a atuação docente no ensino médio integrado.</w:t>
      </w:r>
    </w:p>
    <w:p w:rsidR="00000000" w:rsidDel="00000000" w:rsidP="00000000" w:rsidRDefault="00000000" w:rsidRPr="00000000" w14:paraId="00000021">
      <w:pPr>
        <w:ind w:firstLine="720"/>
        <w:rPr/>
      </w:pPr>
      <w:r w:rsidDel="00000000" w:rsidR="00000000" w:rsidRPr="00000000">
        <w:rPr>
          <w:rtl w:val="0"/>
        </w:rPr>
        <w:t xml:space="preserve">Alves-Mazzotti e Gewandsznajder (2002) reforçam que a integração entre pesquisa, prática e teoria é essencial para a formação de professores, especialmente na EPT, em que o domínio técnico e científico se alia à capacidade pedagógica. A vivência prática, por meio de estágios supervisionados, é um componente central desse processo, permitindo aos licenciandos experimentar a docência, planejar aulas e desenvolver estratégias que respondam às demandas do ensino integrado.</w:t>
      </w:r>
    </w:p>
    <w:p w:rsidR="00000000" w:rsidDel="00000000" w:rsidP="00000000" w:rsidRDefault="00000000" w:rsidRPr="00000000" w14:paraId="00000022">
      <w:pPr>
        <w:ind w:firstLine="720"/>
        <w:rPr>
          <w:color w:val="000000"/>
        </w:rPr>
      </w:pPr>
      <w:r w:rsidDel="00000000" w:rsidR="00000000" w:rsidRPr="00000000">
        <w:rPr>
          <w:rtl w:val="0"/>
        </w:rPr>
        <w:t xml:space="preserve">Dessa forma, compreender as percepções dos estudantes dos cursos de licenciatura do Ifal sobre sua formação para atuar no ensino médio integrado é fundamental para identificar lacunas, desafios e potencialidades do processo formativo. Além disso, essa análise oferece subsídios para a reorganização curricular, fortalecendo a articulação entre ensino, pesquisa e extensão, e promovendo uma formação docente mais crítica, reflexiva e alinhada às demandas contemporâneas da Educação Profissional e Tecnológica.</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708"/>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PROCEDIMENTOS ÉTICOS E METODOLÓGICOS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869"/>
        <w:rPr>
          <w:color w:val="000000"/>
        </w:rPr>
      </w:pPr>
      <w:r w:rsidDel="00000000" w:rsidR="00000000" w:rsidRPr="00000000">
        <w:rPr>
          <w:rtl w:val="0"/>
        </w:rPr>
      </w:r>
    </w:p>
    <w:p w:rsidR="00000000" w:rsidDel="00000000" w:rsidP="00000000" w:rsidRDefault="00000000" w:rsidRPr="00000000" w14:paraId="00000026">
      <w:pPr>
        <w:ind w:firstLine="720"/>
        <w:rPr/>
      </w:pPr>
      <w:r w:rsidDel="00000000" w:rsidR="00000000" w:rsidRPr="00000000">
        <w:rPr>
          <w:rtl w:val="0"/>
        </w:rPr>
        <w:t xml:space="preserve">Esta pesquisa em andamento, desenvolvida no âmbito do Instituto Federal de Alagoas (Ifal) e financiada pelo Conselho Nacional de Desenvolvimento Científico e Tecnológico (CNPq), adota uma perspectiva qualitativa, possibilitando, por meio da interação direta com o objeto de estudo, uma análise minuciosa e sensível às particularidades do contexto investigado, com base na obtenção de dados descritivos (Lüdke; André, 2008). Esse tipo de investigação é caracterizado por seu caráter “multimetodológico” (Alves-Mazotti; Gewandsznajder, 2002), permitindo o uso diversificado de técnicas e instrumentos de coleta e análise de dados, de acordo com as especificidades da realidade estudada.</w:t>
      </w:r>
    </w:p>
    <w:p w:rsidR="00000000" w:rsidDel="00000000" w:rsidP="00000000" w:rsidRDefault="00000000" w:rsidRPr="00000000" w14:paraId="00000027">
      <w:pPr>
        <w:ind w:firstLine="720"/>
        <w:rPr/>
      </w:pPr>
      <w:r w:rsidDel="00000000" w:rsidR="00000000" w:rsidRPr="00000000">
        <w:rPr>
          <w:rtl w:val="0"/>
        </w:rPr>
        <w:t xml:space="preserve">No contexto qualitativo, a pesquisa se configura como um estudo de caso, visando a coleta de informações, sendo utilizados a revisão bibliográfica, a análise documental e a aplicação de questionários. O estudo será realizado no Ifal, contemplando todos os cursos de licenciatura nas modalidades presencial e a distância, com estudantes regularmente matriculados e que estejam cursando a partir da segunda metade do curso.</w:t>
      </w:r>
    </w:p>
    <w:p w:rsidR="00000000" w:rsidDel="00000000" w:rsidP="00000000" w:rsidRDefault="00000000" w:rsidRPr="00000000" w14:paraId="00000028">
      <w:pPr>
        <w:ind w:firstLine="720"/>
        <w:rPr/>
      </w:pPr>
      <w:r w:rsidDel="00000000" w:rsidR="00000000" w:rsidRPr="00000000">
        <w:rPr>
          <w:rtl w:val="0"/>
        </w:rPr>
        <w:t xml:space="preserve">Para o tratamento das informações, será utilizada a análise de conteúdo, conforme Bardin (2008), que permite organizar e categorizar os dados coletados, facilitando a interpretação e a construção de inferências. Dessa forma, busca-se identificar relações significativas entre os elementos analisados e o objeto de estudo, promovendo um entendimento aprofundado das questões investigadas.</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869"/>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RESULTADOS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853"/>
        <w:rPr>
          <w:color w:val="000000"/>
        </w:rPr>
      </w:pPr>
      <w:r w:rsidDel="00000000" w:rsidR="00000000" w:rsidRPr="00000000">
        <w:rPr>
          <w:rtl w:val="0"/>
        </w:rPr>
      </w:r>
    </w:p>
    <w:p w:rsidR="00000000" w:rsidDel="00000000" w:rsidP="00000000" w:rsidRDefault="00000000" w:rsidRPr="00000000" w14:paraId="0000002C">
      <w:pPr>
        <w:ind w:firstLine="720"/>
        <w:rPr/>
      </w:pPr>
      <w:r w:rsidDel="00000000" w:rsidR="00000000" w:rsidRPr="00000000">
        <w:rPr>
          <w:rtl w:val="0"/>
        </w:rPr>
        <w:t xml:space="preserve">A análise dos cursos de licenciatura do IFAL evidencia que a EPT nos permitiu analisar 30 Projetos Pedagógicos de Cursos (PPCs) das seis licenciaturas distribuídas em dez municípios de Alagoas. Nove cursos são presenciais e 21 na modalidade EAD, com maior concentração da modalidade a distância no interior. </w:t>
      </w:r>
    </w:p>
    <w:p w:rsidR="00000000" w:rsidDel="00000000" w:rsidP="00000000" w:rsidRDefault="00000000" w:rsidRPr="00000000" w14:paraId="0000002D">
      <w:pPr>
        <w:ind w:firstLine="720"/>
        <w:rPr/>
      </w:pPr>
      <w:r w:rsidDel="00000000" w:rsidR="00000000" w:rsidRPr="00000000">
        <w:rPr>
          <w:rtl w:val="0"/>
        </w:rPr>
        <w:t xml:space="preserve">Na organização curricular, a EPT aparece principalmente nas disciplinas Educação Profissional e Organização da Educação Básica, ofertadas nos primeiros períodos dos cursos, com a função de introduzir o licenciando às especificidades dessa modalidade. Contudo, a carga horária reduzida e a ausência ou limitação de atividades práticas, sendo 40h sem prática nos cursos presenciais e de 35h a 50h na modalidade a distância, com até 8h práticas, comprometem a assimilação crítica e a vivência efetiva da EPT durante a formação docente. No estágio supervisionado, especialmente o IV, possibilita o contato prático com a EPT. </w:t>
      </w:r>
    </w:p>
    <w:p w:rsidR="00000000" w:rsidDel="00000000" w:rsidP="00000000" w:rsidRDefault="00000000" w:rsidRPr="00000000" w14:paraId="0000002E">
      <w:pPr>
        <w:ind w:firstLine="720"/>
        <w:rPr/>
      </w:pPr>
      <w:r w:rsidDel="00000000" w:rsidR="00000000" w:rsidRPr="00000000">
        <w:rPr>
          <w:rtl w:val="0"/>
        </w:rPr>
        <w:t xml:space="preserve">Em relação aos perfis dos egressos, destacam competências como ética e compromisso social, domínio pedagógico, consciência da diversidade e habilidades de gestão educacional. A Pedagogia, por sua vez, se propõe a formar profissionais capacitados para atuarem não apenas em sala de aula, mas também em serviços de apoio escolar, reforçando o papel social do pedagogo na estrutura educacional. Ambos os PPCs destacam a atuação no ensino da educação básica, além de destacar a atuação na gestão das instituições educacionais.</w:t>
      </w:r>
    </w:p>
    <w:p w:rsidR="00000000" w:rsidDel="00000000" w:rsidP="00000000" w:rsidRDefault="00000000" w:rsidRPr="00000000" w14:paraId="0000002F">
      <w:pPr>
        <w:ind w:firstLine="720"/>
        <w:rPr/>
      </w:pPr>
      <w:r w:rsidDel="00000000" w:rsidR="00000000" w:rsidRPr="00000000">
        <w:rPr>
          <w:rtl w:val="0"/>
        </w:rPr>
        <w:t xml:space="preserve">Apesar da presença da EPT no currículo, a limitação da carga horária, a escassez de prática e a variabilidade nas datas de atualização dos PPCs indicam a necessidade de revisões curriculares para alinhar a formação às demandas contemporâneas da educação profissional, garantindo que os futuros docentes desenvolvam conhecimentos teóricos e práticos suficientes para atuar de forma crítica e efetiva na EPT.</w:t>
      </w:r>
    </w:p>
    <w:p w:rsidR="00000000" w:rsidDel="00000000" w:rsidP="00000000" w:rsidRDefault="00000000" w:rsidRPr="00000000" w14:paraId="00000030">
      <w:pPr>
        <w:ind w:firstLine="720"/>
        <w:rPr/>
      </w:pPr>
      <w:r w:rsidDel="00000000" w:rsidR="00000000" w:rsidRPr="00000000">
        <w:rPr>
          <w:rtl w:val="0"/>
        </w:rPr>
        <w:t xml:space="preserve">Portanto, a próxima etapa da pesquisa será a consulta aos licenciandos para análise das suas percepções sobre seu processo formativo para atuação na Educação Profissional e Tecnológica.</w:t>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b w:val="1"/>
          <w:color w:val="000000"/>
          <w:rtl w:val="0"/>
        </w:rPr>
        <w:t xml:space="preserve">CONSIDERAÇÕES FINAIS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836"/>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836"/>
        <w:rPr/>
      </w:pPr>
      <w:r w:rsidDel="00000000" w:rsidR="00000000" w:rsidRPr="00000000">
        <w:rPr>
          <w:rtl w:val="0"/>
        </w:rPr>
        <w:t xml:space="preserve">A partir do andamento dessa pesquisa, espera-se que esta pesquisa contribua para o fortalecimento da formação docente nos cursos de licenciatura do Ifal, ampliando o debate sobre a Educação Profissional e Tecnológica e estimulando reflexões críticas entre educadores e gestores. A reorganização curricular mostra-se necessária para alinhar teoria, prática e demandas do ensino médio integrado, além de subsidiar políticas institucionais voltadas à capacitação de docentes e técnicos sem formação específica, reforçando a articulação entre ensino, pesquisa e prática. Nesse processo, a participação dos licenciandos na investigação favorece sua inserção na iniciação científica e consolida uma formação integral, crítica e comprometida com a educação pública de qualidade.</w:t>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836"/>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REFERÊNCIAS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38">
      <w:pPr>
        <w:spacing w:after="160" w:lineRule="auto"/>
        <w:rPr/>
      </w:pPr>
      <w:r w:rsidDel="00000000" w:rsidR="00000000" w:rsidRPr="00000000">
        <w:rPr>
          <w:rtl w:val="0"/>
        </w:rPr>
        <w:t xml:space="preserve">ALVES-MAZZOTTI, A. J.; GEWANDSZNAJDER, F. </w:t>
      </w:r>
      <w:r w:rsidDel="00000000" w:rsidR="00000000" w:rsidRPr="00000000">
        <w:rPr>
          <w:b w:val="1"/>
          <w:rtl w:val="0"/>
        </w:rPr>
        <w:t xml:space="preserve">O método nas ciências naturais e sociais:</w:t>
      </w:r>
      <w:r w:rsidDel="00000000" w:rsidR="00000000" w:rsidRPr="00000000">
        <w:rPr>
          <w:rtl w:val="0"/>
        </w:rPr>
        <w:t xml:space="preserve"> pesquisa quantitativa e qualitativa. São Paulo: Pioneira Thomson Learning, 2002.</w:t>
      </w:r>
    </w:p>
    <w:p w:rsidR="00000000" w:rsidDel="00000000" w:rsidP="00000000" w:rsidRDefault="00000000" w:rsidRPr="00000000" w14:paraId="00000039">
      <w:pPr>
        <w:spacing w:after="160" w:lineRule="auto"/>
        <w:rPr/>
      </w:pPr>
      <w:r w:rsidDel="00000000" w:rsidR="00000000" w:rsidRPr="00000000">
        <w:rPr>
          <w:rtl w:val="0"/>
        </w:rPr>
        <w:t xml:space="preserve">BARDIN, L. </w:t>
      </w:r>
      <w:r w:rsidDel="00000000" w:rsidR="00000000" w:rsidRPr="00000000">
        <w:rPr>
          <w:b w:val="1"/>
          <w:rtl w:val="0"/>
        </w:rPr>
        <w:t xml:space="preserve">Análise de conteúdo.</w:t>
      </w:r>
      <w:r w:rsidDel="00000000" w:rsidR="00000000" w:rsidRPr="00000000">
        <w:rPr>
          <w:rtl w:val="0"/>
        </w:rPr>
        <w:t xml:space="preserve"> Lisboa: Edições 70, 2008.</w:t>
      </w:r>
    </w:p>
    <w:p w:rsidR="00000000" w:rsidDel="00000000" w:rsidP="00000000" w:rsidRDefault="00000000" w:rsidRPr="00000000" w14:paraId="0000003A">
      <w:pPr>
        <w:spacing w:after="160" w:lineRule="auto"/>
        <w:rPr/>
      </w:pPr>
      <w:r w:rsidDel="00000000" w:rsidR="00000000" w:rsidRPr="00000000">
        <w:rPr>
          <w:rtl w:val="0"/>
        </w:rPr>
        <w:t xml:space="preserve">BRASIL. </w:t>
      </w:r>
      <w:r w:rsidDel="00000000" w:rsidR="00000000" w:rsidRPr="00000000">
        <w:rPr>
          <w:b w:val="1"/>
          <w:rtl w:val="0"/>
        </w:rPr>
        <w:t xml:space="preserve">Lei Nº 11.892, de 29 de dezembro de 2008</w:t>
      </w:r>
      <w:r w:rsidDel="00000000" w:rsidR="00000000" w:rsidRPr="00000000">
        <w:rPr>
          <w:rtl w:val="0"/>
        </w:rPr>
        <w:t xml:space="preserve">. Institui a Rede Federal de Educação Profissional, Científica e Tecnológica, cria os Institutos Federais de Educação, Ciência e Tecnologia, e dá outras providências. Brasília: Presidência da República, 2008. Disponível em: </w:t>
      </w:r>
      <w:hyperlink r:id="rId8">
        <w:r w:rsidDel="00000000" w:rsidR="00000000" w:rsidRPr="00000000">
          <w:rPr>
            <w:color w:val="467886"/>
            <w:u w:val="single"/>
            <w:rtl w:val="0"/>
          </w:rPr>
          <w:t xml:space="preserve">http://www.planalto.gov.br/ccivil_03/_Ato2007-2010/2008/Lei/L11892.htm</w:t>
        </w:r>
      </w:hyperlink>
      <w:r w:rsidDel="00000000" w:rsidR="00000000" w:rsidRPr="00000000">
        <w:rPr>
          <w:rtl w:val="0"/>
        </w:rPr>
        <w:t xml:space="preserve">. Acesso em: 30 mai 2025.</w:t>
      </w:r>
    </w:p>
    <w:p w:rsidR="00000000" w:rsidDel="00000000" w:rsidP="00000000" w:rsidRDefault="00000000" w:rsidRPr="00000000" w14:paraId="0000003B">
      <w:pPr>
        <w:spacing w:after="160" w:lineRule="auto"/>
        <w:rPr/>
      </w:pPr>
      <w:r w:rsidDel="00000000" w:rsidR="00000000" w:rsidRPr="00000000">
        <w:rPr>
          <w:rtl w:val="0"/>
        </w:rPr>
        <w:t xml:space="preserve">BRASIL. Resolução CNE/CP Nº 01, de 5 de janeiro de 2021. Define as Diretrizes Curriculares Nacionais Gerais para a Educação Profissional e Tecnológica, 2021. Disponível em: </w:t>
      </w:r>
      <w:hyperlink r:id="rId9">
        <w:r w:rsidDel="00000000" w:rsidR="00000000" w:rsidRPr="00000000">
          <w:rPr>
            <w:color w:val="467886"/>
            <w:u w:val="single"/>
            <w:rtl w:val="0"/>
          </w:rPr>
          <w:t xml:space="preserve">https://portal.mec.gov.br/index.php?option=com_docman&amp;view=download&amp;alias=167931-rcp001-21&amp;category_slug=janeiro-2021-pdf&amp;Itemid=30192</w:t>
        </w:r>
      </w:hyperlink>
      <w:r w:rsidDel="00000000" w:rsidR="00000000" w:rsidRPr="00000000">
        <w:rPr>
          <w:rtl w:val="0"/>
        </w:rPr>
        <w:t xml:space="preserve">. Acesso em: 05 jun 2025.</w:t>
      </w:r>
    </w:p>
    <w:p w:rsidR="00000000" w:rsidDel="00000000" w:rsidP="00000000" w:rsidRDefault="00000000" w:rsidRPr="00000000" w14:paraId="0000003C">
      <w:pPr>
        <w:spacing w:after="160" w:lineRule="auto"/>
        <w:rPr/>
      </w:pPr>
      <w:r w:rsidDel="00000000" w:rsidR="00000000" w:rsidRPr="00000000">
        <w:rPr>
          <w:rtl w:val="0"/>
        </w:rPr>
        <w:t xml:space="preserve">LÜDKE, M.; ANDRÉ, M. </w:t>
      </w:r>
      <w:r w:rsidDel="00000000" w:rsidR="00000000" w:rsidRPr="00000000">
        <w:rPr>
          <w:b w:val="1"/>
          <w:rtl w:val="0"/>
        </w:rPr>
        <w:t xml:space="preserve">Pesquisa em educação:</w:t>
      </w:r>
      <w:r w:rsidDel="00000000" w:rsidR="00000000" w:rsidRPr="00000000">
        <w:rPr>
          <w:rtl w:val="0"/>
        </w:rPr>
        <w:t xml:space="preserve"> abordagens qualitativas. São Paulo: EPU, 2008.</w:t>
      </w:r>
    </w:p>
    <w:p w:rsidR="00000000" w:rsidDel="00000000" w:rsidP="00000000" w:rsidRDefault="00000000" w:rsidRPr="00000000" w14:paraId="0000003D">
      <w:pPr>
        <w:spacing w:after="160" w:lineRule="auto"/>
        <w:rPr/>
      </w:pPr>
      <w:r w:rsidDel="00000000" w:rsidR="00000000" w:rsidRPr="00000000">
        <w:rPr>
          <w:rtl w:val="0"/>
        </w:rPr>
        <w:t xml:space="preserve">NÓVOA, A. Para una formación de profesores construida dentro de la profesión. </w:t>
      </w:r>
      <w:r w:rsidDel="00000000" w:rsidR="00000000" w:rsidRPr="00000000">
        <w:rPr>
          <w:b w:val="1"/>
          <w:rtl w:val="0"/>
        </w:rPr>
        <w:t xml:space="preserve">Revista de Educación</w:t>
      </w:r>
      <w:r w:rsidDel="00000000" w:rsidR="00000000" w:rsidRPr="00000000">
        <w:rPr>
          <w:rtl w:val="0"/>
        </w:rPr>
        <w:t xml:space="preserve">, Madrid, n. 350, set./dez. 2009, p. 203-218. Disponível em: </w:t>
      </w:r>
      <w:hyperlink r:id="rId10">
        <w:r w:rsidDel="00000000" w:rsidR="00000000" w:rsidRPr="00000000">
          <w:rPr>
            <w:color w:val="467886"/>
            <w:u w:val="single"/>
            <w:rtl w:val="0"/>
          </w:rPr>
          <w:t xml:space="preserve">https://www.educacionfpydeportes.gob.es/revista-de-educacion/va/dam/jcr:31ae829a-c8aa-48bd-9e13-32598dfe62d9/re35009por-pdf.pdf</w:t>
        </w:r>
      </w:hyperlink>
      <w:r w:rsidDel="00000000" w:rsidR="00000000" w:rsidRPr="00000000">
        <w:rPr>
          <w:rtl w:val="0"/>
        </w:rPr>
        <w:t xml:space="preserve">. Acesso em: 05 jun. 2025.</w:t>
      </w:r>
    </w:p>
    <w:p w:rsidR="00000000" w:rsidDel="00000000" w:rsidP="00000000" w:rsidRDefault="00000000" w:rsidRPr="00000000" w14:paraId="0000003E">
      <w:pPr>
        <w:spacing w:after="160" w:lineRule="auto"/>
        <w:rPr/>
      </w:pPr>
      <w:r w:rsidDel="00000000" w:rsidR="00000000" w:rsidRPr="00000000">
        <w:rPr>
          <w:rtl w:val="0"/>
        </w:rPr>
        <w:t xml:space="preserve">RAMOS, M. N.; PORTO JÚNIOR, M. J. Os Institutos Federais e a defesa do ensino médio integrado: uma relação histórica. In: PACHECO, E.; PIORUCCI, R. </w:t>
      </w:r>
      <w:r w:rsidDel="00000000" w:rsidR="00000000" w:rsidRPr="00000000">
        <w:rPr>
          <w:b w:val="1"/>
          <w:rtl w:val="0"/>
        </w:rPr>
        <w:t xml:space="preserve">15 anos dos Institutos Federais:</w:t>
      </w:r>
      <w:r w:rsidDel="00000000" w:rsidR="00000000" w:rsidRPr="00000000">
        <w:rPr>
          <w:rtl w:val="0"/>
        </w:rPr>
        <w:t xml:space="preserve"> história, política e desafios. Foz do Iguaçu, PR: Itaí, 2023.</w:t>
      </w:r>
    </w:p>
    <w:p w:rsidR="00000000" w:rsidDel="00000000" w:rsidP="00000000" w:rsidRDefault="00000000" w:rsidRPr="00000000" w14:paraId="0000003F">
      <w:pPr>
        <w:spacing w:after="160" w:lineRule="auto"/>
        <w:rPr/>
      </w:pPr>
      <w:r w:rsidDel="00000000" w:rsidR="00000000" w:rsidRPr="00000000">
        <w:rPr>
          <w:rtl w:val="0"/>
        </w:rPr>
        <w:t xml:space="preserve">SANTOS, L. A. da S.; LEITE, M. da C. S. do N. C.; SOUZA, F. de C. S. Percepções de professores acerca do currículo integrado no Instituto Federal de Educação, Ciência e Tecnologia do Rio Grande do Norte (IFRN). </w:t>
      </w:r>
      <w:r w:rsidDel="00000000" w:rsidR="00000000" w:rsidRPr="00000000">
        <w:rPr>
          <w:b w:val="1"/>
          <w:rtl w:val="0"/>
        </w:rPr>
        <w:t xml:space="preserve">Revista Vértices</w:t>
      </w:r>
      <w:r w:rsidDel="00000000" w:rsidR="00000000" w:rsidRPr="00000000">
        <w:rPr>
          <w:rtl w:val="0"/>
        </w:rPr>
        <w:t xml:space="preserve">, Campos dos Goytacazes/RJ, v.24, n.2, p. 541-555, maio/ago. 2022. Disponível em: </w:t>
      </w:r>
      <w:hyperlink r:id="rId11">
        <w:r w:rsidDel="00000000" w:rsidR="00000000" w:rsidRPr="00000000">
          <w:rPr>
            <w:color w:val="467886"/>
            <w:u w:val="single"/>
            <w:rtl w:val="0"/>
          </w:rPr>
          <w:t xml:space="preserve">https://www.researchgate.net/publication/363623043_Percepcoes_de_professores_acerca_do_curriculo_integrado_no_Instituto_Federal_de_Educacao_Ciencia_e_Tecnologia_do_Rio_Grande_do_Norte_IFRN</w:t>
        </w:r>
      </w:hyperlink>
      <w:r w:rsidDel="00000000" w:rsidR="00000000" w:rsidRPr="00000000">
        <w:rPr>
          <w:rtl w:val="0"/>
        </w:rPr>
        <w:t xml:space="preserve"> Acesso em: 30 mai 2025.</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firstLine="853"/>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43">
      <w:pPr>
        <w:rPr/>
      </w:pPr>
      <w:r w:rsidDel="00000000" w:rsidR="00000000" w:rsidRPr="00000000">
        <w:rPr>
          <w:rtl w:val="0"/>
        </w:rPr>
      </w:r>
    </w:p>
    <w:sectPr>
      <w:headerReference r:id="rId12" w:type="default"/>
      <w:footerReference r:id="rId13" w:type="default"/>
      <w:pgSz w:h="16838" w:w="11906" w:orient="portrait"/>
      <w:pgMar w:bottom="1701" w:top="170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-729614</wp:posOffset>
          </wp:positionH>
          <wp:positionV relativeFrom="paragraph">
            <wp:posOffset>-103504</wp:posOffset>
          </wp:positionV>
          <wp:extent cx="7583344" cy="720725"/>
          <wp:effectExtent b="0" l="0" r="0" t="0"/>
          <wp:wrapNone/>
          <wp:docPr id="213578617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83344" cy="7207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6119389</wp:posOffset>
              </wp:positionH>
              <wp:positionV relativeFrom="paragraph">
                <wp:posOffset>-2221</wp:posOffset>
              </wp:positionV>
              <wp:extent cx="426453" cy="192405"/>
              <wp:effectExtent b="0" l="0" r="0" t="0"/>
              <wp:wrapNone/>
              <wp:docPr id="2135786173" name=""/>
              <a:graphic>
                <a:graphicData uri="http://schemas.microsoft.com/office/word/2010/wordprocessingShape">
                  <wps:wsp>
                    <wps:cNvSpPr/>
                    <wps:cNvPr id="2" name="Shape 2"/>
                    <wps:spPr>
                      <a:xfrm>
                        <a:off x="5137536" y="3688560"/>
                        <a:ext cx="416928" cy="182880"/>
                      </a:xfrm>
                      <a:prstGeom prst="rect">
                        <a:avLst/>
                      </a:prstGeom>
                      <a:noFill/>
                      <a:ln>
                        <a:noFill/>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PAGE    \* MERGEFORMAT</w:t>
                          </w:r>
                          <w:r w:rsidDel="00000000" w:rsidR="00000000" w:rsidRPr="00000000">
                            <w:rPr>
                              <w:rFonts w:ascii="Arial" w:cs="Arial" w:eastAsia="Arial" w:hAnsi="Arial"/>
                              <w:b w:val="0"/>
                              <w:i w:val="0"/>
                              <w:smallCaps w:val="0"/>
                              <w:strike w:val="0"/>
                              <w:color w:val="8c8c8c"/>
                              <w:sz w:val="24"/>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6119389</wp:posOffset>
              </wp:positionH>
              <wp:positionV relativeFrom="paragraph">
                <wp:posOffset>-2221</wp:posOffset>
              </wp:positionV>
              <wp:extent cx="426453" cy="192405"/>
              <wp:effectExtent b="0" l="0" r="0" t="0"/>
              <wp:wrapNone/>
              <wp:docPr id="213578617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6453"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335598</wp:posOffset>
              </wp:positionH>
              <wp:positionV relativeFrom="paragraph">
                <wp:posOffset>44133</wp:posOffset>
              </wp:positionV>
              <wp:extent cx="4073525" cy="333375"/>
              <wp:effectExtent b="0" l="0" r="0" t="0"/>
              <wp:wrapNone/>
              <wp:docPr id="2135786174" name=""/>
              <a:graphic>
                <a:graphicData uri="http://schemas.microsoft.com/office/word/2010/wordprocessingShape">
                  <wps:wsp>
                    <wps:cNvSpPr/>
                    <wps:cNvPr id="3" name="Shape 3"/>
                    <wps:spPr>
                      <a:xfrm>
                        <a:off x="3314000" y="3618075"/>
                        <a:ext cx="4064000" cy="323850"/>
                      </a:xfrm>
                      <a:prstGeom prst="rect">
                        <a:avLst/>
                      </a:prstGeom>
                      <a:noFill/>
                      <a:ln>
                        <a:noFill/>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XI Encontro de Pesquisa em Educação em Alagoas (Epeal)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335598</wp:posOffset>
              </wp:positionH>
              <wp:positionV relativeFrom="paragraph">
                <wp:posOffset>44133</wp:posOffset>
              </wp:positionV>
              <wp:extent cx="4073525" cy="333375"/>
              <wp:effectExtent b="0" l="0" r="0" t="0"/>
              <wp:wrapNone/>
              <wp:docPr id="213578617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073525" cy="333375"/>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I</w:t>
      </w:r>
      <w:r w:rsidDel="00000000" w:rsidR="00000000" w:rsidRPr="00000000">
        <w:rPr>
          <w:sz w:val="18"/>
          <w:szCs w:val="18"/>
          <w:rtl w:val="0"/>
        </w:rPr>
        <w:t xml:space="preserve">NSTITUTO FEDERAL DE ALAGOAS</w:t>
      </w:r>
      <w:r w:rsidDel="00000000" w:rsidR="00000000" w:rsidRPr="00000000">
        <w:rPr>
          <w:color w:val="000000"/>
          <w:sz w:val="18"/>
          <w:szCs w:val="18"/>
          <w:rtl w:val="0"/>
        </w:rPr>
        <w:t xml:space="preserve">. </w:t>
      </w:r>
      <w:hyperlink r:id="rId1">
        <w:r w:rsidDel="00000000" w:rsidR="00000000" w:rsidRPr="00000000">
          <w:rPr>
            <w:color w:val="1155cc"/>
            <w:sz w:val="18"/>
            <w:szCs w:val="18"/>
            <w:u w:val="single"/>
            <w:rtl w:val="0"/>
          </w:rPr>
          <w:t xml:space="preserve">rzg1@aluno.ifal.edu.br</w:t>
        </w:r>
      </w:hyperlink>
      <w:r w:rsidDel="00000000" w:rsidR="00000000" w:rsidRPr="00000000">
        <w:rPr>
          <w:sz w:val="18"/>
          <w:szCs w:val="18"/>
          <w:rtl w:val="0"/>
        </w:rPr>
        <w:t xml:space="preserve"> .</w:t>
      </w:r>
      <w:r w:rsidDel="00000000" w:rsidR="00000000" w:rsidRPr="00000000">
        <w:rPr>
          <w:rtl w:val="0"/>
        </w:rPr>
      </w:r>
    </w:p>
  </w:footnote>
  <w:footnote w:id="1">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sz w:val="18"/>
          <w:szCs w:val="18"/>
          <w:rtl w:val="0"/>
        </w:rPr>
        <w:t xml:space="preserve">INSTITUTO FEDERAL DE ALAGOAS</w:t>
      </w:r>
      <w:r w:rsidDel="00000000" w:rsidR="00000000" w:rsidRPr="00000000">
        <w:rPr>
          <w:color w:val="000000"/>
          <w:sz w:val="18"/>
          <w:szCs w:val="18"/>
          <w:rtl w:val="0"/>
        </w:rPr>
        <w:t xml:space="preserve">. </w:t>
      </w:r>
      <w:hyperlink r:id="rId2">
        <w:r w:rsidDel="00000000" w:rsidR="00000000" w:rsidRPr="00000000">
          <w:rPr>
            <w:color w:val="1155cc"/>
            <w:sz w:val="18"/>
            <w:szCs w:val="18"/>
            <w:u w:val="single"/>
            <w:rtl w:val="0"/>
          </w:rPr>
          <w:t xml:space="preserve">jgnr1@aluno.ifal.edu.br</w:t>
        </w:r>
      </w:hyperlink>
      <w:r w:rsidDel="00000000" w:rsidR="00000000" w:rsidRPr="00000000">
        <w:rPr>
          <w:sz w:val="18"/>
          <w:szCs w:val="18"/>
          <w:rtl w:val="0"/>
        </w:rPr>
        <w:t xml:space="preserve"> .</w:t>
      </w:r>
      <w:r w:rsidDel="00000000" w:rsidR="00000000" w:rsidRPr="00000000">
        <w:rPr>
          <w:rtl w:val="0"/>
        </w:rPr>
      </w:r>
    </w:p>
  </w:footnote>
  <w:footnote w:id="2">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sz w:val="18"/>
          <w:szCs w:val="18"/>
          <w:rtl w:val="0"/>
        </w:rPr>
        <w:t xml:space="preserve">INSTITUTO FEDERAL DE ALAGOAS</w:t>
      </w:r>
      <w:r w:rsidDel="00000000" w:rsidR="00000000" w:rsidRPr="00000000">
        <w:rPr>
          <w:color w:val="000000"/>
          <w:sz w:val="18"/>
          <w:szCs w:val="18"/>
          <w:rtl w:val="0"/>
        </w:rPr>
        <w:t xml:space="preserve">. </w:t>
      </w:r>
      <w:hyperlink r:id="rId3">
        <w:r w:rsidDel="00000000" w:rsidR="00000000" w:rsidRPr="00000000">
          <w:rPr>
            <w:color w:val="1155cc"/>
            <w:sz w:val="18"/>
            <w:szCs w:val="18"/>
            <w:u w:val="single"/>
            <w:rtl w:val="0"/>
          </w:rPr>
          <w:t xml:space="preserve">regina.brasileiro@ifal.edu.br</w:t>
        </w:r>
      </w:hyperlink>
      <w:r w:rsidDel="00000000" w:rsidR="00000000" w:rsidRPr="00000000">
        <w:rPr>
          <w:sz w:val="18"/>
          <w:szCs w:val="18"/>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-720089</wp:posOffset>
          </wp:positionH>
          <wp:positionV relativeFrom="paragraph">
            <wp:posOffset>-450214</wp:posOffset>
          </wp:positionV>
          <wp:extent cx="7577455" cy="1079500"/>
          <wp:effectExtent b="0" l="0" r="0" t="0"/>
          <wp:wrapSquare wrapText="bothSides" distB="0" distT="0" distL="114300" distR="114300"/>
          <wp:docPr descr="Diagrama&#10;&#10;O conteúdo gerado por IA pode estar incorreto." id="2135786176" name="image1.jpg"/>
          <a:graphic>
            <a:graphicData uri="http://schemas.openxmlformats.org/drawingml/2006/picture">
              <pic:pic>
                <pic:nvPicPr>
                  <pic:cNvPr descr="Diagrama&#10;&#10;O conteúdo gerado por IA pode estar incorreto." id="0" name="image1.jpg"/>
                  <pic:cNvPicPr preferRelativeResize="0"/>
                </pic:nvPicPr>
                <pic:blipFill>
                  <a:blip r:embed="rId1"/>
                  <a:srcRect b="0" l="0" r="0" t="0"/>
                  <a:stretch>
                    <a:fillRect/>
                  </a:stretch>
                </pic:blipFill>
                <pic:spPr>
                  <a:xfrm>
                    <a:off x="0" y="0"/>
                    <a:ext cx="7577455" cy="1079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8F0BC3"/>
    <w:pPr>
      <w:tabs>
        <w:tab w:val="center" w:pos="4252"/>
        <w:tab w:val="right" w:pos="8504"/>
      </w:tabs>
      <w:spacing w:line="240" w:lineRule="auto"/>
    </w:pPr>
  </w:style>
  <w:style w:type="character" w:styleId="CabealhoChar" w:customStyle="1">
    <w:name w:val="Cabeçalho Char"/>
    <w:basedOn w:val="Fontepargpadro"/>
    <w:link w:val="Cabealho"/>
    <w:uiPriority w:val="99"/>
    <w:rsid w:val="008F0BC3"/>
    <w:rPr>
      <w:rFonts w:ascii="Calibri" w:cs="Calibri" w:eastAsia="Calibri" w:hAnsi="Calibri"/>
      <w:lang w:eastAsia="pt-BR"/>
    </w:rPr>
  </w:style>
  <w:style w:type="paragraph" w:styleId="Rodap">
    <w:name w:val="footer"/>
    <w:basedOn w:val="Normal"/>
    <w:link w:val="RodapChar"/>
    <w:uiPriority w:val="99"/>
    <w:unhideWhenUsed w:val="1"/>
    <w:rsid w:val="008F0BC3"/>
    <w:pPr>
      <w:tabs>
        <w:tab w:val="center" w:pos="4252"/>
        <w:tab w:val="right" w:pos="8504"/>
      </w:tabs>
      <w:spacing w:line="240" w:lineRule="auto"/>
    </w:pPr>
  </w:style>
  <w:style w:type="character" w:styleId="RodapChar" w:customStyle="1">
    <w:name w:val="Rodapé Char"/>
    <w:basedOn w:val="Fontepargpadro"/>
    <w:link w:val="Rodap"/>
    <w:uiPriority w:val="99"/>
    <w:rsid w:val="008F0BC3"/>
    <w:rPr>
      <w:rFonts w:ascii="Calibri" w:cs="Calibri" w:eastAsia="Calibri" w:hAnsi="Calibri"/>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searchgate.net/publication/363623043_Percepcoes_de_professores_acerca_do_curriculo_integrado_no_Instituto_Federal_de_Educacao_Ciencia_e_Tecnologia_do_Rio_Grande_do_Norte_IFRN" TargetMode="External"/><Relationship Id="rId10" Type="http://schemas.openxmlformats.org/officeDocument/2006/relationships/hyperlink" Target="https://www.educacionfpydeportes.gob.es/revista-de-educacion/va/dam/jcr:31ae829a-c8aa-48bd-9e13-32598dfe62d9/re35009por-pdf.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ortal.mec.gov.br/index.php?option=com_docman&amp;view=download&amp;alias=167931-rcp001-21&amp;category_slug=janeiro-2021-pdf&amp;Itemid=3019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planalto.gov.br/ccivil_03/_Ato2007-2010/2008/Lei/L11892.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rzg1@aluno.ifal.edu.br" TargetMode="External"/><Relationship Id="rId2" Type="http://schemas.openxmlformats.org/officeDocument/2006/relationships/hyperlink" Target="mailto:jgnr1@aluno.ifal.edu.br" TargetMode="External"/><Relationship Id="rId3" Type="http://schemas.openxmlformats.org/officeDocument/2006/relationships/hyperlink" Target="mailto:regina.brasileiro@ifal.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e0sxze2SfxA+bU75vR6ywuC9A==">CgMxLjA4AHIhMWpkZ3M5Z19YNXh5aDluWU1way1vWms3TEpXcG1qY2R1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2025-06-10T00:49:00Z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