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DBCD6" w14:textId="77777777" w:rsidR="009B4014" w:rsidRDefault="00E64BAF">
      <w:r>
        <w:rPr>
          <w:noProof/>
          <w:lang w:eastAsia="pt-BR"/>
        </w:rPr>
        <w:drawing>
          <wp:inline distT="0" distB="0" distL="0" distR="0" wp14:anchorId="12777CED" wp14:editId="0D00563C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23482" w14:textId="579A84B9" w:rsidR="00342DF4" w:rsidRDefault="00965819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 HORTA ESCOLAR E O ENSINO DE MATEMÁTICA: UMA INVESTIGAÇÃO A PARTIR DA PESQUISA-AÇÃO </w:t>
      </w:r>
    </w:p>
    <w:p w14:paraId="2CA5461B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B7F3C58" w14:textId="0184FB20" w:rsidR="00342DF4" w:rsidRDefault="006B225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Nayara Borges de Oliveira Corrêa</w:t>
      </w:r>
    </w:p>
    <w:p w14:paraId="3B3AE133" w14:textId="51F41AAD" w:rsidR="00342DF4" w:rsidRDefault="006B225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Federal de Goiás</w:t>
      </w:r>
    </w:p>
    <w:p w14:paraId="5CDE2436" w14:textId="61D47C35" w:rsidR="00342DF4" w:rsidRDefault="006B225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matnayaborges@hotmail.com</w:t>
      </w:r>
    </w:p>
    <w:p w14:paraId="51201EC8" w14:textId="2EE7F52A" w:rsidR="00342DF4" w:rsidRDefault="006B225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Claudio Roberto Machado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Benite</w:t>
      </w:r>
      <w:proofErr w:type="spellEnd"/>
    </w:p>
    <w:p w14:paraId="262A6E46" w14:textId="77777777" w:rsidR="006B2254" w:rsidRDefault="006B2254" w:rsidP="006B225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Federal de Goiás</w:t>
      </w:r>
    </w:p>
    <w:p w14:paraId="558C66BD" w14:textId="77777777" w:rsidR="006B2254" w:rsidRDefault="006B225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2254">
        <w:rPr>
          <w:rFonts w:ascii="Times New Roman" w:eastAsia="Times New Roman" w:hAnsi="Times New Roman" w:cs="Times New Roman"/>
          <w:sz w:val="24"/>
          <w:szCs w:val="24"/>
          <w:lang w:eastAsia="pt-BR"/>
        </w:rPr>
        <w:t>claudiobenite@ufg.br</w:t>
      </w:r>
    </w:p>
    <w:p w14:paraId="7CBEFC22" w14:textId="77777777" w:rsidR="00FA7BB0" w:rsidRDefault="00FA7BB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641A36C" w14:textId="5AB5DE57" w:rsidR="00342DF4" w:rsidRDefault="00342DF4" w:rsidP="00B616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6B2254" w:rsidRPr="006B2254">
        <w:rPr>
          <w:b/>
          <w:bCs/>
          <w:color w:val="919298"/>
          <w:sz w:val="18"/>
          <w:szCs w:val="18"/>
          <w:shd w:val="clear" w:color="auto" w:fill="F7F9FA"/>
        </w:rPr>
        <w:t xml:space="preserve"> </w:t>
      </w:r>
      <w:r w:rsidR="006B2254" w:rsidRPr="006B225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 – Educação do Campo, Indígena e Quilombola: saberes, territórios e direitos</w:t>
      </w:r>
    </w:p>
    <w:p w14:paraId="5F2730F0" w14:textId="79989E72" w:rsidR="00342DF4" w:rsidRDefault="00342DF4" w:rsidP="00B616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91518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Educação do Campo; Ensino de Matemática; Pesquisa-ação.</w:t>
      </w:r>
    </w:p>
    <w:p w14:paraId="4B81185E" w14:textId="77777777" w:rsidR="00FA7BB0" w:rsidRDefault="00FA7BB0" w:rsidP="00B616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720960F8" w14:textId="77777777" w:rsidR="0091518E" w:rsidRDefault="0091518E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320328B" w14:textId="6F0370C0" w:rsidR="00342DF4" w:rsidRDefault="00342DF4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1F4BC4A8" w14:textId="77777777" w:rsidR="006625F7" w:rsidRPr="006625F7" w:rsidRDefault="006625F7" w:rsidP="00B61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F7">
        <w:rPr>
          <w:rFonts w:ascii="Times New Roman" w:hAnsi="Times New Roman" w:cs="Times New Roman"/>
          <w:sz w:val="24"/>
          <w:szCs w:val="24"/>
        </w:rPr>
        <w:t>A Educação do Campo (EC), enquanto modalidade da educação básica, nasce das lutas dos movimentos sociais por uma escola pública que valorize identidades, culturas e modos de vida dos povos do campo (Lopes; Nascimento; Santos, 2025). Essa proposta rompe com modelos tradicionais, ao propor práticas educativas construídas em diálogo com os trabalhadores rurais e fundamentadas em seus saberes e experiências (Guimarães; Magnani; Lemes, 2022). Nesse contexto, a EC assume papel fundamental na promoção da justiça social, fortalecendo identidades, estimulando o protagonismo e defendendo direitos coletivos.</w:t>
      </w:r>
    </w:p>
    <w:p w14:paraId="38C41808" w14:textId="4B29AF26" w:rsidR="006625F7" w:rsidRDefault="009B1627" w:rsidP="00B61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 se tratando de</w:t>
      </w:r>
      <w:r w:rsidR="006625F7" w:rsidRPr="006625F7">
        <w:rPr>
          <w:rFonts w:ascii="Times New Roman" w:hAnsi="Times New Roman" w:cs="Times New Roman"/>
          <w:sz w:val="24"/>
          <w:szCs w:val="24"/>
        </w:rPr>
        <w:t xml:space="preserve"> práticas pedagógicas </w:t>
      </w:r>
      <w:r w:rsidRPr="006625F7">
        <w:rPr>
          <w:rFonts w:ascii="Times New Roman" w:hAnsi="Times New Roman" w:cs="Times New Roman"/>
          <w:sz w:val="24"/>
          <w:szCs w:val="24"/>
        </w:rPr>
        <w:t xml:space="preserve">contextualizadas, </w:t>
      </w:r>
      <w:r>
        <w:rPr>
          <w:rFonts w:ascii="Times New Roman" w:hAnsi="Times New Roman" w:cs="Times New Roman"/>
          <w:sz w:val="24"/>
          <w:szCs w:val="24"/>
        </w:rPr>
        <w:t>a</w:t>
      </w:r>
      <w:r w:rsidR="006625F7" w:rsidRPr="006625F7">
        <w:rPr>
          <w:rFonts w:ascii="Times New Roman" w:hAnsi="Times New Roman" w:cs="Times New Roman"/>
          <w:sz w:val="24"/>
          <w:szCs w:val="24"/>
        </w:rPr>
        <w:t xml:space="preserve"> horta escolar</w:t>
      </w:r>
      <w:r>
        <w:rPr>
          <w:rFonts w:ascii="Times New Roman" w:hAnsi="Times New Roman" w:cs="Times New Roman"/>
          <w:sz w:val="24"/>
          <w:szCs w:val="24"/>
        </w:rPr>
        <w:t xml:space="preserve"> merece destaque</w:t>
      </w:r>
      <w:r w:rsidR="006625F7" w:rsidRPr="006625F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se apresenta</w:t>
      </w:r>
      <w:r w:rsidR="006625F7" w:rsidRPr="006625F7">
        <w:rPr>
          <w:rFonts w:ascii="Times New Roman" w:hAnsi="Times New Roman" w:cs="Times New Roman"/>
          <w:sz w:val="24"/>
          <w:szCs w:val="24"/>
        </w:rPr>
        <w:t xml:space="preserve"> como um recurso didático que </w:t>
      </w:r>
      <w:r w:rsidR="0054744E">
        <w:rPr>
          <w:rFonts w:ascii="Times New Roman" w:hAnsi="Times New Roman" w:cs="Times New Roman"/>
          <w:sz w:val="24"/>
          <w:szCs w:val="24"/>
        </w:rPr>
        <w:t xml:space="preserve">possibilita a </w:t>
      </w:r>
      <w:r w:rsidR="006625F7" w:rsidRPr="006625F7">
        <w:rPr>
          <w:rFonts w:ascii="Times New Roman" w:hAnsi="Times New Roman" w:cs="Times New Roman"/>
          <w:sz w:val="24"/>
          <w:szCs w:val="24"/>
        </w:rPr>
        <w:t>articula</w:t>
      </w:r>
      <w:r w:rsidR="0054744E">
        <w:rPr>
          <w:rFonts w:ascii="Times New Roman" w:hAnsi="Times New Roman" w:cs="Times New Roman"/>
          <w:sz w:val="24"/>
          <w:szCs w:val="24"/>
        </w:rPr>
        <w:t>ção da</w:t>
      </w:r>
      <w:r w:rsidR="006625F7" w:rsidRPr="006625F7">
        <w:rPr>
          <w:rFonts w:ascii="Times New Roman" w:hAnsi="Times New Roman" w:cs="Times New Roman"/>
          <w:sz w:val="24"/>
          <w:szCs w:val="24"/>
        </w:rPr>
        <w:t xml:space="preserve"> teoria e prática e </w:t>
      </w:r>
      <w:r w:rsidR="0054744E">
        <w:rPr>
          <w:rFonts w:ascii="Times New Roman" w:hAnsi="Times New Roman" w:cs="Times New Roman"/>
          <w:sz w:val="24"/>
          <w:szCs w:val="24"/>
        </w:rPr>
        <w:t xml:space="preserve">promove a </w:t>
      </w:r>
      <w:r w:rsidR="006625F7" w:rsidRPr="006625F7">
        <w:rPr>
          <w:rFonts w:ascii="Times New Roman" w:hAnsi="Times New Roman" w:cs="Times New Roman"/>
          <w:sz w:val="24"/>
          <w:szCs w:val="24"/>
        </w:rPr>
        <w:t>aproxima</w:t>
      </w:r>
      <w:r w:rsidR="0054744E">
        <w:rPr>
          <w:rFonts w:ascii="Times New Roman" w:hAnsi="Times New Roman" w:cs="Times New Roman"/>
          <w:sz w:val="24"/>
          <w:szCs w:val="24"/>
        </w:rPr>
        <w:t>ção d</w:t>
      </w:r>
      <w:r w:rsidR="006625F7" w:rsidRPr="006625F7">
        <w:rPr>
          <w:rFonts w:ascii="Times New Roman" w:hAnsi="Times New Roman" w:cs="Times New Roman"/>
          <w:sz w:val="24"/>
          <w:szCs w:val="24"/>
        </w:rPr>
        <w:t xml:space="preserve">o ensino </w:t>
      </w:r>
      <w:r w:rsidR="0054744E">
        <w:rPr>
          <w:rFonts w:ascii="Times New Roman" w:hAnsi="Times New Roman" w:cs="Times New Roman"/>
          <w:sz w:val="24"/>
          <w:szCs w:val="24"/>
        </w:rPr>
        <w:t xml:space="preserve">com </w:t>
      </w:r>
      <w:r w:rsidR="006625F7" w:rsidRPr="006625F7">
        <w:rPr>
          <w:rFonts w:ascii="Times New Roman" w:hAnsi="Times New Roman" w:cs="Times New Roman"/>
          <w:sz w:val="24"/>
          <w:szCs w:val="24"/>
        </w:rPr>
        <w:t xml:space="preserve">a realidade dos estudantes (Silva </w:t>
      </w:r>
      <w:r w:rsidR="006625F7" w:rsidRPr="00B616FA">
        <w:rPr>
          <w:rFonts w:ascii="Times New Roman" w:hAnsi="Times New Roman" w:cs="Times New Roman"/>
          <w:i/>
          <w:iCs/>
          <w:sz w:val="24"/>
          <w:szCs w:val="24"/>
        </w:rPr>
        <w:t>et al</w:t>
      </w:r>
      <w:r w:rsidR="006625F7" w:rsidRPr="006625F7">
        <w:rPr>
          <w:rFonts w:ascii="Times New Roman" w:hAnsi="Times New Roman" w:cs="Times New Roman"/>
          <w:sz w:val="24"/>
          <w:szCs w:val="24"/>
        </w:rPr>
        <w:t xml:space="preserve">., 2023). Assim, o objetivo deste trabalho é investigar as potencialidades da utilização da horta escolar no ensino de Matemática, analisando como essa prática pode favorecer uma aprendizagem mais contextualizada e </w:t>
      </w:r>
      <w:r w:rsidR="006625F7">
        <w:rPr>
          <w:rFonts w:ascii="Times New Roman" w:hAnsi="Times New Roman" w:cs="Times New Roman"/>
          <w:sz w:val="24"/>
          <w:szCs w:val="24"/>
        </w:rPr>
        <w:t>efe</w:t>
      </w:r>
      <w:r w:rsidR="006625F7" w:rsidRPr="006625F7">
        <w:rPr>
          <w:rFonts w:ascii="Times New Roman" w:hAnsi="Times New Roman" w:cs="Times New Roman"/>
          <w:sz w:val="24"/>
          <w:szCs w:val="24"/>
        </w:rPr>
        <w:t>tiva</w:t>
      </w:r>
      <w:r w:rsidR="006625F7">
        <w:rPr>
          <w:rFonts w:ascii="Times New Roman" w:hAnsi="Times New Roman" w:cs="Times New Roman"/>
          <w:sz w:val="24"/>
          <w:szCs w:val="24"/>
        </w:rPr>
        <w:t xml:space="preserve"> na EC</w:t>
      </w:r>
      <w:r w:rsidR="006625F7" w:rsidRPr="006625F7">
        <w:rPr>
          <w:rFonts w:ascii="Times New Roman" w:hAnsi="Times New Roman" w:cs="Times New Roman"/>
          <w:sz w:val="24"/>
          <w:szCs w:val="24"/>
        </w:rPr>
        <w:t>.</w:t>
      </w:r>
    </w:p>
    <w:p w14:paraId="36B84C41" w14:textId="77777777" w:rsidR="00946BEB" w:rsidRPr="00B14B03" w:rsidRDefault="00946BEB" w:rsidP="00B61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892AD9" w14:textId="62B6204D" w:rsidR="00342DF4" w:rsidRPr="00B14B03" w:rsidRDefault="00342DF4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B14B0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274787DF" w14:textId="31854EB8" w:rsidR="00C52228" w:rsidRPr="00C52228" w:rsidRDefault="009B1627" w:rsidP="00B61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Os estudantes </w:t>
      </w:r>
      <w:r w:rsidR="00C52228"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do campo têm o direito a uma educação que se desenvolva em </w:t>
      </w:r>
      <w:r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harmonia</w:t>
      </w:r>
      <w:r w:rsidR="00C52228"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com 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local</w:t>
      </w:r>
      <w:r w:rsidR="00C52228"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onde vivem, articulada à sua cultura, às suas necessidades sociais e afetivas e à sua realidade cotidiana (</w:t>
      </w:r>
      <w:proofErr w:type="spellStart"/>
      <w:r w:rsidR="00C52228"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Caldart</w:t>
      </w:r>
      <w:proofErr w:type="spellEnd"/>
      <w:r w:rsidR="00C52228"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2002). Nessa perspectiva, </w:t>
      </w:r>
      <w:r w:rsidR="006D732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compreende-se</w:t>
      </w:r>
      <w:r w:rsidR="00C52228"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6D732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que</w:t>
      </w:r>
      <w:r w:rsidR="00C52228"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 E</w:t>
      </w:r>
      <w:r w:rsidR="006625F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</w:t>
      </w:r>
      <w:r w:rsidR="00C52228"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necessita </w:t>
      </w:r>
      <w:r w:rsidR="00C52228"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reconhecer e valorizar os saberes populares, a identidade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dos sujeitos do campo </w:t>
      </w:r>
      <w:r w:rsidR="00C52228"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 a defesa dos direitos humanos, </w:t>
      </w:r>
      <w:r w:rsidR="00BD4DE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promovendo ainda uma</w:t>
      </w:r>
      <w:r w:rsidR="00C52228"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formação crítica e política dos profissionais </w:t>
      </w:r>
      <w:r w:rsidR="00BD4DE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que atuam na</w:t>
      </w:r>
      <w:r w:rsidR="00C52228"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educação. Assim, </w:t>
      </w:r>
      <w:r w:rsidR="002D45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compreendemos que é</w:t>
      </w:r>
      <w:r w:rsidR="00C52228"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essencial que o processo educativo considere as especificidades locais, incorporando-as à prática pedagógica e à abordagem dos conteúdos escolares.</w:t>
      </w:r>
    </w:p>
    <w:p w14:paraId="7E342FC7" w14:textId="3A08868D" w:rsidR="00C52228" w:rsidRPr="00C52228" w:rsidRDefault="00C52228" w:rsidP="00B61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No ensino da </w:t>
      </w:r>
      <w:r w:rsidR="00B616F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</w:t>
      </w:r>
      <w:r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atemática, entretanto, Lima e Lima (2013) apontam que, tanto em contextos urbanos quanto rurais, ainda predomina um modelo tradicional marcado pela </w:t>
      </w:r>
      <w:r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 xml:space="preserve">repetição mecânica de exercícios, pela memorização de fórmulas e por metodologias pouco contextualizadas. </w:t>
      </w:r>
      <w:r w:rsidR="002D45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Assim</w:t>
      </w:r>
      <w:r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superar tais práticas implica promover uma educação matemática comprometida com a formação humana integral, capaz de ir além de perspectivas reducionistas e tecnicistas, mesmo quando estas utilizam diferentes recursos didáticos.</w:t>
      </w:r>
    </w:p>
    <w:p w14:paraId="3319E738" w14:textId="2E49EC59" w:rsidR="00C52228" w:rsidRDefault="00C52228" w:rsidP="00B61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Nesse cenário, a horta escolar se destaca como recurso pedagógico dinâmico, funcionando como um verdadeiro laboratório vivo que viabiliza experiências educativas em que teoria e prática se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articulam. </w:t>
      </w:r>
      <w:r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partir dela, os estudantes podem estabelecer relações entre os conceitos matemáticos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em sala de aula </w:t>
      </w:r>
      <w:r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 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seu cotidiano</w:t>
      </w:r>
      <w:r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2D45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podendo </w:t>
      </w:r>
      <w:r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atribui</w:t>
      </w:r>
      <w:r w:rsidR="002D45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</w:t>
      </w:r>
      <w:r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maior significado ao aprendizado 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podendo utilizá-lo para melhor</w:t>
      </w:r>
      <w:r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806EE3"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compreen</w:t>
      </w:r>
      <w:r w:rsidR="00806EE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são</w:t>
      </w:r>
      <w:r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transforma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ção d</w:t>
      </w:r>
      <w:r w:rsidRPr="00C5222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realidade em que estão inseridos </w:t>
      </w:r>
      <w:r w:rsidR="004C75CF" w:rsidRPr="00B14B03">
        <w:rPr>
          <w:rFonts w:ascii="Times New Roman" w:hAnsi="Times New Roman" w:cs="Times New Roman"/>
          <w:sz w:val="24"/>
          <w:szCs w:val="24"/>
        </w:rPr>
        <w:t xml:space="preserve">(Silva </w:t>
      </w:r>
      <w:r w:rsidR="004C75CF" w:rsidRPr="00B616FA">
        <w:rPr>
          <w:rFonts w:ascii="Times New Roman" w:hAnsi="Times New Roman" w:cs="Times New Roman"/>
          <w:i/>
          <w:iCs/>
          <w:sz w:val="24"/>
          <w:szCs w:val="24"/>
        </w:rPr>
        <w:t>et al</w:t>
      </w:r>
      <w:r w:rsidR="004C75CF" w:rsidRPr="00B14B03">
        <w:rPr>
          <w:rFonts w:ascii="Times New Roman" w:hAnsi="Times New Roman" w:cs="Times New Roman"/>
          <w:sz w:val="24"/>
          <w:szCs w:val="24"/>
        </w:rPr>
        <w:t>.</w:t>
      </w:r>
      <w:r w:rsidR="004C75CF">
        <w:rPr>
          <w:rFonts w:ascii="Times New Roman" w:hAnsi="Times New Roman" w:cs="Times New Roman"/>
          <w:sz w:val="24"/>
          <w:szCs w:val="24"/>
        </w:rPr>
        <w:t>, 2023).</w:t>
      </w:r>
    </w:p>
    <w:p w14:paraId="4BF8B3C4" w14:textId="77777777" w:rsidR="00663C0A" w:rsidRDefault="00663C0A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D1C6845" w14:textId="1BCABE71" w:rsidR="00342DF4" w:rsidRDefault="00342DF4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57499EAF" w14:textId="50709338" w:rsidR="00965819" w:rsidRDefault="00663C0A" w:rsidP="00B61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663C0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pesquisa desenvolvida possui natureza qualitativa e está fundamentada nos princípios da pesquisa-ação, conforme delineado por </w:t>
      </w:r>
      <w:proofErr w:type="spellStart"/>
      <w:r w:rsidRPr="00663C0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Thiollent</w:t>
      </w:r>
      <w:proofErr w:type="spellEnd"/>
      <w:r w:rsidRPr="00663C0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(2008). Essa escolha metodológica justifica-se pela possibilidade de articular investigação e prática, favorecendo a construção coletiva de soluções para os desafios identificados no contexto escolar. </w:t>
      </w:r>
    </w:p>
    <w:p w14:paraId="779CDA96" w14:textId="4358235C" w:rsidR="00C27E66" w:rsidRDefault="00663C0A" w:rsidP="00B61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663C0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Assim, a pesquisa buscou promover espaços de diálogo e colaboração entre </w:t>
      </w:r>
      <w:r w:rsidR="0070324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professora</w:t>
      </w:r>
      <w:r w:rsidRPr="00663C0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estudantes e comunidade escolar, de modo a construir práticas pedagógicas contextualizadas e alinhadas às necessidades locais. A horta escolar foi adotada como eixo articulador das ações, possibilitando a integração entre teoria e prática e a promoção de aprendizagens</w:t>
      </w:r>
      <w:r w:rsidR="0096581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efetivas</w:t>
      </w:r>
      <w:r w:rsidRPr="00663C0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especialmente no ensino da Matemática, por meio da Ap</w:t>
      </w:r>
      <w:r w:rsidRPr="005C7B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rendizagem Baseada em Projetos (ABP).</w:t>
      </w:r>
      <w:r w:rsidR="005C7B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5C7BB5" w:rsidRPr="005C7B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estudo foi realizado com </w:t>
      </w:r>
      <w:r w:rsidR="005C7B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estudantes</w:t>
      </w:r>
      <w:r w:rsidR="005C7BB5" w:rsidRPr="005C7BB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do 9º ano do turno vespertino de uma escola do campo situada no município de Pirenópolis, Goiás.</w:t>
      </w:r>
    </w:p>
    <w:p w14:paraId="6531F086" w14:textId="77777777" w:rsidR="005C7BB5" w:rsidRPr="005C7BB5" w:rsidRDefault="005C7BB5" w:rsidP="00B61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9C74A86" w14:textId="77777777" w:rsidR="00342DF4" w:rsidRDefault="00342DF4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14:paraId="7FDB12A4" w14:textId="56C922D3" w:rsidR="00DC0D6D" w:rsidRPr="00DA1D3F" w:rsidRDefault="00DC0D6D" w:rsidP="00B61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D3F">
        <w:rPr>
          <w:rFonts w:ascii="Times New Roman" w:hAnsi="Times New Roman" w:cs="Times New Roman"/>
          <w:sz w:val="24"/>
          <w:szCs w:val="24"/>
        </w:rPr>
        <w:t>A análise</w:t>
      </w:r>
      <w:r w:rsidR="009B1627">
        <w:rPr>
          <w:rFonts w:ascii="Times New Roman" w:hAnsi="Times New Roman" w:cs="Times New Roman"/>
          <w:sz w:val="24"/>
          <w:szCs w:val="24"/>
        </w:rPr>
        <w:t xml:space="preserve"> dos dados</w:t>
      </w:r>
      <w:r w:rsidRPr="00DA1D3F">
        <w:rPr>
          <w:rFonts w:ascii="Times New Roman" w:hAnsi="Times New Roman" w:cs="Times New Roman"/>
          <w:sz w:val="24"/>
          <w:szCs w:val="24"/>
        </w:rPr>
        <w:t xml:space="preserve"> concentrou-se no processo investigativo desenvolvido no âmbito da pesquisa-ação, tendo a horta escolar como recurso pedagógico. As atividades seguiram os princípios da ABP</w:t>
      </w:r>
      <w:r w:rsidRPr="00DC0D6D">
        <w:rPr>
          <w:rFonts w:ascii="Times New Roman" w:hAnsi="Times New Roman" w:cs="Times New Roman"/>
          <w:sz w:val="24"/>
          <w:szCs w:val="24"/>
        </w:rPr>
        <w:t xml:space="preserve"> </w:t>
      </w:r>
      <w:r w:rsidRPr="00DA1D3F">
        <w:rPr>
          <w:rFonts w:ascii="Times New Roman" w:hAnsi="Times New Roman" w:cs="Times New Roman"/>
          <w:sz w:val="24"/>
          <w:szCs w:val="24"/>
        </w:rPr>
        <w:t xml:space="preserve">(Bender, 2014), orientadas pela questão norteadora: </w:t>
      </w:r>
      <w:r w:rsidRPr="00DA1D3F">
        <w:rPr>
          <w:rFonts w:ascii="Times New Roman" w:hAnsi="Times New Roman" w:cs="Times New Roman"/>
          <w:i/>
          <w:iCs/>
          <w:sz w:val="24"/>
          <w:szCs w:val="24"/>
        </w:rPr>
        <w:t xml:space="preserve">Como organizar a horta </w:t>
      </w:r>
      <w:r w:rsidR="009B1627">
        <w:rPr>
          <w:rFonts w:ascii="Times New Roman" w:hAnsi="Times New Roman" w:cs="Times New Roman"/>
          <w:i/>
          <w:iCs/>
          <w:sz w:val="24"/>
          <w:szCs w:val="24"/>
        </w:rPr>
        <w:t xml:space="preserve">escolar </w:t>
      </w:r>
      <w:r w:rsidRPr="00DA1D3F">
        <w:rPr>
          <w:rFonts w:ascii="Times New Roman" w:hAnsi="Times New Roman" w:cs="Times New Roman"/>
          <w:i/>
          <w:iCs/>
          <w:sz w:val="24"/>
          <w:szCs w:val="24"/>
        </w:rPr>
        <w:t xml:space="preserve">em canteiros, considerando seus perímetros e </w:t>
      </w:r>
      <w:proofErr w:type="gramStart"/>
      <w:r w:rsidRPr="00DA1D3F">
        <w:rPr>
          <w:rFonts w:ascii="Times New Roman" w:hAnsi="Times New Roman" w:cs="Times New Roman"/>
          <w:i/>
          <w:iCs/>
          <w:sz w:val="24"/>
          <w:szCs w:val="24"/>
        </w:rPr>
        <w:t>áreas?</w:t>
      </w:r>
      <w:r w:rsidRPr="00DA1D3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A1D3F">
        <w:rPr>
          <w:rFonts w:ascii="Times New Roman" w:hAnsi="Times New Roman" w:cs="Times New Roman"/>
          <w:sz w:val="24"/>
          <w:szCs w:val="24"/>
        </w:rPr>
        <w:t xml:space="preserve"> Essa problematização p</w:t>
      </w:r>
      <w:r w:rsidR="009B1627">
        <w:rPr>
          <w:rFonts w:ascii="Times New Roman" w:hAnsi="Times New Roman" w:cs="Times New Roman"/>
          <w:sz w:val="24"/>
          <w:szCs w:val="24"/>
        </w:rPr>
        <w:t>ossibilitou</w:t>
      </w:r>
      <w:r w:rsidRPr="00DA1D3F">
        <w:rPr>
          <w:rFonts w:ascii="Times New Roman" w:hAnsi="Times New Roman" w:cs="Times New Roman"/>
          <w:sz w:val="24"/>
          <w:szCs w:val="24"/>
        </w:rPr>
        <w:t xml:space="preserve"> observar </w:t>
      </w:r>
      <w:r w:rsidR="009B1627">
        <w:rPr>
          <w:rFonts w:ascii="Times New Roman" w:hAnsi="Times New Roman" w:cs="Times New Roman"/>
          <w:sz w:val="24"/>
          <w:szCs w:val="24"/>
        </w:rPr>
        <w:t xml:space="preserve">como </w:t>
      </w:r>
      <w:r w:rsidRPr="00DA1D3F">
        <w:rPr>
          <w:rFonts w:ascii="Times New Roman" w:hAnsi="Times New Roman" w:cs="Times New Roman"/>
          <w:sz w:val="24"/>
          <w:szCs w:val="24"/>
        </w:rPr>
        <w:t xml:space="preserve">os estudantes mobilizaram conceitos </w:t>
      </w:r>
      <w:r w:rsidR="009B1627">
        <w:rPr>
          <w:rFonts w:ascii="Times New Roman" w:hAnsi="Times New Roman" w:cs="Times New Roman"/>
          <w:sz w:val="24"/>
          <w:szCs w:val="24"/>
        </w:rPr>
        <w:t>de Matemática frente a</w:t>
      </w:r>
      <w:r w:rsidRPr="00DA1D3F">
        <w:rPr>
          <w:rFonts w:ascii="Times New Roman" w:hAnsi="Times New Roman" w:cs="Times New Roman"/>
          <w:sz w:val="24"/>
          <w:szCs w:val="24"/>
        </w:rPr>
        <w:t xml:space="preserve"> situações concretas.</w:t>
      </w:r>
    </w:p>
    <w:p w14:paraId="12671192" w14:textId="6F1131B5" w:rsidR="00DC0D6D" w:rsidRPr="00DA1D3F" w:rsidRDefault="0054744E" w:rsidP="00B61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Inicialmente com as</w:t>
      </w:r>
      <w:r w:rsidR="00DC0D6D" w:rsidRPr="00DA1D3F">
        <w:rPr>
          <w:rFonts w:ascii="Times New Roman" w:hAnsi="Times New Roman" w:cs="Times New Roman"/>
          <w:sz w:val="24"/>
          <w:szCs w:val="24"/>
        </w:rPr>
        <w:t xml:space="preserve"> primeiras discussões, os alunos destacaram a necessidade de compreender o espaço total da horta antes de pensar em sua divisão:</w:t>
      </w:r>
    </w:p>
    <w:p w14:paraId="1719C869" w14:textId="77777777" w:rsidR="00DC0D6D" w:rsidRPr="00DA1D3F" w:rsidRDefault="00DC0D6D" w:rsidP="00B616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1D3F">
        <w:rPr>
          <w:rFonts w:ascii="Times New Roman" w:hAnsi="Times New Roman" w:cs="Times New Roman"/>
          <w:sz w:val="24"/>
          <w:szCs w:val="24"/>
        </w:rPr>
        <w:t xml:space="preserve">A1: </w:t>
      </w:r>
      <w:r w:rsidRPr="00DA1D3F">
        <w:rPr>
          <w:rFonts w:ascii="Times New Roman" w:hAnsi="Times New Roman" w:cs="Times New Roman"/>
          <w:i/>
          <w:iCs/>
          <w:sz w:val="24"/>
          <w:szCs w:val="24"/>
        </w:rPr>
        <w:t>“Primeiro a gente precisa saber o tamanho total da horta professora.”</w:t>
      </w:r>
    </w:p>
    <w:p w14:paraId="532A2ABA" w14:textId="77777777" w:rsidR="00DC0D6D" w:rsidRPr="00DA1D3F" w:rsidRDefault="00DC0D6D" w:rsidP="00B616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1D3F">
        <w:rPr>
          <w:rFonts w:ascii="Times New Roman" w:hAnsi="Times New Roman" w:cs="Times New Roman"/>
          <w:sz w:val="24"/>
          <w:szCs w:val="24"/>
        </w:rPr>
        <w:t xml:space="preserve">A2: </w:t>
      </w:r>
      <w:r w:rsidRPr="00DA1D3F">
        <w:rPr>
          <w:rFonts w:ascii="Times New Roman" w:hAnsi="Times New Roman" w:cs="Times New Roman"/>
          <w:i/>
          <w:iCs/>
          <w:sz w:val="24"/>
          <w:szCs w:val="24"/>
        </w:rPr>
        <w:t>“Dá para dividir a horta em vários canteiros, a horta é grande.”</w:t>
      </w:r>
    </w:p>
    <w:p w14:paraId="13B5FF75" w14:textId="77777777" w:rsidR="00DC0D6D" w:rsidRDefault="00DC0D6D" w:rsidP="00B616F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A1D3F">
        <w:rPr>
          <w:rFonts w:ascii="Times New Roman" w:hAnsi="Times New Roman" w:cs="Times New Roman"/>
          <w:sz w:val="24"/>
          <w:szCs w:val="24"/>
        </w:rPr>
        <w:t xml:space="preserve">A3: </w:t>
      </w:r>
      <w:r w:rsidRPr="00DA1D3F">
        <w:rPr>
          <w:rFonts w:ascii="Times New Roman" w:hAnsi="Times New Roman" w:cs="Times New Roman"/>
          <w:i/>
          <w:iCs/>
          <w:sz w:val="24"/>
          <w:szCs w:val="24"/>
        </w:rPr>
        <w:t>“Vamos ter que medir a horta primeiro.”</w:t>
      </w:r>
    </w:p>
    <w:p w14:paraId="5F1746B0" w14:textId="77777777" w:rsidR="0054744E" w:rsidRPr="00DA1D3F" w:rsidRDefault="0054744E" w:rsidP="00B616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815F5D5" w14:textId="5238AF45" w:rsidR="00DC0D6D" w:rsidRDefault="00DC0D6D" w:rsidP="00B61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D3F">
        <w:rPr>
          <w:rFonts w:ascii="Times New Roman" w:hAnsi="Times New Roman" w:cs="Times New Roman"/>
          <w:sz w:val="24"/>
          <w:szCs w:val="24"/>
        </w:rPr>
        <w:t xml:space="preserve">Essas falas evidenciam uma postura investigativa coerente com </w:t>
      </w:r>
      <w:r w:rsidR="0054744E">
        <w:rPr>
          <w:rFonts w:ascii="Times New Roman" w:hAnsi="Times New Roman" w:cs="Times New Roman"/>
          <w:sz w:val="24"/>
          <w:szCs w:val="24"/>
        </w:rPr>
        <w:t xml:space="preserve">o que propõe </w:t>
      </w:r>
      <w:r w:rsidRPr="00DA1D3F">
        <w:rPr>
          <w:rFonts w:ascii="Times New Roman" w:hAnsi="Times New Roman" w:cs="Times New Roman"/>
          <w:sz w:val="24"/>
          <w:szCs w:val="24"/>
        </w:rPr>
        <w:t xml:space="preserve">a ABP. Enquanto A1 e A3 ressaltam a importância da coleta de dados para fundamentar os cálculos, A2 </w:t>
      </w:r>
      <w:r w:rsidR="009B1627">
        <w:rPr>
          <w:rFonts w:ascii="Times New Roman" w:hAnsi="Times New Roman" w:cs="Times New Roman"/>
          <w:sz w:val="24"/>
          <w:szCs w:val="24"/>
        </w:rPr>
        <w:t xml:space="preserve">aponta </w:t>
      </w:r>
      <w:r w:rsidRPr="00DA1D3F">
        <w:rPr>
          <w:rFonts w:ascii="Times New Roman" w:hAnsi="Times New Roman" w:cs="Times New Roman"/>
          <w:sz w:val="24"/>
          <w:szCs w:val="24"/>
        </w:rPr>
        <w:t xml:space="preserve">uma solução ao </w:t>
      </w:r>
      <w:r w:rsidR="009B1627">
        <w:rPr>
          <w:rFonts w:ascii="Times New Roman" w:hAnsi="Times New Roman" w:cs="Times New Roman"/>
          <w:sz w:val="24"/>
          <w:szCs w:val="24"/>
        </w:rPr>
        <w:t>propor a relação d</w:t>
      </w:r>
      <w:r w:rsidRPr="00DA1D3F">
        <w:rPr>
          <w:rFonts w:ascii="Times New Roman" w:hAnsi="Times New Roman" w:cs="Times New Roman"/>
          <w:sz w:val="24"/>
          <w:szCs w:val="24"/>
        </w:rPr>
        <w:t xml:space="preserve">a dimensão do espaço à sua possível divisão em partes. Assim, percebe-se que os estudantes compreenderam a medição como condição </w:t>
      </w:r>
      <w:r w:rsidR="000468AA">
        <w:rPr>
          <w:rFonts w:ascii="Times New Roman" w:hAnsi="Times New Roman" w:cs="Times New Roman"/>
          <w:sz w:val="24"/>
          <w:szCs w:val="24"/>
        </w:rPr>
        <w:t xml:space="preserve">importante </w:t>
      </w:r>
      <w:r w:rsidRPr="00DA1D3F">
        <w:rPr>
          <w:rFonts w:ascii="Times New Roman" w:hAnsi="Times New Roman" w:cs="Times New Roman"/>
          <w:sz w:val="24"/>
          <w:szCs w:val="24"/>
        </w:rPr>
        <w:t>para a resolução do problema</w:t>
      </w:r>
      <w:r w:rsidR="000468AA">
        <w:rPr>
          <w:rFonts w:ascii="Times New Roman" w:hAnsi="Times New Roman" w:cs="Times New Roman"/>
          <w:sz w:val="24"/>
          <w:szCs w:val="24"/>
        </w:rPr>
        <w:t xml:space="preserve"> proposto</w:t>
      </w:r>
      <w:r w:rsidRPr="00DA1D3F">
        <w:rPr>
          <w:rFonts w:ascii="Times New Roman" w:hAnsi="Times New Roman" w:cs="Times New Roman"/>
          <w:sz w:val="24"/>
          <w:szCs w:val="24"/>
        </w:rPr>
        <w:t>.</w:t>
      </w:r>
    </w:p>
    <w:p w14:paraId="778F8DE7" w14:textId="19BA9C5B" w:rsidR="000468AA" w:rsidRPr="000468AA" w:rsidRDefault="000468AA" w:rsidP="00B616FA">
      <w:pPr>
        <w:tabs>
          <w:tab w:val="left" w:pos="358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37D48F3" w14:textId="4F53AF65" w:rsidR="00F96C5E" w:rsidRPr="00192A4F" w:rsidRDefault="00F96C5E" w:rsidP="00B61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A4F">
        <w:rPr>
          <w:rFonts w:ascii="Times New Roman" w:hAnsi="Times New Roman" w:cs="Times New Roman"/>
        </w:rPr>
        <w:lastRenderedPageBreak/>
        <w:t xml:space="preserve">  </w:t>
      </w:r>
      <w:r w:rsidRPr="00192A4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5A03986" wp14:editId="245223BE">
            <wp:extent cx="2245766" cy="2210916"/>
            <wp:effectExtent l="0" t="0" r="2540" b="0"/>
            <wp:docPr id="2027433502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766" cy="2210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DD9A20" w14:textId="443B8F82" w:rsidR="00192A4F" w:rsidRPr="00192A4F" w:rsidRDefault="00192A4F" w:rsidP="00B61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A4F">
        <w:rPr>
          <w:rFonts w:ascii="Times New Roman" w:hAnsi="Times New Roman" w:cs="Times New Roman"/>
          <w:b/>
          <w:bCs/>
          <w:sz w:val="24"/>
          <w:szCs w:val="24"/>
        </w:rPr>
        <w:t>Figura 1</w:t>
      </w:r>
      <w:r w:rsidRPr="00192A4F">
        <w:rPr>
          <w:rFonts w:ascii="Times New Roman" w:hAnsi="Times New Roman" w:cs="Times New Roman"/>
          <w:sz w:val="24"/>
          <w:szCs w:val="24"/>
        </w:rPr>
        <w:t>: medição do espaço da horta.</w:t>
      </w:r>
    </w:p>
    <w:p w14:paraId="690EEF39" w14:textId="77777777" w:rsidR="00192A4F" w:rsidRDefault="00192A4F" w:rsidP="00B616FA">
      <w:pPr>
        <w:spacing w:after="0" w:line="240" w:lineRule="auto"/>
        <w:ind w:firstLine="709"/>
        <w:jc w:val="both"/>
      </w:pPr>
    </w:p>
    <w:p w14:paraId="0D84CD6A" w14:textId="11A40EB9" w:rsidR="00DC0D6D" w:rsidRPr="00DA1D3F" w:rsidRDefault="00DC0D6D" w:rsidP="00B61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D3F">
        <w:rPr>
          <w:rFonts w:ascii="Times New Roman" w:hAnsi="Times New Roman" w:cs="Times New Roman"/>
          <w:sz w:val="24"/>
          <w:szCs w:val="24"/>
        </w:rPr>
        <w:t xml:space="preserve">No processo de investigação, ao realizar medições </w:t>
      </w:r>
      <w:r w:rsidR="00192A4F">
        <w:rPr>
          <w:rFonts w:ascii="Times New Roman" w:hAnsi="Times New Roman" w:cs="Times New Roman"/>
          <w:sz w:val="24"/>
          <w:szCs w:val="24"/>
        </w:rPr>
        <w:t>(</w:t>
      </w:r>
      <w:r w:rsidR="00192A4F" w:rsidRPr="00192A4F">
        <w:rPr>
          <w:rFonts w:ascii="Times New Roman" w:hAnsi="Times New Roman" w:cs="Times New Roman"/>
          <w:sz w:val="24"/>
          <w:szCs w:val="24"/>
        </w:rPr>
        <w:t>Fig. 1)</w:t>
      </w:r>
      <w:r w:rsidR="00192A4F">
        <w:rPr>
          <w:rFonts w:ascii="Times New Roman" w:hAnsi="Times New Roman" w:cs="Times New Roman"/>
          <w:sz w:val="24"/>
          <w:szCs w:val="24"/>
        </w:rPr>
        <w:t xml:space="preserve"> </w:t>
      </w:r>
      <w:r w:rsidRPr="00DA1D3F">
        <w:rPr>
          <w:rFonts w:ascii="Times New Roman" w:hAnsi="Times New Roman" w:cs="Times New Roman"/>
          <w:sz w:val="24"/>
          <w:szCs w:val="24"/>
        </w:rPr>
        <w:t>e registrar as dimensões da horta</w:t>
      </w:r>
      <w:r w:rsidR="00066E40">
        <w:rPr>
          <w:rFonts w:ascii="Times New Roman" w:hAnsi="Times New Roman" w:cs="Times New Roman"/>
          <w:sz w:val="24"/>
          <w:szCs w:val="24"/>
        </w:rPr>
        <w:t xml:space="preserve"> em metros</w:t>
      </w:r>
      <w:r w:rsidRPr="00DA1D3F">
        <w:rPr>
          <w:rFonts w:ascii="Times New Roman" w:hAnsi="Times New Roman" w:cs="Times New Roman"/>
          <w:sz w:val="24"/>
          <w:szCs w:val="24"/>
        </w:rPr>
        <w:t xml:space="preserve">, </w:t>
      </w:r>
      <w:r w:rsidR="0054744E">
        <w:rPr>
          <w:rFonts w:ascii="Times New Roman" w:hAnsi="Times New Roman" w:cs="Times New Roman"/>
          <w:sz w:val="24"/>
          <w:szCs w:val="24"/>
        </w:rPr>
        <w:t>outras</w:t>
      </w:r>
      <w:r w:rsidRPr="00DA1D3F">
        <w:rPr>
          <w:rFonts w:ascii="Times New Roman" w:hAnsi="Times New Roman" w:cs="Times New Roman"/>
          <w:sz w:val="24"/>
          <w:szCs w:val="24"/>
        </w:rPr>
        <w:t xml:space="preserve"> percepções emergiram:</w:t>
      </w:r>
    </w:p>
    <w:p w14:paraId="3AC9179A" w14:textId="6B69F895" w:rsidR="00DC0D6D" w:rsidRPr="00DA1D3F" w:rsidRDefault="00DC0D6D" w:rsidP="00B616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1D3F">
        <w:rPr>
          <w:rFonts w:ascii="Times New Roman" w:hAnsi="Times New Roman" w:cs="Times New Roman"/>
          <w:sz w:val="24"/>
          <w:szCs w:val="24"/>
        </w:rPr>
        <w:t xml:space="preserve">A4: </w:t>
      </w:r>
      <w:r w:rsidRPr="00DA1D3F">
        <w:rPr>
          <w:rFonts w:ascii="Times New Roman" w:hAnsi="Times New Roman" w:cs="Times New Roman"/>
          <w:i/>
          <w:iCs/>
          <w:sz w:val="24"/>
          <w:szCs w:val="24"/>
        </w:rPr>
        <w:t>“Nossa professora, foi legal fazer as medidas de verdade aqui na horta.”</w:t>
      </w:r>
    </w:p>
    <w:p w14:paraId="4F9B3C58" w14:textId="77777777" w:rsidR="00DC0D6D" w:rsidRDefault="00DC0D6D" w:rsidP="00B616F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A1D3F">
        <w:rPr>
          <w:rFonts w:ascii="Times New Roman" w:hAnsi="Times New Roman" w:cs="Times New Roman"/>
          <w:sz w:val="24"/>
          <w:szCs w:val="24"/>
        </w:rPr>
        <w:t xml:space="preserve">A5: </w:t>
      </w:r>
      <w:r w:rsidRPr="00DA1D3F">
        <w:rPr>
          <w:rFonts w:ascii="Times New Roman" w:hAnsi="Times New Roman" w:cs="Times New Roman"/>
          <w:i/>
          <w:iCs/>
          <w:sz w:val="24"/>
          <w:szCs w:val="24"/>
        </w:rPr>
        <w:t xml:space="preserve">“Agora eu entendi o que a senhora quer dizer com o perímetro: é como </w:t>
      </w:r>
      <w:proofErr w:type="spellStart"/>
      <w:r w:rsidRPr="00DA1D3F">
        <w:rPr>
          <w:rFonts w:ascii="Times New Roman" w:hAnsi="Times New Roman" w:cs="Times New Roman"/>
          <w:i/>
          <w:iCs/>
          <w:sz w:val="24"/>
          <w:szCs w:val="24"/>
        </w:rPr>
        <w:t>a cerca</w:t>
      </w:r>
      <w:proofErr w:type="spellEnd"/>
      <w:r w:rsidRPr="00DA1D3F">
        <w:rPr>
          <w:rFonts w:ascii="Times New Roman" w:hAnsi="Times New Roman" w:cs="Times New Roman"/>
          <w:i/>
          <w:iCs/>
          <w:sz w:val="24"/>
          <w:szCs w:val="24"/>
        </w:rPr>
        <w:t xml:space="preserve"> da horta.”</w:t>
      </w:r>
    </w:p>
    <w:p w14:paraId="66BABA70" w14:textId="77777777" w:rsidR="0054744E" w:rsidRPr="00DA1D3F" w:rsidRDefault="0054744E" w:rsidP="00B616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166EE2A" w14:textId="6628F70C" w:rsidR="00DC0D6D" w:rsidRPr="00DA1D3F" w:rsidRDefault="00BD4DE2" w:rsidP="00B61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atividade prática no interior da horta a fala de </w:t>
      </w:r>
      <w:r w:rsidR="00DC0D6D" w:rsidRPr="00DA1D3F">
        <w:rPr>
          <w:rFonts w:ascii="Times New Roman" w:hAnsi="Times New Roman" w:cs="Times New Roman"/>
          <w:sz w:val="24"/>
          <w:szCs w:val="24"/>
        </w:rPr>
        <w:t xml:space="preserve">A4 revela 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 w:rsidR="00DC0D6D" w:rsidRPr="00DA1D3F">
        <w:rPr>
          <w:rFonts w:ascii="Times New Roman" w:hAnsi="Times New Roman" w:cs="Times New Roman"/>
          <w:sz w:val="24"/>
          <w:szCs w:val="24"/>
        </w:rPr>
        <w:t xml:space="preserve">engajamento </w:t>
      </w:r>
      <w:r>
        <w:rPr>
          <w:rFonts w:ascii="Times New Roman" w:hAnsi="Times New Roman" w:cs="Times New Roman"/>
          <w:sz w:val="24"/>
          <w:szCs w:val="24"/>
        </w:rPr>
        <w:t xml:space="preserve">e entusiasmo na atividade demostrando </w:t>
      </w:r>
      <w:r w:rsidR="001D52C6">
        <w:rPr>
          <w:rFonts w:ascii="Times New Roman" w:hAnsi="Times New Roman" w:cs="Times New Roman"/>
          <w:sz w:val="24"/>
          <w:szCs w:val="24"/>
        </w:rPr>
        <w:t xml:space="preserve">valorização </w:t>
      </w:r>
      <w:r w:rsidR="0054744E">
        <w:rPr>
          <w:rFonts w:ascii="Times New Roman" w:hAnsi="Times New Roman" w:cs="Times New Roman"/>
          <w:sz w:val="24"/>
          <w:szCs w:val="24"/>
        </w:rPr>
        <w:t>da</w:t>
      </w:r>
      <w:r w:rsidR="001D52C6">
        <w:rPr>
          <w:rFonts w:ascii="Times New Roman" w:hAnsi="Times New Roman" w:cs="Times New Roman"/>
          <w:sz w:val="24"/>
          <w:szCs w:val="24"/>
        </w:rPr>
        <w:t xml:space="preserve"> </w:t>
      </w:r>
      <w:r w:rsidR="00DC0D6D" w:rsidRPr="00DA1D3F">
        <w:rPr>
          <w:rFonts w:ascii="Times New Roman" w:hAnsi="Times New Roman" w:cs="Times New Roman"/>
          <w:sz w:val="24"/>
          <w:szCs w:val="24"/>
        </w:rPr>
        <w:t>experiência</w:t>
      </w:r>
      <w:r w:rsidR="00F96C5E">
        <w:rPr>
          <w:rFonts w:ascii="Times New Roman" w:hAnsi="Times New Roman" w:cs="Times New Roman"/>
          <w:sz w:val="24"/>
          <w:szCs w:val="24"/>
        </w:rPr>
        <w:t xml:space="preserve">.  </w:t>
      </w:r>
      <w:r w:rsidR="001D52C6">
        <w:rPr>
          <w:rFonts w:ascii="Times New Roman" w:hAnsi="Times New Roman" w:cs="Times New Roman"/>
          <w:sz w:val="24"/>
          <w:szCs w:val="24"/>
        </w:rPr>
        <w:t>Por sua vez</w:t>
      </w:r>
      <w:r w:rsidR="00DC0D6D" w:rsidRPr="00DA1D3F">
        <w:rPr>
          <w:rFonts w:ascii="Times New Roman" w:hAnsi="Times New Roman" w:cs="Times New Roman"/>
          <w:sz w:val="24"/>
          <w:szCs w:val="24"/>
        </w:rPr>
        <w:t xml:space="preserve"> A5 </w:t>
      </w:r>
      <w:proofErr w:type="gramStart"/>
      <w:r w:rsidR="00F96C5E">
        <w:rPr>
          <w:rFonts w:ascii="Times New Roman" w:hAnsi="Times New Roman" w:cs="Times New Roman"/>
          <w:sz w:val="24"/>
          <w:szCs w:val="24"/>
        </w:rPr>
        <w:t>evidencia</w:t>
      </w:r>
      <w:proofErr w:type="gramEnd"/>
      <w:r w:rsidR="00DC0D6D" w:rsidRPr="00DA1D3F">
        <w:rPr>
          <w:rFonts w:ascii="Times New Roman" w:hAnsi="Times New Roman" w:cs="Times New Roman"/>
          <w:sz w:val="24"/>
          <w:szCs w:val="24"/>
        </w:rPr>
        <w:t xml:space="preserve"> </w:t>
      </w:r>
      <w:r w:rsidR="001D52C6">
        <w:rPr>
          <w:rFonts w:ascii="Times New Roman" w:hAnsi="Times New Roman" w:cs="Times New Roman"/>
          <w:sz w:val="24"/>
          <w:szCs w:val="24"/>
        </w:rPr>
        <w:t>com sua fala que houve</w:t>
      </w:r>
      <w:r w:rsidR="00DC0D6D" w:rsidRPr="00DA1D3F">
        <w:rPr>
          <w:rFonts w:ascii="Times New Roman" w:hAnsi="Times New Roman" w:cs="Times New Roman"/>
          <w:sz w:val="24"/>
          <w:szCs w:val="24"/>
        </w:rPr>
        <w:t xml:space="preserve"> apropriação conceitual, na medida em que o </w:t>
      </w:r>
      <w:r w:rsidR="00F96C5E">
        <w:rPr>
          <w:rFonts w:ascii="Times New Roman" w:hAnsi="Times New Roman" w:cs="Times New Roman"/>
          <w:sz w:val="24"/>
          <w:szCs w:val="24"/>
        </w:rPr>
        <w:t>estudante</w:t>
      </w:r>
      <w:r w:rsidR="00DC0D6D" w:rsidRPr="00DA1D3F">
        <w:rPr>
          <w:rFonts w:ascii="Times New Roman" w:hAnsi="Times New Roman" w:cs="Times New Roman"/>
          <w:sz w:val="24"/>
          <w:szCs w:val="24"/>
        </w:rPr>
        <w:t xml:space="preserve"> </w:t>
      </w:r>
      <w:r w:rsidR="001D52C6">
        <w:rPr>
          <w:rFonts w:ascii="Times New Roman" w:hAnsi="Times New Roman" w:cs="Times New Roman"/>
          <w:sz w:val="24"/>
          <w:szCs w:val="24"/>
        </w:rPr>
        <w:t>consegue estabelecer relação d</w:t>
      </w:r>
      <w:r w:rsidR="00DC0D6D" w:rsidRPr="00DA1D3F">
        <w:rPr>
          <w:rFonts w:ascii="Times New Roman" w:hAnsi="Times New Roman" w:cs="Times New Roman"/>
          <w:sz w:val="24"/>
          <w:szCs w:val="24"/>
        </w:rPr>
        <w:t xml:space="preserve">o conceito de perímetro </w:t>
      </w:r>
      <w:r w:rsidR="001D52C6">
        <w:rPr>
          <w:rFonts w:ascii="Times New Roman" w:hAnsi="Times New Roman" w:cs="Times New Roman"/>
          <w:sz w:val="24"/>
          <w:szCs w:val="24"/>
        </w:rPr>
        <w:t>com a</w:t>
      </w:r>
      <w:r w:rsidR="00DC0D6D" w:rsidRPr="00DA1D3F">
        <w:rPr>
          <w:rFonts w:ascii="Times New Roman" w:hAnsi="Times New Roman" w:cs="Times New Roman"/>
          <w:sz w:val="24"/>
          <w:szCs w:val="24"/>
        </w:rPr>
        <w:t xml:space="preserve"> </w:t>
      </w:r>
      <w:r w:rsidR="005F2EF9">
        <w:rPr>
          <w:rFonts w:ascii="Times New Roman" w:hAnsi="Times New Roman" w:cs="Times New Roman"/>
          <w:sz w:val="24"/>
          <w:szCs w:val="24"/>
        </w:rPr>
        <w:t>atividade</w:t>
      </w:r>
      <w:r w:rsidR="00DC0D6D" w:rsidRPr="00DA1D3F">
        <w:rPr>
          <w:rFonts w:ascii="Times New Roman" w:hAnsi="Times New Roman" w:cs="Times New Roman"/>
          <w:sz w:val="24"/>
          <w:szCs w:val="24"/>
        </w:rPr>
        <w:t xml:space="preserve"> concret</w:t>
      </w:r>
      <w:r w:rsidR="005F2EF9">
        <w:rPr>
          <w:rFonts w:ascii="Times New Roman" w:hAnsi="Times New Roman" w:cs="Times New Roman"/>
          <w:sz w:val="24"/>
          <w:szCs w:val="24"/>
        </w:rPr>
        <w:t>a na horta</w:t>
      </w:r>
      <w:r w:rsidR="00DC0D6D" w:rsidRPr="00DA1D3F">
        <w:rPr>
          <w:rFonts w:ascii="Times New Roman" w:hAnsi="Times New Roman" w:cs="Times New Roman"/>
          <w:sz w:val="24"/>
          <w:szCs w:val="24"/>
        </w:rPr>
        <w:t xml:space="preserve">, construindo uma analogia que </w:t>
      </w:r>
      <w:r w:rsidR="005F2EF9">
        <w:rPr>
          <w:rFonts w:ascii="Times New Roman" w:hAnsi="Times New Roman" w:cs="Times New Roman"/>
          <w:sz w:val="24"/>
          <w:szCs w:val="24"/>
        </w:rPr>
        <w:t>articula</w:t>
      </w:r>
      <w:r w:rsidR="00DC0D6D" w:rsidRPr="00DA1D3F">
        <w:rPr>
          <w:rFonts w:ascii="Times New Roman" w:hAnsi="Times New Roman" w:cs="Times New Roman"/>
          <w:sz w:val="24"/>
          <w:szCs w:val="24"/>
        </w:rPr>
        <w:t xml:space="preserve"> teoria e prática.</w:t>
      </w:r>
    </w:p>
    <w:p w14:paraId="34CB6DD7" w14:textId="77777777" w:rsidR="00DC0D6D" w:rsidRPr="00DA1D3F" w:rsidRDefault="00DC0D6D" w:rsidP="00B61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D3F">
        <w:rPr>
          <w:rFonts w:ascii="Times New Roman" w:hAnsi="Times New Roman" w:cs="Times New Roman"/>
          <w:sz w:val="24"/>
          <w:szCs w:val="24"/>
        </w:rPr>
        <w:t>Essa perspectiva encontra respaldo em D’</w:t>
      </w:r>
      <w:proofErr w:type="spellStart"/>
      <w:r w:rsidRPr="00DA1D3F">
        <w:rPr>
          <w:rFonts w:ascii="Times New Roman" w:hAnsi="Times New Roman" w:cs="Times New Roman"/>
          <w:sz w:val="24"/>
          <w:szCs w:val="24"/>
        </w:rPr>
        <w:t>Ambrosio</w:t>
      </w:r>
      <w:proofErr w:type="spellEnd"/>
      <w:r w:rsidRPr="00DA1D3F">
        <w:rPr>
          <w:rFonts w:ascii="Times New Roman" w:hAnsi="Times New Roman" w:cs="Times New Roman"/>
          <w:sz w:val="24"/>
          <w:szCs w:val="24"/>
        </w:rPr>
        <w:t xml:space="preserve"> (2002), ao afirmar que os diferentes modos de fazer e de conhecer são parte da cultura, uma vez que, no cotidiano, os indivíduos constantemente comparam, classificam, quantificam, medem, explicam e avaliam, utilizando instrumentos materiais e intelectuais próprios de sua realidade.</w:t>
      </w:r>
    </w:p>
    <w:p w14:paraId="47714E2F" w14:textId="01E1C8B9" w:rsidR="00BC0737" w:rsidRDefault="00DC0D6D" w:rsidP="00B61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D3F">
        <w:rPr>
          <w:rFonts w:ascii="Times New Roman" w:hAnsi="Times New Roman" w:cs="Times New Roman"/>
          <w:sz w:val="24"/>
          <w:szCs w:val="24"/>
        </w:rPr>
        <w:t xml:space="preserve">No planejamento </w:t>
      </w:r>
      <w:r w:rsidR="0054744E">
        <w:rPr>
          <w:rFonts w:ascii="Times New Roman" w:hAnsi="Times New Roman" w:cs="Times New Roman"/>
          <w:sz w:val="24"/>
          <w:szCs w:val="24"/>
        </w:rPr>
        <w:t xml:space="preserve">já </w:t>
      </w:r>
      <w:r w:rsidRPr="00DA1D3F">
        <w:rPr>
          <w:rFonts w:ascii="Times New Roman" w:hAnsi="Times New Roman" w:cs="Times New Roman"/>
          <w:sz w:val="24"/>
          <w:szCs w:val="24"/>
        </w:rPr>
        <w:t xml:space="preserve">em sala de aula, os registros coletados </w:t>
      </w:r>
      <w:r w:rsidR="006C2382" w:rsidRPr="006C2382">
        <w:rPr>
          <w:rFonts w:ascii="Times New Roman" w:hAnsi="Times New Roman" w:cs="Times New Roman"/>
          <w:sz w:val="24"/>
          <w:szCs w:val="24"/>
        </w:rPr>
        <w:t xml:space="preserve">(Fig. </w:t>
      </w:r>
      <w:r w:rsidR="006C2382">
        <w:rPr>
          <w:rFonts w:ascii="Times New Roman" w:hAnsi="Times New Roman" w:cs="Times New Roman"/>
          <w:sz w:val="24"/>
          <w:szCs w:val="24"/>
        </w:rPr>
        <w:t>2</w:t>
      </w:r>
      <w:r w:rsidR="006C2382" w:rsidRPr="006C2382">
        <w:rPr>
          <w:rFonts w:ascii="Times New Roman" w:hAnsi="Times New Roman" w:cs="Times New Roman"/>
          <w:sz w:val="24"/>
          <w:szCs w:val="24"/>
        </w:rPr>
        <w:t>)</w:t>
      </w:r>
      <w:r w:rsidR="006C2382">
        <w:rPr>
          <w:rFonts w:ascii="Times New Roman" w:hAnsi="Times New Roman" w:cs="Times New Roman"/>
          <w:sz w:val="24"/>
          <w:szCs w:val="24"/>
        </w:rPr>
        <w:t xml:space="preserve"> </w:t>
      </w:r>
      <w:r w:rsidRPr="00DA1D3F">
        <w:rPr>
          <w:rFonts w:ascii="Times New Roman" w:hAnsi="Times New Roman" w:cs="Times New Roman"/>
          <w:sz w:val="24"/>
          <w:szCs w:val="24"/>
        </w:rPr>
        <w:t xml:space="preserve">foram convertidos em esquemas de organização dos canteiros, permitindo a realização de cálculos de área e perímetro. Esse processo revelou raciocínio geométrico na transposição dos dados empíricos para registros matemáticos. As discussões sobre a distância necessária entre as mudas </w:t>
      </w:r>
      <w:r w:rsidR="0054744E">
        <w:rPr>
          <w:rFonts w:ascii="Times New Roman" w:hAnsi="Times New Roman" w:cs="Times New Roman"/>
          <w:sz w:val="24"/>
          <w:szCs w:val="24"/>
        </w:rPr>
        <w:t xml:space="preserve">e o tempo previsto para a colheira </w:t>
      </w:r>
      <w:r w:rsidRPr="00DA1D3F">
        <w:rPr>
          <w:rFonts w:ascii="Times New Roman" w:hAnsi="Times New Roman" w:cs="Times New Roman"/>
          <w:sz w:val="24"/>
          <w:szCs w:val="24"/>
        </w:rPr>
        <w:t xml:space="preserve">possibilitaram articular a </w:t>
      </w:r>
      <w:r w:rsidR="00BC0737">
        <w:rPr>
          <w:rFonts w:ascii="Times New Roman" w:hAnsi="Times New Roman" w:cs="Times New Roman"/>
          <w:sz w:val="24"/>
          <w:szCs w:val="24"/>
        </w:rPr>
        <w:t>M</w:t>
      </w:r>
      <w:r w:rsidRPr="00DA1D3F">
        <w:rPr>
          <w:rFonts w:ascii="Times New Roman" w:hAnsi="Times New Roman" w:cs="Times New Roman"/>
          <w:sz w:val="24"/>
          <w:szCs w:val="24"/>
        </w:rPr>
        <w:t xml:space="preserve">atemática a conceitos de Ciências, </w:t>
      </w:r>
      <w:r w:rsidR="00BC0737" w:rsidRPr="00BC0737">
        <w:rPr>
          <w:rFonts w:ascii="Times New Roman" w:hAnsi="Times New Roman" w:cs="Times New Roman"/>
          <w:sz w:val="24"/>
          <w:szCs w:val="24"/>
        </w:rPr>
        <w:t>reforçando o caráter interdisciplinar e a relevância de práticas pedagógicas contextualizadas.</w:t>
      </w:r>
    </w:p>
    <w:p w14:paraId="0F0BF027" w14:textId="77777777" w:rsidR="00B616FA" w:rsidRDefault="00B616FA" w:rsidP="00B61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D058F7" w14:textId="4166D62F" w:rsidR="00872F1A" w:rsidRDefault="00872F1A" w:rsidP="00B61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pt-BR"/>
        </w:rPr>
        <w:drawing>
          <wp:inline distT="0" distB="0" distL="0" distR="0" wp14:anchorId="6AF1B832" wp14:editId="3E76E559">
            <wp:extent cx="1678675" cy="2105845"/>
            <wp:effectExtent l="0" t="0" r="0" b="8890"/>
            <wp:docPr id="914156912" name="Imagem 7" descr="Interface gráfica do usuári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156912" name="Imagem 7" descr="Interface gráfica do usuário&#10;&#10;O conteúdo gerado por IA pode estar incorreto.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602" cy="2134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pt-BR"/>
        </w:rPr>
        <w:t xml:space="preserve">   </w:t>
      </w:r>
    </w:p>
    <w:p w14:paraId="2EDD52A1" w14:textId="4484988C" w:rsidR="006C2382" w:rsidRPr="00192A4F" w:rsidRDefault="006C2382" w:rsidP="00B61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A4F">
        <w:rPr>
          <w:rFonts w:ascii="Times New Roman" w:hAnsi="Times New Roman" w:cs="Times New Roman"/>
          <w:b/>
          <w:bCs/>
          <w:sz w:val="24"/>
          <w:szCs w:val="24"/>
        </w:rPr>
        <w:t xml:space="preserve">Figura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92A4F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Registro coletados e cálculos de área e perímetro</w:t>
      </w:r>
      <w:r w:rsidRPr="00192A4F">
        <w:rPr>
          <w:rFonts w:ascii="Times New Roman" w:hAnsi="Times New Roman" w:cs="Times New Roman"/>
          <w:sz w:val="24"/>
          <w:szCs w:val="24"/>
        </w:rPr>
        <w:t>.</w:t>
      </w:r>
    </w:p>
    <w:p w14:paraId="21B7F28B" w14:textId="61F2265B" w:rsidR="00DC0D6D" w:rsidRPr="00DA1D3F" w:rsidRDefault="00DC0D6D" w:rsidP="00B61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D3F">
        <w:rPr>
          <w:rFonts w:ascii="Times New Roman" w:hAnsi="Times New Roman" w:cs="Times New Roman"/>
          <w:sz w:val="24"/>
          <w:szCs w:val="24"/>
        </w:rPr>
        <w:lastRenderedPageBreak/>
        <w:t>Nessa direção, ensinar Matemática na Escola do Campo deve ultrapassar a simples execução de cálculos ou a reprodução de atividades mecânicas, favorecendo a criação de situações em que os estudantes sejam desafiados a elaborar estratégias de resolução de problemas reais, relacionados às suas vivências e capazes de mobilizar seus saberes</w:t>
      </w:r>
      <w:r w:rsidR="0075240F">
        <w:rPr>
          <w:rFonts w:ascii="Times New Roman" w:hAnsi="Times New Roman" w:cs="Times New Roman"/>
          <w:sz w:val="24"/>
          <w:szCs w:val="24"/>
        </w:rPr>
        <w:t xml:space="preserve"> (</w:t>
      </w:r>
      <w:r w:rsidR="0075240F" w:rsidRPr="00DA1D3F">
        <w:rPr>
          <w:rFonts w:ascii="Times New Roman" w:hAnsi="Times New Roman" w:cs="Times New Roman"/>
          <w:sz w:val="24"/>
          <w:szCs w:val="24"/>
        </w:rPr>
        <w:t>Martins</w:t>
      </w:r>
      <w:r w:rsidR="0075240F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75240F" w:rsidRPr="00DA1D3F">
        <w:rPr>
          <w:rFonts w:ascii="Times New Roman" w:hAnsi="Times New Roman" w:cs="Times New Roman"/>
          <w:sz w:val="24"/>
          <w:szCs w:val="24"/>
        </w:rPr>
        <w:t>Fanizzi</w:t>
      </w:r>
      <w:proofErr w:type="spellEnd"/>
      <w:r w:rsidR="0075240F">
        <w:rPr>
          <w:rFonts w:ascii="Times New Roman" w:hAnsi="Times New Roman" w:cs="Times New Roman"/>
          <w:sz w:val="24"/>
          <w:szCs w:val="24"/>
        </w:rPr>
        <w:t xml:space="preserve">, </w:t>
      </w:r>
      <w:r w:rsidR="0075240F" w:rsidRPr="00DA1D3F">
        <w:rPr>
          <w:rFonts w:ascii="Times New Roman" w:hAnsi="Times New Roman" w:cs="Times New Roman"/>
          <w:sz w:val="24"/>
          <w:szCs w:val="24"/>
        </w:rPr>
        <w:t>2023)</w:t>
      </w:r>
      <w:r w:rsidR="0075240F">
        <w:rPr>
          <w:rFonts w:ascii="Times New Roman" w:hAnsi="Times New Roman" w:cs="Times New Roman"/>
          <w:sz w:val="24"/>
          <w:szCs w:val="24"/>
        </w:rPr>
        <w:t>.</w:t>
      </w:r>
    </w:p>
    <w:p w14:paraId="609EAE6F" w14:textId="777EF7AF" w:rsidR="0064471A" w:rsidRDefault="00DC0D6D" w:rsidP="00B61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D3F">
        <w:rPr>
          <w:rFonts w:ascii="Times New Roman" w:hAnsi="Times New Roman" w:cs="Times New Roman"/>
          <w:sz w:val="24"/>
          <w:szCs w:val="24"/>
        </w:rPr>
        <w:t xml:space="preserve">A etapa final, caracterizada pelo plantio </w:t>
      </w:r>
      <w:r w:rsidR="0075240F">
        <w:rPr>
          <w:rFonts w:ascii="Times New Roman" w:hAnsi="Times New Roman" w:cs="Times New Roman"/>
          <w:sz w:val="24"/>
          <w:szCs w:val="24"/>
        </w:rPr>
        <w:t>da</w:t>
      </w:r>
      <w:r w:rsidRPr="00DA1D3F">
        <w:rPr>
          <w:rFonts w:ascii="Times New Roman" w:hAnsi="Times New Roman" w:cs="Times New Roman"/>
          <w:sz w:val="24"/>
          <w:szCs w:val="24"/>
        </w:rPr>
        <w:t xml:space="preserve"> cenoura </w:t>
      </w:r>
      <w:r w:rsidR="006C2382">
        <w:rPr>
          <w:rFonts w:ascii="Times New Roman" w:hAnsi="Times New Roman" w:cs="Times New Roman"/>
          <w:sz w:val="24"/>
          <w:szCs w:val="24"/>
        </w:rPr>
        <w:t xml:space="preserve">(Fig. 3) </w:t>
      </w:r>
      <w:r w:rsidRPr="00DA1D3F">
        <w:rPr>
          <w:rFonts w:ascii="Times New Roman" w:hAnsi="Times New Roman" w:cs="Times New Roman"/>
          <w:sz w:val="24"/>
          <w:szCs w:val="24"/>
        </w:rPr>
        <w:t>e pela posterior colheita</w:t>
      </w:r>
      <w:r w:rsidR="006C2382">
        <w:rPr>
          <w:rFonts w:ascii="Times New Roman" w:hAnsi="Times New Roman" w:cs="Times New Roman"/>
          <w:sz w:val="24"/>
          <w:szCs w:val="24"/>
        </w:rPr>
        <w:t xml:space="preserve"> (Fig. 4)</w:t>
      </w:r>
      <w:r w:rsidRPr="00DA1D3F">
        <w:rPr>
          <w:rFonts w:ascii="Times New Roman" w:hAnsi="Times New Roman" w:cs="Times New Roman"/>
          <w:sz w:val="24"/>
          <w:szCs w:val="24"/>
        </w:rPr>
        <w:t>, representou a culminância d</w:t>
      </w:r>
      <w:r w:rsidR="00BC0737">
        <w:rPr>
          <w:rFonts w:ascii="Times New Roman" w:hAnsi="Times New Roman" w:cs="Times New Roman"/>
          <w:sz w:val="24"/>
          <w:szCs w:val="24"/>
        </w:rPr>
        <w:t>a proposta</w:t>
      </w:r>
      <w:r w:rsidRPr="00DA1D3F">
        <w:rPr>
          <w:rFonts w:ascii="Times New Roman" w:hAnsi="Times New Roman" w:cs="Times New Roman"/>
          <w:sz w:val="24"/>
          <w:szCs w:val="24"/>
        </w:rPr>
        <w:t xml:space="preserve">, evidenciando a integração entre planejamento, execução e acompanhamento. </w:t>
      </w:r>
      <w:r w:rsidR="0064471A" w:rsidRPr="0064471A">
        <w:rPr>
          <w:rFonts w:ascii="Times New Roman" w:hAnsi="Times New Roman" w:cs="Times New Roman"/>
          <w:sz w:val="24"/>
          <w:szCs w:val="24"/>
        </w:rPr>
        <w:t>O estudo da Matemática contribui para o desenvolvimento da habilidade de resolução de problemas, aspecto fundamental no contexto rural, onde as condições de vida se tornam progressivamente mais desafiadoras em razão da lógica do poder econômico hegemônico</w:t>
      </w:r>
      <w:r w:rsidR="0064471A">
        <w:rPr>
          <w:rFonts w:ascii="Times New Roman" w:hAnsi="Times New Roman" w:cs="Times New Roman"/>
          <w:sz w:val="24"/>
          <w:szCs w:val="24"/>
        </w:rPr>
        <w:t xml:space="preserve"> (</w:t>
      </w:r>
      <w:r w:rsidR="0064471A" w:rsidRPr="00DA1D3F">
        <w:rPr>
          <w:rFonts w:ascii="Times New Roman" w:hAnsi="Times New Roman" w:cs="Times New Roman"/>
          <w:sz w:val="24"/>
          <w:szCs w:val="24"/>
        </w:rPr>
        <w:t>Martins</w:t>
      </w:r>
      <w:r w:rsidR="0064471A">
        <w:rPr>
          <w:rFonts w:ascii="Times New Roman" w:hAnsi="Times New Roman" w:cs="Times New Roman"/>
          <w:sz w:val="24"/>
          <w:szCs w:val="24"/>
        </w:rPr>
        <w:t>;</w:t>
      </w:r>
      <w:r w:rsidR="0064471A" w:rsidRPr="00DA1D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71A" w:rsidRPr="00DA1D3F">
        <w:rPr>
          <w:rFonts w:ascii="Times New Roman" w:hAnsi="Times New Roman" w:cs="Times New Roman"/>
          <w:sz w:val="24"/>
          <w:szCs w:val="24"/>
        </w:rPr>
        <w:t>Fanizzi</w:t>
      </w:r>
      <w:proofErr w:type="spellEnd"/>
      <w:r w:rsidR="0064471A">
        <w:rPr>
          <w:rFonts w:ascii="Times New Roman" w:hAnsi="Times New Roman" w:cs="Times New Roman"/>
          <w:sz w:val="24"/>
          <w:szCs w:val="24"/>
        </w:rPr>
        <w:t xml:space="preserve">, </w:t>
      </w:r>
      <w:r w:rsidR="0064471A" w:rsidRPr="00DA1D3F">
        <w:rPr>
          <w:rFonts w:ascii="Times New Roman" w:hAnsi="Times New Roman" w:cs="Times New Roman"/>
          <w:sz w:val="24"/>
          <w:szCs w:val="24"/>
        </w:rPr>
        <w:t>2023</w:t>
      </w:r>
      <w:r w:rsidR="0064471A">
        <w:rPr>
          <w:rFonts w:ascii="Times New Roman" w:hAnsi="Times New Roman" w:cs="Times New Roman"/>
          <w:sz w:val="24"/>
          <w:szCs w:val="24"/>
        </w:rPr>
        <w:t>).</w:t>
      </w:r>
    </w:p>
    <w:p w14:paraId="7CB3722D" w14:textId="77777777" w:rsidR="006D1DF0" w:rsidRDefault="006D1DF0" w:rsidP="00B61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78CA0A" w14:textId="42EE1967" w:rsidR="00872F1A" w:rsidRDefault="00872F1A" w:rsidP="00B61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pt-BR"/>
        </w:rPr>
      </w:pPr>
      <w:r>
        <w:rPr>
          <w:noProof/>
        </w:rPr>
        <w:drawing>
          <wp:inline distT="0" distB="0" distL="0" distR="0" wp14:anchorId="51EBB660" wp14:editId="7E165571">
            <wp:extent cx="1558137" cy="1748512"/>
            <wp:effectExtent l="0" t="0" r="4445" b="4445"/>
            <wp:docPr id="1251059756" name="Imagem 1" descr="Homem em pé na 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059756" name="Imagem 1" descr="Homem em pé na grama&#10;&#10;O conteúdo gerado por IA pode estar incorreto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124" cy="1782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pt-BR"/>
        </w:rPr>
        <w:t xml:space="preserve">  </w:t>
      </w:r>
      <w:r w:rsidR="006C2382">
        <w:rPr>
          <w:rFonts w:ascii="Times New Roman" w:eastAsia="Times New Roman" w:hAnsi="Times New Roman" w:cs="Times New Roman"/>
          <w:bCs/>
          <w:noProof/>
          <w:sz w:val="24"/>
          <w:szCs w:val="24"/>
          <w:lang w:eastAsia="pt-BR"/>
        </w:rPr>
        <w:t xml:space="preserve">                         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pt-BR"/>
        </w:rPr>
        <w:drawing>
          <wp:inline distT="0" distB="0" distL="0" distR="0" wp14:anchorId="22E5F351" wp14:editId="7395CDEB">
            <wp:extent cx="1638604" cy="1757453"/>
            <wp:effectExtent l="0" t="0" r="0" b="0"/>
            <wp:docPr id="891061040" name="Imagem 11" descr="Pessoas em pé na 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061040" name="Imagem 11" descr="Pessoas em pé na grama&#10;&#10;O conteúdo gerado por IA pode estar incorreto.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460" cy="1779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pt-BR"/>
        </w:rPr>
        <w:t xml:space="preserve">    </w:t>
      </w:r>
    </w:p>
    <w:p w14:paraId="31D5FC15" w14:textId="68834E44" w:rsidR="006C2382" w:rsidRPr="00192A4F" w:rsidRDefault="006C2382" w:rsidP="00B61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A4F">
        <w:rPr>
          <w:rFonts w:ascii="Times New Roman" w:hAnsi="Times New Roman" w:cs="Times New Roman"/>
          <w:b/>
          <w:bCs/>
          <w:sz w:val="24"/>
          <w:szCs w:val="24"/>
        </w:rPr>
        <w:t xml:space="preserve">Figura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92A4F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Plantio da cenoura.                    </w:t>
      </w:r>
      <w:r w:rsidRPr="00192A4F">
        <w:rPr>
          <w:rFonts w:ascii="Times New Roman" w:hAnsi="Times New Roman" w:cs="Times New Roman"/>
          <w:b/>
          <w:bCs/>
          <w:sz w:val="24"/>
          <w:szCs w:val="24"/>
        </w:rPr>
        <w:t xml:space="preserve">Figura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92A4F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Colheita da cenoura.</w:t>
      </w:r>
    </w:p>
    <w:p w14:paraId="7C844C7B" w14:textId="77777777" w:rsidR="00872F1A" w:rsidRPr="00DA1D3F" w:rsidRDefault="00872F1A" w:rsidP="00B61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1BBA1B" w14:textId="5D791B50" w:rsidR="00DC0D6D" w:rsidRPr="00DA1D3F" w:rsidRDefault="00DC0D6D" w:rsidP="00B61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0D6D">
        <w:rPr>
          <w:rFonts w:ascii="Times New Roman" w:hAnsi="Times New Roman" w:cs="Times New Roman"/>
          <w:sz w:val="24"/>
          <w:szCs w:val="24"/>
        </w:rPr>
        <w:t>Assim, os</w:t>
      </w:r>
      <w:r w:rsidRPr="00DA1D3F">
        <w:rPr>
          <w:rFonts w:ascii="Times New Roman" w:hAnsi="Times New Roman" w:cs="Times New Roman"/>
          <w:sz w:val="24"/>
          <w:szCs w:val="24"/>
        </w:rPr>
        <w:t xml:space="preserve"> dados analisados indicam que a horta escolar, enquanto eixo articulador de um</w:t>
      </w:r>
      <w:r w:rsidR="00BC0737">
        <w:rPr>
          <w:rFonts w:ascii="Times New Roman" w:hAnsi="Times New Roman" w:cs="Times New Roman"/>
          <w:sz w:val="24"/>
          <w:szCs w:val="24"/>
        </w:rPr>
        <w:t>a proposta</w:t>
      </w:r>
      <w:r w:rsidRPr="00DA1D3F">
        <w:rPr>
          <w:rFonts w:ascii="Times New Roman" w:hAnsi="Times New Roman" w:cs="Times New Roman"/>
          <w:sz w:val="24"/>
          <w:szCs w:val="24"/>
        </w:rPr>
        <w:t xml:space="preserve"> investigativ</w:t>
      </w:r>
      <w:r w:rsidR="00BC0737">
        <w:rPr>
          <w:rFonts w:ascii="Times New Roman" w:hAnsi="Times New Roman" w:cs="Times New Roman"/>
          <w:sz w:val="24"/>
          <w:szCs w:val="24"/>
        </w:rPr>
        <w:t>a</w:t>
      </w:r>
      <w:r w:rsidRPr="00DA1D3F">
        <w:rPr>
          <w:rFonts w:ascii="Times New Roman" w:hAnsi="Times New Roman" w:cs="Times New Roman"/>
          <w:sz w:val="24"/>
          <w:szCs w:val="24"/>
        </w:rPr>
        <w:t xml:space="preserve">, favoreceu </w:t>
      </w:r>
      <w:r w:rsidR="00BC0737">
        <w:rPr>
          <w:rFonts w:ascii="Times New Roman" w:hAnsi="Times New Roman" w:cs="Times New Roman"/>
          <w:sz w:val="24"/>
          <w:szCs w:val="24"/>
        </w:rPr>
        <w:t>o entendimento de</w:t>
      </w:r>
      <w:r w:rsidRPr="00DA1D3F">
        <w:rPr>
          <w:rFonts w:ascii="Times New Roman" w:hAnsi="Times New Roman" w:cs="Times New Roman"/>
          <w:sz w:val="24"/>
          <w:szCs w:val="24"/>
        </w:rPr>
        <w:t xml:space="preserve"> conceitos matemáticos</w:t>
      </w:r>
      <w:r w:rsidR="0099456C">
        <w:rPr>
          <w:rFonts w:ascii="Times New Roman" w:hAnsi="Times New Roman" w:cs="Times New Roman"/>
          <w:sz w:val="24"/>
          <w:szCs w:val="24"/>
        </w:rPr>
        <w:t xml:space="preserve"> </w:t>
      </w:r>
      <w:r w:rsidR="00BC0737">
        <w:rPr>
          <w:rFonts w:ascii="Times New Roman" w:hAnsi="Times New Roman" w:cs="Times New Roman"/>
          <w:sz w:val="24"/>
          <w:szCs w:val="24"/>
        </w:rPr>
        <w:t xml:space="preserve">e </w:t>
      </w:r>
      <w:r w:rsidRPr="00DA1D3F">
        <w:rPr>
          <w:rFonts w:ascii="Times New Roman" w:hAnsi="Times New Roman" w:cs="Times New Roman"/>
          <w:sz w:val="24"/>
          <w:szCs w:val="24"/>
        </w:rPr>
        <w:t xml:space="preserve">ampliou o engajamento </w:t>
      </w:r>
      <w:r w:rsidR="00BC0737">
        <w:rPr>
          <w:rFonts w:ascii="Times New Roman" w:hAnsi="Times New Roman" w:cs="Times New Roman"/>
          <w:sz w:val="24"/>
          <w:szCs w:val="24"/>
        </w:rPr>
        <w:t>dos estudantes</w:t>
      </w:r>
      <w:r w:rsidRPr="00DA1D3F">
        <w:rPr>
          <w:rFonts w:ascii="Times New Roman" w:hAnsi="Times New Roman" w:cs="Times New Roman"/>
          <w:sz w:val="24"/>
          <w:szCs w:val="24"/>
        </w:rPr>
        <w:t xml:space="preserve">. Além disso, mostrou-se como </w:t>
      </w:r>
      <w:r w:rsidR="0099456C">
        <w:rPr>
          <w:rFonts w:ascii="Times New Roman" w:hAnsi="Times New Roman" w:cs="Times New Roman"/>
          <w:sz w:val="24"/>
          <w:szCs w:val="24"/>
        </w:rPr>
        <w:t xml:space="preserve">importante </w:t>
      </w:r>
      <w:r w:rsidRPr="00DA1D3F">
        <w:rPr>
          <w:rFonts w:ascii="Times New Roman" w:hAnsi="Times New Roman" w:cs="Times New Roman"/>
          <w:sz w:val="24"/>
          <w:szCs w:val="24"/>
        </w:rPr>
        <w:t xml:space="preserve">alternativa pedagógica </w:t>
      </w:r>
      <w:r w:rsidR="0099456C">
        <w:rPr>
          <w:rFonts w:ascii="Times New Roman" w:hAnsi="Times New Roman" w:cs="Times New Roman"/>
          <w:sz w:val="24"/>
          <w:szCs w:val="24"/>
        </w:rPr>
        <w:t>na promoção de</w:t>
      </w:r>
      <w:r w:rsidRPr="00DA1D3F">
        <w:rPr>
          <w:rFonts w:ascii="Times New Roman" w:hAnsi="Times New Roman" w:cs="Times New Roman"/>
          <w:sz w:val="24"/>
          <w:szCs w:val="24"/>
        </w:rPr>
        <w:t xml:space="preserve"> uma aprendizagem contextualizada, crítica e socialmente relevante.</w:t>
      </w:r>
    </w:p>
    <w:p w14:paraId="0C4F3FF7" w14:textId="77777777" w:rsidR="00DC0D6D" w:rsidRDefault="00DC0D6D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F5F5644" w14:textId="42DF51BB" w:rsidR="00342DF4" w:rsidRDefault="00342DF4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14:paraId="3C233DDD" w14:textId="05F1DC13" w:rsidR="00351404" w:rsidRDefault="00C273C4" w:rsidP="00B61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273C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experiência desenvolvida evidenciou que a horta escolar, quando integrada ao ensino de Matemática na Educação do Campo, constitui um espaço fértil para aprendizagens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efetiva</w:t>
      </w:r>
      <w:r w:rsidRPr="00C273C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s, articulando teoria e prática em situações reais. Os resultados revelaram o protagonismo dos estudantes, a ampliação do raciocínio geométrico e o fortalecimento do vínculo entre conhecimento científico e saberes locais. A proposta contribuiu para ressignificar o ensino, aproximando-o da vida cotidiana dos alunos e reafirmando o potencial da pesquisa-ação como caminho para uma pedagogia crítica e contextualizada. Espera-se que esta investigação inspire novas práticas e reflexões sobre o ensino de Matemática comprometido com a realidade e a cultura dos povos do campo.</w:t>
      </w:r>
    </w:p>
    <w:p w14:paraId="058B5DF4" w14:textId="77777777" w:rsidR="00C273C4" w:rsidRPr="004F67D5" w:rsidRDefault="00C273C4" w:rsidP="00B616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6671273" w14:textId="6CDA0799" w:rsidR="00F955F0" w:rsidRDefault="00F955F0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Apoio técnico ou financeiro </w:t>
      </w:r>
    </w:p>
    <w:p w14:paraId="1A21565F" w14:textId="27128F28" w:rsidR="0091518E" w:rsidRDefault="00A95CD4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95CD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Esta investigação foi realizada com apoio da Coordenação de Aperfeiçoamento de Pessoal de Nível Superior – Brasil (CAPES).</w:t>
      </w:r>
    </w:p>
    <w:p w14:paraId="4D87FFEF" w14:textId="77777777" w:rsidR="00A95CD4" w:rsidRPr="00A95CD4" w:rsidRDefault="00A95CD4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D77D354" w14:textId="77777777" w:rsidR="00342DF4" w:rsidRDefault="00342DF4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3D01815F" w14:textId="5B27AB24" w:rsidR="00F700CB" w:rsidRPr="00C919BE" w:rsidRDefault="00F700CB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9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BENDER, W</w:t>
      </w:r>
      <w:r w:rsidR="00A91039" w:rsidRPr="00C919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.,</w:t>
      </w:r>
      <w:r w:rsidRPr="00C919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N. </w:t>
      </w:r>
      <w:r w:rsidRPr="00C919B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Aprendizagem baseada em projetos</w:t>
      </w:r>
      <w:r w:rsidRPr="00C919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 educação diferenciada para o século XXI. Porto Alegre: Penso, 2014.</w:t>
      </w:r>
    </w:p>
    <w:p w14:paraId="09276864" w14:textId="77777777" w:rsidR="00F700CB" w:rsidRPr="00C919BE" w:rsidRDefault="00F700CB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B2EF9A1" w14:textId="7BFCC104" w:rsidR="00806EE3" w:rsidRPr="00C919BE" w:rsidRDefault="00A91039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9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 xml:space="preserve">CALDART, R. S. Por uma Educação do Campo: traços de uma identidade em construção. </w:t>
      </w:r>
      <w:r w:rsidRPr="00C919BE"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 xml:space="preserve">In: ARROYO, M. G.; CALDART, R. S.; MOLINA, M. C. (org.). </w:t>
      </w:r>
      <w:r w:rsidRPr="00C919B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Por uma Educação do Campo</w:t>
      </w:r>
      <w:r w:rsidRPr="00C919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 identidade e políticas públicas. Brasília, DF: Articulação Nacional por uma Educação do Campo, 2002. Caderno 4.</w:t>
      </w:r>
      <w:r w:rsidR="00F37E7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Disponível em: </w:t>
      </w:r>
      <w:hyperlink r:id="rId10" w:history="1">
        <w:r w:rsidR="00F37E7F" w:rsidRPr="00D25B57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eastAsia="pt-BR"/>
          </w:rPr>
          <w:t>https://www.gepec.ufscar.br/publicacoes/livros-e-colecoes/livros-diversos/educacao-do-campo-identidade-e-politicas-publicas.pdf</w:t>
        </w:r>
      </w:hyperlink>
      <w:r w:rsidR="00F37E7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 Acesso em: 10 de set. de 2025.</w:t>
      </w:r>
    </w:p>
    <w:p w14:paraId="3CD91458" w14:textId="77777777" w:rsidR="00A91039" w:rsidRPr="00C919BE" w:rsidRDefault="00A91039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85504A7" w14:textId="77777777" w:rsidR="0016138C" w:rsidRPr="00C919BE" w:rsidRDefault="0016138C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9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CYPRIANO, R. J.; ZITO, A. F.; FONTES, M.do C.; SILVA, F. A. da. Horta escolar: um</w:t>
      </w:r>
    </w:p>
    <w:p w14:paraId="26A0818B" w14:textId="49857EA8" w:rsidR="0016138C" w:rsidRDefault="0016138C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9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laboratório vivo. </w:t>
      </w:r>
      <w:r w:rsidRPr="00C919B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Educação Ambiental em Ação</w:t>
      </w:r>
      <w:r w:rsidRPr="00C919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 Volume XVII, Nº</w:t>
      </w:r>
      <w:r w:rsidR="00C919BE" w:rsidRPr="00C919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C919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42, setembro, 2018.</w:t>
      </w:r>
      <w:r w:rsidR="00F37E7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Disponível em: </w:t>
      </w:r>
      <w:hyperlink r:id="rId11" w:history="1">
        <w:r w:rsidR="00F37E7F" w:rsidRPr="00D25B57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eastAsia="pt-BR"/>
          </w:rPr>
          <w:t>https://www.revistaea.org/pf.php?idartigo=1400</w:t>
        </w:r>
      </w:hyperlink>
      <w:r w:rsidR="00F37E7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 Acesso em: 10 de set. de 2025.</w:t>
      </w:r>
    </w:p>
    <w:p w14:paraId="6A951E65" w14:textId="77777777" w:rsidR="00F65C0F" w:rsidRPr="00C919BE" w:rsidRDefault="00F65C0F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E60FD75" w14:textId="56474407" w:rsidR="00806EE3" w:rsidRDefault="00F65C0F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F65C0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D’AMBRÓSIO, U. </w:t>
      </w:r>
      <w:r w:rsidRPr="00F65C0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Etnomatemática</w:t>
      </w:r>
      <w:r w:rsidRPr="00F65C0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 elo entre as tradições e a modernidade. Nova ed. Belo Horizonte: Autêntica, 2019.</w:t>
      </w:r>
    </w:p>
    <w:p w14:paraId="34C740B7" w14:textId="77777777" w:rsidR="00F65C0F" w:rsidRPr="00C919BE" w:rsidRDefault="00F65C0F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F8EB775" w14:textId="77777777" w:rsidR="00F37E7F" w:rsidRDefault="004B1518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9BE">
        <w:rPr>
          <w:rFonts w:ascii="Times New Roman" w:hAnsi="Times New Roman" w:cs="Times New Roman"/>
          <w:sz w:val="24"/>
          <w:szCs w:val="24"/>
        </w:rPr>
        <w:t>GUIMARÃES, M. R. A.; MAGNANI, L. H.; LEMES,</w:t>
      </w:r>
      <w:r w:rsidR="00C919BE" w:rsidRPr="00C919BE">
        <w:rPr>
          <w:rFonts w:ascii="Times New Roman" w:hAnsi="Times New Roman" w:cs="Times New Roman"/>
          <w:sz w:val="24"/>
          <w:szCs w:val="24"/>
        </w:rPr>
        <w:t xml:space="preserve"> </w:t>
      </w:r>
      <w:r w:rsidRPr="00C919BE">
        <w:rPr>
          <w:rFonts w:ascii="Times New Roman" w:hAnsi="Times New Roman" w:cs="Times New Roman"/>
          <w:sz w:val="24"/>
          <w:szCs w:val="24"/>
        </w:rPr>
        <w:t>A.</w:t>
      </w:r>
      <w:r w:rsidR="00C919BE" w:rsidRPr="00C919BE">
        <w:rPr>
          <w:rFonts w:ascii="Times New Roman" w:hAnsi="Times New Roman" w:cs="Times New Roman"/>
          <w:sz w:val="24"/>
          <w:szCs w:val="24"/>
        </w:rPr>
        <w:t xml:space="preserve"> </w:t>
      </w:r>
      <w:r w:rsidRPr="00C919BE">
        <w:rPr>
          <w:rFonts w:ascii="Times New Roman" w:hAnsi="Times New Roman" w:cs="Times New Roman"/>
          <w:sz w:val="24"/>
          <w:szCs w:val="24"/>
        </w:rPr>
        <w:t>F.</w:t>
      </w:r>
      <w:r w:rsidR="00C919BE" w:rsidRPr="00C919BE">
        <w:rPr>
          <w:rFonts w:ascii="Times New Roman" w:hAnsi="Times New Roman" w:cs="Times New Roman"/>
          <w:sz w:val="24"/>
          <w:szCs w:val="24"/>
        </w:rPr>
        <w:t xml:space="preserve"> </w:t>
      </w:r>
      <w:r w:rsidRPr="00C919BE">
        <w:rPr>
          <w:rFonts w:ascii="Times New Roman" w:hAnsi="Times New Roman" w:cs="Times New Roman"/>
          <w:sz w:val="24"/>
          <w:szCs w:val="24"/>
        </w:rPr>
        <w:t>G.</w:t>
      </w:r>
      <w:r w:rsidR="004277A0" w:rsidRPr="00C919BE">
        <w:rPr>
          <w:rFonts w:ascii="Times New Roman" w:hAnsi="Times New Roman" w:cs="Times New Roman"/>
          <w:sz w:val="24"/>
          <w:szCs w:val="24"/>
        </w:rPr>
        <w:t xml:space="preserve"> </w:t>
      </w:r>
      <w:r w:rsidRPr="00C919BE">
        <w:rPr>
          <w:rFonts w:ascii="Times New Roman" w:hAnsi="Times New Roman" w:cs="Times New Roman"/>
          <w:sz w:val="24"/>
          <w:szCs w:val="24"/>
        </w:rPr>
        <w:t xml:space="preserve">A educação escolar quilombola e o ensino de Ciências: reflexões teóricas   a   partir   de   um   relato   de   experiência. </w:t>
      </w:r>
      <w:r w:rsidRPr="00C919BE">
        <w:rPr>
          <w:rFonts w:ascii="Times New Roman" w:hAnsi="Times New Roman" w:cs="Times New Roman"/>
          <w:b/>
          <w:bCs/>
          <w:sz w:val="24"/>
          <w:szCs w:val="24"/>
        </w:rPr>
        <w:t xml:space="preserve">Rev.   Bras.   Educ.   </w:t>
      </w:r>
      <w:proofErr w:type="spellStart"/>
      <w:r w:rsidRPr="00C919BE">
        <w:rPr>
          <w:rFonts w:ascii="Times New Roman" w:hAnsi="Times New Roman" w:cs="Times New Roman"/>
          <w:b/>
          <w:bCs/>
          <w:sz w:val="24"/>
          <w:szCs w:val="24"/>
        </w:rPr>
        <w:t>Camp</w:t>
      </w:r>
      <w:proofErr w:type="spellEnd"/>
      <w:r w:rsidR="00C919BE" w:rsidRPr="00C919BE">
        <w:rPr>
          <w:rFonts w:ascii="Times New Roman" w:hAnsi="Times New Roman" w:cs="Times New Roman"/>
          <w:sz w:val="24"/>
          <w:szCs w:val="24"/>
        </w:rPr>
        <w:t>., Tocantinópolis, v.</w:t>
      </w:r>
      <w:r w:rsidRPr="00C919BE">
        <w:rPr>
          <w:rFonts w:ascii="Times New Roman" w:hAnsi="Times New Roman" w:cs="Times New Roman"/>
          <w:sz w:val="24"/>
          <w:szCs w:val="24"/>
        </w:rPr>
        <w:t xml:space="preserve"> 7, e</w:t>
      </w:r>
      <w:r w:rsidR="00C919BE" w:rsidRPr="00C919BE">
        <w:rPr>
          <w:rFonts w:ascii="Times New Roman" w:hAnsi="Times New Roman" w:cs="Times New Roman"/>
          <w:sz w:val="24"/>
          <w:szCs w:val="24"/>
        </w:rPr>
        <w:t>12543, 2022</w:t>
      </w:r>
      <w:r w:rsidRPr="00C919BE">
        <w:rPr>
          <w:rFonts w:ascii="Times New Roman" w:hAnsi="Times New Roman" w:cs="Times New Roman"/>
          <w:sz w:val="24"/>
          <w:szCs w:val="24"/>
        </w:rPr>
        <w:t xml:space="preserve">. </w:t>
      </w:r>
      <w:r w:rsidR="00F37E7F">
        <w:rPr>
          <w:rFonts w:ascii="Times New Roman" w:hAnsi="Times New Roman" w:cs="Times New Roman"/>
          <w:sz w:val="24"/>
          <w:szCs w:val="24"/>
        </w:rPr>
        <w:t xml:space="preserve">Disponível em: </w:t>
      </w:r>
      <w:hyperlink r:id="rId12" w:history="1">
        <w:r w:rsidR="00F37E7F" w:rsidRPr="00D25B57">
          <w:rPr>
            <w:rStyle w:val="Hyperlink"/>
            <w:rFonts w:ascii="Times New Roman" w:hAnsi="Times New Roman" w:cs="Times New Roman"/>
            <w:sz w:val="24"/>
            <w:szCs w:val="24"/>
          </w:rPr>
          <w:t>https://periodicos.ufnt.edu.br/index.php/campo/article/view/12543</w:t>
        </w:r>
      </w:hyperlink>
      <w:r w:rsidR="00F37E7F">
        <w:rPr>
          <w:rFonts w:ascii="Times New Roman" w:hAnsi="Times New Roman" w:cs="Times New Roman"/>
          <w:sz w:val="24"/>
          <w:szCs w:val="24"/>
        </w:rPr>
        <w:t xml:space="preserve">. </w:t>
      </w:r>
      <w:r w:rsidR="00F37E7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Acesso em: 10 de set. de 2025.</w:t>
      </w:r>
    </w:p>
    <w:p w14:paraId="4F77D88D" w14:textId="77777777" w:rsidR="00806EE3" w:rsidRPr="00C919BE" w:rsidRDefault="00806EE3" w:rsidP="00B61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A9BB54" w14:textId="77777777" w:rsidR="00F37E7F" w:rsidRDefault="00C919BE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9BE">
        <w:rPr>
          <w:rFonts w:ascii="Times New Roman" w:hAnsi="Times New Roman" w:cs="Times New Roman"/>
          <w:sz w:val="24"/>
          <w:szCs w:val="24"/>
        </w:rPr>
        <w:t xml:space="preserve">LIMA, A. S.; LIMA, I. M. S. Educação matemática e educação do campo: desafios e possibilidades de uma articulação. </w:t>
      </w:r>
      <w:r w:rsidRPr="00C919BE">
        <w:rPr>
          <w:rFonts w:ascii="Times New Roman" w:hAnsi="Times New Roman" w:cs="Times New Roman"/>
          <w:b/>
          <w:bCs/>
          <w:sz w:val="24"/>
          <w:szCs w:val="24"/>
        </w:rPr>
        <w:t>Em Teia – Revista de Educação Matemática e Tecnológica Iberoamericana</w:t>
      </w:r>
      <w:r w:rsidRPr="00C919BE">
        <w:rPr>
          <w:rFonts w:ascii="Times New Roman" w:hAnsi="Times New Roman" w:cs="Times New Roman"/>
          <w:sz w:val="24"/>
          <w:szCs w:val="24"/>
        </w:rPr>
        <w:t xml:space="preserve">, Recife, v. 4, n. 3, p. 1-10, 2013. </w:t>
      </w:r>
      <w:r w:rsidR="00F37E7F">
        <w:rPr>
          <w:rFonts w:ascii="Times New Roman" w:hAnsi="Times New Roman" w:cs="Times New Roman"/>
          <w:sz w:val="24"/>
          <w:szCs w:val="24"/>
        </w:rPr>
        <w:t xml:space="preserve">Disponível em: </w:t>
      </w:r>
      <w:hyperlink r:id="rId13" w:history="1">
        <w:r w:rsidR="00F37E7F" w:rsidRPr="00D25B57">
          <w:rPr>
            <w:rStyle w:val="Hyperlink"/>
            <w:rFonts w:ascii="Times New Roman" w:hAnsi="Times New Roman" w:cs="Times New Roman"/>
            <w:sz w:val="24"/>
            <w:szCs w:val="24"/>
          </w:rPr>
          <w:t>https://periodicos.ufpe.br/revistas/emteia/article/view/2218</w:t>
        </w:r>
      </w:hyperlink>
      <w:r w:rsidR="00F37E7F">
        <w:rPr>
          <w:rFonts w:ascii="Times New Roman" w:hAnsi="Times New Roman" w:cs="Times New Roman"/>
          <w:sz w:val="24"/>
          <w:szCs w:val="24"/>
        </w:rPr>
        <w:t xml:space="preserve">. </w:t>
      </w:r>
      <w:r w:rsidR="00F37E7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Acesso em: 10 de set. de 2025.</w:t>
      </w:r>
    </w:p>
    <w:p w14:paraId="14851FAA" w14:textId="77777777" w:rsidR="00C919BE" w:rsidRPr="00C919BE" w:rsidRDefault="00C919BE" w:rsidP="00B61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4782DD" w14:textId="77777777" w:rsidR="00F37E7F" w:rsidRDefault="00C919BE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9BE">
        <w:rPr>
          <w:rFonts w:ascii="Times New Roman" w:hAnsi="Times New Roman" w:cs="Times New Roman"/>
          <w:sz w:val="24"/>
          <w:szCs w:val="24"/>
        </w:rPr>
        <w:t>LOPES, A.</w:t>
      </w:r>
      <w:r w:rsidR="00942CC4" w:rsidRPr="00C919BE">
        <w:rPr>
          <w:rFonts w:ascii="Times New Roman" w:hAnsi="Times New Roman" w:cs="Times New Roman"/>
          <w:sz w:val="24"/>
          <w:szCs w:val="24"/>
        </w:rPr>
        <w:t xml:space="preserve"> L.</w:t>
      </w:r>
      <w:r w:rsidRPr="00C919BE">
        <w:rPr>
          <w:rFonts w:ascii="Times New Roman" w:hAnsi="Times New Roman" w:cs="Times New Roman"/>
          <w:sz w:val="24"/>
          <w:szCs w:val="24"/>
        </w:rPr>
        <w:t>; NASCIMENTO, G.</w:t>
      </w:r>
      <w:r w:rsidR="00942CC4" w:rsidRPr="00C919BE">
        <w:rPr>
          <w:rFonts w:ascii="Times New Roman" w:hAnsi="Times New Roman" w:cs="Times New Roman"/>
          <w:sz w:val="24"/>
          <w:szCs w:val="24"/>
        </w:rPr>
        <w:t xml:space="preserve"> L. S.; </w:t>
      </w:r>
      <w:r w:rsidRPr="00C919BE">
        <w:rPr>
          <w:rFonts w:ascii="Times New Roman" w:hAnsi="Times New Roman" w:cs="Times New Roman"/>
          <w:sz w:val="24"/>
          <w:szCs w:val="24"/>
        </w:rPr>
        <w:t>SANTOS, S.</w:t>
      </w:r>
      <w:r w:rsidR="00942CC4" w:rsidRPr="00C919BE">
        <w:rPr>
          <w:rFonts w:ascii="Times New Roman" w:hAnsi="Times New Roman" w:cs="Times New Roman"/>
          <w:sz w:val="24"/>
          <w:szCs w:val="24"/>
        </w:rPr>
        <w:t xml:space="preserve">  C.  M. </w:t>
      </w:r>
      <w:r w:rsidRPr="00C919BE">
        <w:rPr>
          <w:rFonts w:ascii="Times New Roman" w:hAnsi="Times New Roman" w:cs="Times New Roman"/>
          <w:sz w:val="24"/>
          <w:szCs w:val="24"/>
        </w:rPr>
        <w:t>As aprendizagens</w:t>
      </w:r>
      <w:r w:rsidR="00942CC4" w:rsidRPr="00C919BE">
        <w:rPr>
          <w:rFonts w:ascii="Times New Roman" w:hAnsi="Times New Roman" w:cs="Times New Roman"/>
          <w:sz w:val="24"/>
          <w:szCs w:val="24"/>
        </w:rPr>
        <w:t xml:space="preserve"> </w:t>
      </w:r>
      <w:r w:rsidRPr="00C919BE">
        <w:rPr>
          <w:rFonts w:ascii="Times New Roman" w:hAnsi="Times New Roman" w:cs="Times New Roman"/>
          <w:sz w:val="24"/>
          <w:szCs w:val="24"/>
        </w:rPr>
        <w:t>dos alunos</w:t>
      </w:r>
      <w:r w:rsidR="00942CC4" w:rsidRPr="00C919BE">
        <w:rPr>
          <w:rFonts w:ascii="Times New Roman" w:hAnsi="Times New Roman" w:cs="Times New Roman"/>
          <w:sz w:val="24"/>
          <w:szCs w:val="24"/>
        </w:rPr>
        <w:t xml:space="preserve"> da Educação do Campo na perspectiva do capital cultural de Pierre Bourdieu. </w:t>
      </w:r>
      <w:r w:rsidR="00942CC4" w:rsidRPr="00C919BE">
        <w:rPr>
          <w:rFonts w:ascii="Times New Roman" w:hAnsi="Times New Roman" w:cs="Times New Roman"/>
          <w:b/>
          <w:bCs/>
          <w:sz w:val="24"/>
          <w:szCs w:val="24"/>
        </w:rPr>
        <w:t xml:space="preserve">Rev. Bras. Educ. </w:t>
      </w:r>
      <w:proofErr w:type="spellStart"/>
      <w:r w:rsidR="00942CC4" w:rsidRPr="00C919BE">
        <w:rPr>
          <w:rFonts w:ascii="Times New Roman" w:hAnsi="Times New Roman" w:cs="Times New Roman"/>
          <w:b/>
          <w:bCs/>
          <w:sz w:val="24"/>
          <w:szCs w:val="24"/>
        </w:rPr>
        <w:t>Camp</w:t>
      </w:r>
      <w:proofErr w:type="spellEnd"/>
      <w:r w:rsidR="00942CC4" w:rsidRPr="00C919BE">
        <w:rPr>
          <w:rFonts w:ascii="Times New Roman" w:hAnsi="Times New Roman" w:cs="Times New Roman"/>
          <w:sz w:val="24"/>
          <w:szCs w:val="24"/>
        </w:rPr>
        <w:t>., Tocantinópolis, v. 10, e19359, 2025.</w:t>
      </w:r>
      <w:r w:rsidR="00F37E7F">
        <w:rPr>
          <w:rFonts w:ascii="Times New Roman" w:hAnsi="Times New Roman" w:cs="Times New Roman"/>
          <w:sz w:val="24"/>
          <w:szCs w:val="24"/>
        </w:rPr>
        <w:t xml:space="preserve"> Disponível em: </w:t>
      </w:r>
      <w:hyperlink r:id="rId14" w:history="1">
        <w:r w:rsidR="00F37E7F" w:rsidRPr="00D25B57">
          <w:rPr>
            <w:rStyle w:val="Hyperlink"/>
            <w:rFonts w:ascii="Times New Roman" w:hAnsi="Times New Roman" w:cs="Times New Roman"/>
            <w:sz w:val="24"/>
            <w:szCs w:val="24"/>
          </w:rPr>
          <w:t>https://periodicos.ufnt.edu.br/index.php/campo/article/view/19359</w:t>
        </w:r>
      </w:hyperlink>
      <w:r w:rsidR="00F37E7F">
        <w:rPr>
          <w:rFonts w:ascii="Times New Roman" w:hAnsi="Times New Roman" w:cs="Times New Roman"/>
          <w:sz w:val="24"/>
          <w:szCs w:val="24"/>
        </w:rPr>
        <w:t xml:space="preserve">. </w:t>
      </w:r>
      <w:r w:rsidR="00F37E7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Acesso em: 10 de set. de 2025.</w:t>
      </w:r>
    </w:p>
    <w:p w14:paraId="65EA7DDF" w14:textId="77777777" w:rsidR="006625F7" w:rsidRPr="00C919BE" w:rsidRDefault="006625F7" w:rsidP="00B61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24F8BA" w14:textId="06D260AE" w:rsidR="00F37E7F" w:rsidRDefault="006625F7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9BE">
        <w:rPr>
          <w:rFonts w:ascii="Times New Roman" w:hAnsi="Times New Roman" w:cs="Times New Roman"/>
          <w:sz w:val="24"/>
          <w:szCs w:val="24"/>
        </w:rPr>
        <w:t>MARTINS, G.  L.</w:t>
      </w:r>
      <w:r w:rsidR="00C919BE" w:rsidRPr="00C919BE">
        <w:rPr>
          <w:rFonts w:ascii="Times New Roman" w:hAnsi="Times New Roman" w:cs="Times New Roman"/>
          <w:sz w:val="24"/>
          <w:szCs w:val="24"/>
        </w:rPr>
        <w:t>; FANIZZI</w:t>
      </w:r>
      <w:r w:rsidRPr="00C919BE">
        <w:rPr>
          <w:rFonts w:ascii="Times New Roman" w:hAnsi="Times New Roman" w:cs="Times New Roman"/>
          <w:sz w:val="24"/>
          <w:szCs w:val="24"/>
        </w:rPr>
        <w:t>, S.</w:t>
      </w:r>
      <w:r w:rsidR="00C919BE" w:rsidRPr="00C919BE">
        <w:rPr>
          <w:rFonts w:ascii="Times New Roman" w:hAnsi="Times New Roman" w:cs="Times New Roman"/>
          <w:sz w:val="24"/>
          <w:szCs w:val="24"/>
        </w:rPr>
        <w:t xml:space="preserve"> </w:t>
      </w:r>
      <w:r w:rsidRPr="00C919BE">
        <w:rPr>
          <w:rFonts w:ascii="Times New Roman" w:hAnsi="Times New Roman" w:cs="Times New Roman"/>
          <w:sz w:val="24"/>
          <w:szCs w:val="24"/>
        </w:rPr>
        <w:t>O Ensino da Matemática no contexto</w:t>
      </w:r>
      <w:r w:rsidR="00C919BE" w:rsidRPr="00C919BE">
        <w:rPr>
          <w:rFonts w:ascii="Times New Roman" w:hAnsi="Times New Roman" w:cs="Times New Roman"/>
          <w:sz w:val="24"/>
          <w:szCs w:val="24"/>
        </w:rPr>
        <w:t xml:space="preserve"> </w:t>
      </w:r>
      <w:r w:rsidRPr="00C919BE">
        <w:rPr>
          <w:rFonts w:ascii="Times New Roman" w:hAnsi="Times New Roman" w:cs="Times New Roman"/>
          <w:sz w:val="24"/>
          <w:szCs w:val="24"/>
        </w:rPr>
        <w:t xml:space="preserve">da Educação </w:t>
      </w:r>
      <w:r w:rsidR="00C919BE" w:rsidRPr="00C919BE">
        <w:rPr>
          <w:rFonts w:ascii="Times New Roman" w:hAnsi="Times New Roman" w:cs="Times New Roman"/>
          <w:sz w:val="24"/>
          <w:szCs w:val="24"/>
        </w:rPr>
        <w:t>do Campo</w:t>
      </w:r>
      <w:r w:rsidRPr="00C919BE">
        <w:rPr>
          <w:rFonts w:ascii="Times New Roman" w:hAnsi="Times New Roman" w:cs="Times New Roman"/>
          <w:sz w:val="24"/>
          <w:szCs w:val="24"/>
        </w:rPr>
        <w:t xml:space="preserve">: </w:t>
      </w:r>
      <w:r w:rsidR="00C919BE" w:rsidRPr="00C919BE">
        <w:rPr>
          <w:rFonts w:ascii="Times New Roman" w:hAnsi="Times New Roman" w:cs="Times New Roman"/>
          <w:sz w:val="24"/>
          <w:szCs w:val="24"/>
        </w:rPr>
        <w:t>limites e</w:t>
      </w:r>
      <w:r w:rsidRPr="00C919BE">
        <w:rPr>
          <w:rFonts w:ascii="Times New Roman" w:hAnsi="Times New Roman" w:cs="Times New Roman"/>
          <w:sz w:val="24"/>
          <w:szCs w:val="24"/>
        </w:rPr>
        <w:t xml:space="preserve"> possibilidades. </w:t>
      </w:r>
      <w:r w:rsidRPr="00C919BE">
        <w:rPr>
          <w:rFonts w:ascii="Times New Roman" w:hAnsi="Times New Roman" w:cs="Times New Roman"/>
          <w:b/>
          <w:bCs/>
          <w:sz w:val="24"/>
          <w:szCs w:val="24"/>
        </w:rPr>
        <w:t xml:space="preserve">Rev. Bras. Educ. </w:t>
      </w:r>
      <w:proofErr w:type="spellStart"/>
      <w:r w:rsidRPr="00C919BE">
        <w:rPr>
          <w:rFonts w:ascii="Times New Roman" w:hAnsi="Times New Roman" w:cs="Times New Roman"/>
          <w:b/>
          <w:bCs/>
          <w:sz w:val="24"/>
          <w:szCs w:val="24"/>
        </w:rPr>
        <w:t>Camp</w:t>
      </w:r>
      <w:proofErr w:type="spellEnd"/>
      <w:r w:rsidRPr="00C919BE">
        <w:rPr>
          <w:rFonts w:ascii="Times New Roman" w:hAnsi="Times New Roman" w:cs="Times New Roman"/>
          <w:sz w:val="24"/>
          <w:szCs w:val="24"/>
        </w:rPr>
        <w:t>., Tocantinópolis, v. 8, e15983, 2023.</w:t>
      </w:r>
      <w:r w:rsidR="00F37E7F">
        <w:rPr>
          <w:rFonts w:ascii="Times New Roman" w:hAnsi="Times New Roman" w:cs="Times New Roman"/>
          <w:sz w:val="24"/>
          <w:szCs w:val="24"/>
        </w:rPr>
        <w:t xml:space="preserve"> Disponível em: </w:t>
      </w:r>
      <w:hyperlink r:id="rId15" w:history="1">
        <w:r w:rsidR="00B229E5" w:rsidRPr="00D25B57">
          <w:rPr>
            <w:rStyle w:val="Hyperlink"/>
            <w:rFonts w:ascii="Times New Roman" w:hAnsi="Times New Roman" w:cs="Times New Roman"/>
            <w:sz w:val="24"/>
            <w:szCs w:val="24"/>
          </w:rPr>
          <w:t>https://periodicos.ufnt.edu.br/index.php/campo/article/view/15983</w:t>
        </w:r>
      </w:hyperlink>
      <w:r w:rsidR="00F37E7F">
        <w:rPr>
          <w:rFonts w:ascii="Times New Roman" w:hAnsi="Times New Roman" w:cs="Times New Roman"/>
          <w:sz w:val="24"/>
          <w:szCs w:val="24"/>
        </w:rPr>
        <w:t xml:space="preserve">. </w:t>
      </w:r>
      <w:r w:rsidR="00F37E7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Acesso em: 10 de set. de 2025.</w:t>
      </w:r>
    </w:p>
    <w:p w14:paraId="4B6E16EC" w14:textId="77777777" w:rsidR="006625F7" w:rsidRPr="00C919BE" w:rsidRDefault="006625F7" w:rsidP="00B61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5F2771" w14:textId="77777777" w:rsidR="00B229E5" w:rsidRDefault="00123CA3" w:rsidP="00B616F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919BE">
        <w:rPr>
          <w:rFonts w:ascii="Times New Roman" w:hAnsi="Times New Roman" w:cs="Times New Roman"/>
          <w:sz w:val="24"/>
          <w:szCs w:val="24"/>
        </w:rPr>
        <w:t>SILVA, M</w:t>
      </w:r>
      <w:r w:rsidR="00C919BE" w:rsidRPr="00C919BE">
        <w:rPr>
          <w:rFonts w:ascii="Times New Roman" w:hAnsi="Times New Roman" w:cs="Times New Roman"/>
          <w:sz w:val="24"/>
          <w:szCs w:val="24"/>
        </w:rPr>
        <w:t>.</w:t>
      </w:r>
      <w:r w:rsidRPr="00C919BE">
        <w:rPr>
          <w:rFonts w:ascii="Times New Roman" w:hAnsi="Times New Roman" w:cs="Times New Roman"/>
          <w:sz w:val="24"/>
          <w:szCs w:val="24"/>
        </w:rPr>
        <w:t xml:space="preserve"> R</w:t>
      </w:r>
      <w:r w:rsidR="00C919BE" w:rsidRPr="00C919BE">
        <w:rPr>
          <w:rFonts w:ascii="Times New Roman" w:hAnsi="Times New Roman" w:cs="Times New Roman"/>
          <w:sz w:val="24"/>
          <w:szCs w:val="24"/>
        </w:rPr>
        <w:t>.</w:t>
      </w:r>
      <w:r w:rsidRPr="00C919BE">
        <w:rPr>
          <w:rFonts w:ascii="Times New Roman" w:hAnsi="Times New Roman" w:cs="Times New Roman"/>
          <w:sz w:val="24"/>
          <w:szCs w:val="24"/>
        </w:rPr>
        <w:t xml:space="preserve"> F</w:t>
      </w:r>
      <w:r w:rsidR="00C919BE" w:rsidRPr="00C919BE">
        <w:rPr>
          <w:rFonts w:ascii="Times New Roman" w:hAnsi="Times New Roman" w:cs="Times New Roman"/>
          <w:sz w:val="24"/>
          <w:szCs w:val="24"/>
        </w:rPr>
        <w:t>.</w:t>
      </w:r>
      <w:r w:rsidRPr="00C919BE">
        <w:rPr>
          <w:rFonts w:ascii="Times New Roman" w:hAnsi="Times New Roman" w:cs="Times New Roman"/>
          <w:sz w:val="24"/>
          <w:szCs w:val="24"/>
        </w:rPr>
        <w:t>; SILVA, C</w:t>
      </w:r>
      <w:r w:rsidR="00C919BE" w:rsidRPr="00C919BE">
        <w:rPr>
          <w:rFonts w:ascii="Times New Roman" w:hAnsi="Times New Roman" w:cs="Times New Roman"/>
          <w:sz w:val="24"/>
          <w:szCs w:val="24"/>
        </w:rPr>
        <w:t>.</w:t>
      </w:r>
      <w:r w:rsidRPr="00C919BE">
        <w:rPr>
          <w:rFonts w:ascii="Times New Roman" w:hAnsi="Times New Roman" w:cs="Times New Roman"/>
          <w:sz w:val="24"/>
          <w:szCs w:val="24"/>
        </w:rPr>
        <w:t xml:space="preserve"> A</w:t>
      </w:r>
      <w:r w:rsidR="00C919BE" w:rsidRPr="00C919BE">
        <w:rPr>
          <w:rFonts w:ascii="Times New Roman" w:hAnsi="Times New Roman" w:cs="Times New Roman"/>
          <w:sz w:val="24"/>
          <w:szCs w:val="24"/>
        </w:rPr>
        <w:t>.</w:t>
      </w:r>
      <w:r w:rsidRPr="00C919BE">
        <w:rPr>
          <w:rFonts w:ascii="Times New Roman" w:hAnsi="Times New Roman" w:cs="Times New Roman"/>
          <w:sz w:val="24"/>
          <w:szCs w:val="24"/>
        </w:rPr>
        <w:t xml:space="preserve"> F</w:t>
      </w:r>
      <w:r w:rsidR="00C919BE" w:rsidRPr="00C919BE">
        <w:rPr>
          <w:rFonts w:ascii="Times New Roman" w:hAnsi="Times New Roman" w:cs="Times New Roman"/>
          <w:sz w:val="24"/>
          <w:szCs w:val="24"/>
        </w:rPr>
        <w:t>.</w:t>
      </w:r>
      <w:r w:rsidRPr="00C919BE">
        <w:rPr>
          <w:rFonts w:ascii="Times New Roman" w:hAnsi="Times New Roman" w:cs="Times New Roman"/>
          <w:sz w:val="24"/>
          <w:szCs w:val="24"/>
        </w:rPr>
        <w:t>; DUTRA, M</w:t>
      </w:r>
      <w:r w:rsidR="00C919BE" w:rsidRPr="00C919BE">
        <w:rPr>
          <w:rFonts w:ascii="Times New Roman" w:hAnsi="Times New Roman" w:cs="Times New Roman"/>
          <w:sz w:val="24"/>
          <w:szCs w:val="24"/>
        </w:rPr>
        <w:t>.</w:t>
      </w:r>
      <w:r w:rsidRPr="00C919BE">
        <w:rPr>
          <w:rFonts w:ascii="Times New Roman" w:hAnsi="Times New Roman" w:cs="Times New Roman"/>
          <w:sz w:val="24"/>
          <w:szCs w:val="24"/>
        </w:rPr>
        <w:t xml:space="preserve"> C</w:t>
      </w:r>
      <w:r w:rsidR="00C919BE" w:rsidRPr="00C919BE">
        <w:rPr>
          <w:rFonts w:ascii="Times New Roman" w:hAnsi="Times New Roman" w:cs="Times New Roman"/>
          <w:sz w:val="24"/>
          <w:szCs w:val="24"/>
        </w:rPr>
        <w:t>.</w:t>
      </w:r>
      <w:r w:rsidRPr="00C919BE">
        <w:rPr>
          <w:rFonts w:ascii="Times New Roman" w:hAnsi="Times New Roman" w:cs="Times New Roman"/>
          <w:sz w:val="24"/>
          <w:szCs w:val="24"/>
        </w:rPr>
        <w:t xml:space="preserve"> F</w:t>
      </w:r>
      <w:r w:rsidR="00C919BE" w:rsidRPr="00C919BE">
        <w:rPr>
          <w:rFonts w:ascii="Times New Roman" w:hAnsi="Times New Roman" w:cs="Times New Roman"/>
          <w:sz w:val="24"/>
          <w:szCs w:val="24"/>
        </w:rPr>
        <w:t>.</w:t>
      </w:r>
      <w:r w:rsidRPr="00C919BE">
        <w:rPr>
          <w:rFonts w:ascii="Times New Roman" w:hAnsi="Times New Roman" w:cs="Times New Roman"/>
          <w:sz w:val="24"/>
          <w:szCs w:val="24"/>
        </w:rPr>
        <w:t xml:space="preserve"> S</w:t>
      </w:r>
      <w:r w:rsidR="00C919BE" w:rsidRPr="00C919BE">
        <w:rPr>
          <w:rFonts w:ascii="Times New Roman" w:hAnsi="Times New Roman" w:cs="Times New Roman"/>
          <w:sz w:val="24"/>
          <w:szCs w:val="24"/>
        </w:rPr>
        <w:t>.</w:t>
      </w:r>
      <w:r w:rsidRPr="00C919BE">
        <w:rPr>
          <w:rFonts w:ascii="Times New Roman" w:hAnsi="Times New Roman" w:cs="Times New Roman"/>
          <w:sz w:val="24"/>
          <w:szCs w:val="24"/>
        </w:rPr>
        <w:t xml:space="preserve"> G</w:t>
      </w:r>
      <w:r w:rsidR="00C919BE" w:rsidRPr="00C919BE">
        <w:rPr>
          <w:rFonts w:ascii="Times New Roman" w:hAnsi="Times New Roman" w:cs="Times New Roman"/>
          <w:sz w:val="24"/>
          <w:szCs w:val="24"/>
        </w:rPr>
        <w:t>.</w:t>
      </w:r>
      <w:r w:rsidRPr="00C919BE">
        <w:rPr>
          <w:rFonts w:ascii="Times New Roman" w:hAnsi="Times New Roman" w:cs="Times New Roman"/>
          <w:sz w:val="24"/>
          <w:szCs w:val="24"/>
        </w:rPr>
        <w:t>; SOARES, M</w:t>
      </w:r>
      <w:r w:rsidR="00C919BE" w:rsidRPr="00C919BE">
        <w:rPr>
          <w:rFonts w:ascii="Times New Roman" w:hAnsi="Times New Roman" w:cs="Times New Roman"/>
          <w:sz w:val="24"/>
          <w:szCs w:val="24"/>
        </w:rPr>
        <w:t>.</w:t>
      </w:r>
      <w:r w:rsidRPr="00C919BE">
        <w:rPr>
          <w:rFonts w:ascii="Times New Roman" w:hAnsi="Times New Roman" w:cs="Times New Roman"/>
          <w:sz w:val="24"/>
          <w:szCs w:val="24"/>
        </w:rPr>
        <w:t xml:space="preserve"> Y</w:t>
      </w:r>
      <w:r w:rsidR="00C919BE" w:rsidRPr="00C919BE">
        <w:rPr>
          <w:rFonts w:ascii="Times New Roman" w:hAnsi="Times New Roman" w:cs="Times New Roman"/>
          <w:sz w:val="24"/>
          <w:szCs w:val="24"/>
        </w:rPr>
        <w:t>.</w:t>
      </w:r>
      <w:r w:rsidRPr="00C919BE">
        <w:rPr>
          <w:rFonts w:ascii="Times New Roman" w:hAnsi="Times New Roman" w:cs="Times New Roman"/>
          <w:sz w:val="24"/>
          <w:szCs w:val="24"/>
        </w:rPr>
        <w:t xml:space="preserve"> T. Hortas escolares e interdisciplinaridade nos Anos Iniciais do Ensino Fundamental. </w:t>
      </w:r>
      <w:r w:rsidRPr="00C919BE">
        <w:rPr>
          <w:rFonts w:ascii="Times New Roman" w:hAnsi="Times New Roman" w:cs="Times New Roman"/>
          <w:b/>
          <w:bCs/>
          <w:sz w:val="24"/>
          <w:szCs w:val="24"/>
        </w:rPr>
        <w:t>Revista de Matemática, Ensino e Cultura – REMATEC</w:t>
      </w:r>
      <w:r w:rsidRPr="00C919BE">
        <w:rPr>
          <w:rFonts w:ascii="Times New Roman" w:hAnsi="Times New Roman" w:cs="Times New Roman"/>
          <w:sz w:val="24"/>
          <w:szCs w:val="24"/>
        </w:rPr>
        <w:t>. Belém/PA, n. 45, e2023010, 2023</w:t>
      </w:r>
      <w:r w:rsidR="004C75CF" w:rsidRPr="00C919BE">
        <w:rPr>
          <w:rFonts w:ascii="Times New Roman" w:hAnsi="Times New Roman" w:cs="Times New Roman"/>
          <w:sz w:val="24"/>
          <w:szCs w:val="24"/>
        </w:rPr>
        <w:t>.</w:t>
      </w:r>
      <w:r w:rsidR="00B229E5">
        <w:rPr>
          <w:rFonts w:ascii="Times New Roman" w:hAnsi="Times New Roman" w:cs="Times New Roman"/>
          <w:sz w:val="24"/>
          <w:szCs w:val="24"/>
        </w:rPr>
        <w:t xml:space="preserve"> Disponível em: </w:t>
      </w:r>
      <w:hyperlink r:id="rId16" w:history="1">
        <w:r w:rsidR="00B229E5" w:rsidRPr="00D25B57">
          <w:rPr>
            <w:rStyle w:val="Hyperlink"/>
            <w:rFonts w:ascii="Times New Roman" w:hAnsi="Times New Roman" w:cs="Times New Roman"/>
            <w:sz w:val="24"/>
            <w:szCs w:val="24"/>
          </w:rPr>
          <w:t>https://www.rematec.net.br/index.php/rematec/article/view/549</w:t>
        </w:r>
      </w:hyperlink>
      <w:r w:rsidR="00B229E5">
        <w:rPr>
          <w:rFonts w:ascii="Times New Roman" w:hAnsi="Times New Roman" w:cs="Times New Roman"/>
          <w:sz w:val="24"/>
          <w:szCs w:val="24"/>
        </w:rPr>
        <w:t xml:space="preserve">. </w:t>
      </w:r>
      <w:r w:rsidR="00B229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Acesso em: 10 de set. de 2025.</w:t>
      </w:r>
    </w:p>
    <w:p w14:paraId="1B87E8BF" w14:textId="77777777" w:rsidR="002B3105" w:rsidRPr="00C919BE" w:rsidRDefault="002B3105" w:rsidP="00B61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E91430" w14:textId="13B83548" w:rsidR="002B3105" w:rsidRPr="00C919BE" w:rsidRDefault="002B3105" w:rsidP="00B61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9BE">
        <w:rPr>
          <w:rFonts w:ascii="Times New Roman" w:hAnsi="Times New Roman" w:cs="Times New Roman"/>
          <w:sz w:val="24"/>
          <w:szCs w:val="24"/>
        </w:rPr>
        <w:t xml:space="preserve">THIOLLENT, M. </w:t>
      </w:r>
      <w:r w:rsidRPr="00C919BE">
        <w:rPr>
          <w:rFonts w:ascii="Times New Roman" w:hAnsi="Times New Roman" w:cs="Times New Roman"/>
          <w:b/>
          <w:bCs/>
          <w:sz w:val="24"/>
          <w:szCs w:val="24"/>
        </w:rPr>
        <w:t xml:space="preserve">Metodologia da pesquisa-ação. </w:t>
      </w:r>
      <w:r w:rsidRPr="00C919BE">
        <w:rPr>
          <w:rFonts w:ascii="Times New Roman" w:hAnsi="Times New Roman" w:cs="Times New Roman"/>
          <w:sz w:val="24"/>
          <w:szCs w:val="24"/>
        </w:rPr>
        <w:t>19. ed. São Paulo: Cortez, 2008.</w:t>
      </w:r>
    </w:p>
    <w:sectPr w:rsidR="002B3105" w:rsidRPr="00C919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E7DEA"/>
    <w:multiLevelType w:val="multilevel"/>
    <w:tmpl w:val="A79A5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F77BF6"/>
    <w:multiLevelType w:val="multilevel"/>
    <w:tmpl w:val="9EDA9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9139741">
    <w:abstractNumId w:val="1"/>
  </w:num>
  <w:num w:numId="2" w16cid:durableId="1338727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468AA"/>
    <w:rsid w:val="00066E40"/>
    <w:rsid w:val="00071FCC"/>
    <w:rsid w:val="0007245A"/>
    <w:rsid w:val="000A5FAA"/>
    <w:rsid w:val="00120BDC"/>
    <w:rsid w:val="00123CA3"/>
    <w:rsid w:val="001538B7"/>
    <w:rsid w:val="0016138C"/>
    <w:rsid w:val="00192A4F"/>
    <w:rsid w:val="00193149"/>
    <w:rsid w:val="001D52C6"/>
    <w:rsid w:val="00290841"/>
    <w:rsid w:val="002B3105"/>
    <w:rsid w:val="002B4CC3"/>
    <w:rsid w:val="002C13EB"/>
    <w:rsid w:val="002D452B"/>
    <w:rsid w:val="002D52E3"/>
    <w:rsid w:val="00300218"/>
    <w:rsid w:val="00342DF4"/>
    <w:rsid w:val="00351404"/>
    <w:rsid w:val="003862F4"/>
    <w:rsid w:val="003B3E13"/>
    <w:rsid w:val="003D7AF2"/>
    <w:rsid w:val="004066AB"/>
    <w:rsid w:val="004277A0"/>
    <w:rsid w:val="00427B90"/>
    <w:rsid w:val="00441A3A"/>
    <w:rsid w:val="00491567"/>
    <w:rsid w:val="004B1518"/>
    <w:rsid w:val="004C75CF"/>
    <w:rsid w:val="004F67D5"/>
    <w:rsid w:val="00501981"/>
    <w:rsid w:val="00543C07"/>
    <w:rsid w:val="0054744E"/>
    <w:rsid w:val="00557230"/>
    <w:rsid w:val="00592D36"/>
    <w:rsid w:val="005C7BB5"/>
    <w:rsid w:val="005F2EF9"/>
    <w:rsid w:val="00622312"/>
    <w:rsid w:val="0064471A"/>
    <w:rsid w:val="00660186"/>
    <w:rsid w:val="006625F7"/>
    <w:rsid w:val="00663C0A"/>
    <w:rsid w:val="006B2254"/>
    <w:rsid w:val="006C2382"/>
    <w:rsid w:val="006D1DF0"/>
    <w:rsid w:val="006D7324"/>
    <w:rsid w:val="00703242"/>
    <w:rsid w:val="00705E21"/>
    <w:rsid w:val="00713266"/>
    <w:rsid w:val="0075240F"/>
    <w:rsid w:val="00767735"/>
    <w:rsid w:val="00773D54"/>
    <w:rsid w:val="007A7303"/>
    <w:rsid w:val="00804DA7"/>
    <w:rsid w:val="00806EE3"/>
    <w:rsid w:val="00827CEA"/>
    <w:rsid w:val="00843763"/>
    <w:rsid w:val="00872F1A"/>
    <w:rsid w:val="008A240B"/>
    <w:rsid w:val="0091518E"/>
    <w:rsid w:val="00941F25"/>
    <w:rsid w:val="00941F43"/>
    <w:rsid w:val="00942CC4"/>
    <w:rsid w:val="009435DE"/>
    <w:rsid w:val="00946BEB"/>
    <w:rsid w:val="00965819"/>
    <w:rsid w:val="0099456C"/>
    <w:rsid w:val="009B1627"/>
    <w:rsid w:val="009B4014"/>
    <w:rsid w:val="009D7A62"/>
    <w:rsid w:val="009F6290"/>
    <w:rsid w:val="00A91039"/>
    <w:rsid w:val="00A95CD4"/>
    <w:rsid w:val="00B14B03"/>
    <w:rsid w:val="00B229E5"/>
    <w:rsid w:val="00B26D4A"/>
    <w:rsid w:val="00B616FA"/>
    <w:rsid w:val="00BC0737"/>
    <w:rsid w:val="00BC48D5"/>
    <w:rsid w:val="00BD4DE2"/>
    <w:rsid w:val="00C0164A"/>
    <w:rsid w:val="00C273C4"/>
    <w:rsid w:val="00C27E66"/>
    <w:rsid w:val="00C31A1C"/>
    <w:rsid w:val="00C52228"/>
    <w:rsid w:val="00C546B5"/>
    <w:rsid w:val="00C83F70"/>
    <w:rsid w:val="00C919BE"/>
    <w:rsid w:val="00CE44A0"/>
    <w:rsid w:val="00D00BE4"/>
    <w:rsid w:val="00D178AF"/>
    <w:rsid w:val="00DC0D6D"/>
    <w:rsid w:val="00DC79A8"/>
    <w:rsid w:val="00DD63E8"/>
    <w:rsid w:val="00DE2BA8"/>
    <w:rsid w:val="00E32CBC"/>
    <w:rsid w:val="00E64BAF"/>
    <w:rsid w:val="00EC52C3"/>
    <w:rsid w:val="00F1253F"/>
    <w:rsid w:val="00F37E7F"/>
    <w:rsid w:val="00F62123"/>
    <w:rsid w:val="00F65C0F"/>
    <w:rsid w:val="00F700CB"/>
    <w:rsid w:val="00F87F63"/>
    <w:rsid w:val="00F955F0"/>
    <w:rsid w:val="00F96C5E"/>
    <w:rsid w:val="00FA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D1997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6B2254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B2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periodicos.ufpe.br/revistas/emteia/article/view/2218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periodicos.ufnt.edu.br/index.php/campo/article/view/12543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rematec.net.br/index.php/rematec/article/view/549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revistaea.org/pf.php?idartigo=1400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periodicos.ufnt.edu.br/index.php/campo/article/view/15983" TargetMode="External"/><Relationship Id="rId10" Type="http://schemas.openxmlformats.org/officeDocument/2006/relationships/hyperlink" Target="https://www.gepec.ufscar.br/publicacoes/livros-e-colecoes/livros-diversos/educacao-do-campo-identidade-e-politicas-publicas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periodicos.ufnt.edu.br/index.php/campo/article/view/19359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1959</Words>
  <Characters>10582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nayara borges</cp:lastModifiedBy>
  <cp:revision>4</cp:revision>
  <dcterms:created xsi:type="dcterms:W3CDTF">2025-09-13T15:07:00Z</dcterms:created>
  <dcterms:modified xsi:type="dcterms:W3CDTF">2025-10-08T23:07:00Z</dcterms:modified>
</cp:coreProperties>
</file>