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A INCLUSÃO DO SURDO E A EDUCAÇÃO BILÍNGUE: DESAFIOS E PERSPECTIVAS NO CONTEXTO ESCOLAR</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0"/>
          <w:szCs w:val="20"/>
        </w:rPr>
      </w:pPr>
      <w:r w:rsidDel="00000000" w:rsidR="00000000" w:rsidRPr="00000000">
        <w:rPr>
          <w:sz w:val="20"/>
          <w:szCs w:val="20"/>
          <w:rtl w:val="0"/>
        </w:rPr>
        <w:t xml:space="preserve">ANDRADE</w:t>
      </w:r>
      <w:r w:rsidDel="00000000" w:rsidR="00000000" w:rsidRPr="00000000">
        <w:rPr>
          <w:color w:val="000000"/>
          <w:sz w:val="20"/>
          <w:szCs w:val="20"/>
          <w:rtl w:val="0"/>
        </w:rPr>
        <w:t xml:space="preserve">, </w:t>
      </w:r>
      <w:r w:rsidDel="00000000" w:rsidR="00000000" w:rsidRPr="00000000">
        <w:rPr>
          <w:sz w:val="20"/>
          <w:szCs w:val="20"/>
          <w:rtl w:val="0"/>
        </w:rPr>
        <w:t xml:space="preserve">Claudiana Ribeiro dos Santos</w:t>
      </w:r>
      <w:r w:rsidDel="00000000" w:rsidR="00000000" w:rsidRPr="00000000">
        <w:rPr>
          <w:color w:val="000000"/>
          <w:sz w:val="20"/>
          <w:szCs w:val="20"/>
          <w:vertAlign w:val="superscript"/>
        </w:rPr>
        <w:footnoteReference w:customMarkFollows="0" w:id="0"/>
      </w: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sz w:val="20"/>
          <w:szCs w:val="20"/>
          <w:rtl w:val="0"/>
        </w:rPr>
        <w:t xml:space="preserve">SILVA</w:t>
      </w:r>
      <w:r w:rsidDel="00000000" w:rsidR="00000000" w:rsidRPr="00000000">
        <w:rPr>
          <w:color w:val="000000"/>
          <w:sz w:val="20"/>
          <w:szCs w:val="20"/>
          <w:rtl w:val="0"/>
        </w:rPr>
        <w:t xml:space="preserve">, </w:t>
      </w:r>
      <w:r w:rsidDel="00000000" w:rsidR="00000000" w:rsidRPr="00000000">
        <w:rPr>
          <w:sz w:val="20"/>
          <w:szCs w:val="20"/>
          <w:rtl w:val="0"/>
        </w:rPr>
        <w:t xml:space="preserve">Samara Cavalcanti da</w:t>
      </w:r>
      <w:r w:rsidDel="00000000" w:rsidR="00000000" w:rsidRPr="00000000">
        <w:rPr>
          <w:color w:val="000000"/>
          <w:sz w:val="20"/>
          <w:szCs w:val="20"/>
          <w:vertAlign w:val="superscript"/>
        </w:rPr>
        <w:footnoteReference w:customMarkFollows="0" w:id="1"/>
      </w:r>
      <w:r w:rsidDel="00000000" w:rsidR="00000000" w:rsidRPr="00000000">
        <w:rPr>
          <w:color w:val="000000"/>
          <w:sz w:val="20"/>
          <w:szCs w:val="20"/>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left"/>
        <w:rPr>
          <w:color w:val="ed7d31"/>
          <w:sz w:val="16"/>
          <w:szCs w:val="16"/>
        </w:rPr>
      </w:pPr>
      <w:r w:rsidDel="00000000" w:rsidR="00000000" w:rsidRPr="00000000">
        <w:rPr>
          <w:b w:val="1"/>
          <w:color w:val="000000"/>
          <w:sz w:val="20"/>
          <w:szCs w:val="20"/>
          <w:rtl w:val="0"/>
        </w:rPr>
        <w:t xml:space="preserve">Grupo de Trabalho (GT): </w:t>
      </w:r>
      <w:r w:rsidDel="00000000" w:rsidR="00000000" w:rsidRPr="00000000">
        <w:rPr>
          <w:b w:val="1"/>
          <w:sz w:val="20"/>
          <w:szCs w:val="20"/>
          <w:rtl w:val="0"/>
        </w:rPr>
        <w:t xml:space="preserve">GT 9 – Educação Especial e Inclusão de Pessoas com Deficiência</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rPr>
          <w:b w:val="1"/>
          <w:color w:val="000000"/>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b w:val="1"/>
          <w:color w:val="000000"/>
          <w:sz w:val="20"/>
          <w:szCs w:val="20"/>
          <w:rtl w:val="0"/>
        </w:rPr>
        <w:t xml:space="preserve">RESUMO</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color w:val="000000"/>
          <w:sz w:val="20"/>
          <w:szCs w:val="20"/>
          <w:rtl w:val="0"/>
        </w:rPr>
        <w:t xml:space="preserve">Este estudo tem como objetivo discutir </w:t>
      </w:r>
      <w:r w:rsidDel="00000000" w:rsidR="00000000" w:rsidRPr="00000000">
        <w:rPr>
          <w:sz w:val="20"/>
          <w:szCs w:val="20"/>
          <w:rtl w:val="0"/>
        </w:rPr>
        <w:t xml:space="preserve">as principais políticas públicas que assegurem a educação de surdos, analisando os desafios e as perspectivas para a inclusão desses estudantes</w:t>
      </w:r>
      <w:r w:rsidDel="00000000" w:rsidR="00000000" w:rsidRPr="00000000">
        <w:rPr>
          <w:color w:val="000000"/>
          <w:sz w:val="20"/>
          <w:szCs w:val="20"/>
          <w:rtl w:val="0"/>
        </w:rPr>
        <w:t xml:space="preserve">. A análise foi realizada a partir de três dissertações de mestrado disponíveis no Banco de Teses e Dissertações da CAPES, selecionadas por sua afinidade temática e profundidade nas discussões. Trata-se de uma pesquisa de revisão de literatura, fundamentada nas proposições de Gil (2002) e na abordagem qualitativa de Minayo (2016). Os resultados indicam que a escola bilíngue constitui um espaço privilegiado para o desenvolvimento linguístico e cultural do estudante surdo, evidenciando a necessidade urgente de formação docente adequada, de materiais didáticos bilíngues e da valorização da LIBRAS como primeira língua. Conclui-se que a efetividade de uma educação inclusiva depende do reconhecimento das especificidades linguísticas e culturais dos surdos.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b w:val="1"/>
          <w:color w:val="000000"/>
          <w:sz w:val="20"/>
          <w:szCs w:val="20"/>
          <w:rtl w:val="0"/>
        </w:rPr>
        <w:t xml:space="preserve">Palavras-chave: </w:t>
      </w:r>
      <w:r w:rsidDel="00000000" w:rsidR="00000000" w:rsidRPr="00000000">
        <w:rPr>
          <w:sz w:val="20"/>
          <w:szCs w:val="20"/>
          <w:rtl w:val="0"/>
        </w:rPr>
        <w:t xml:space="preserve">Educação bilíngue. Estudantes surdos. Inclusão. LIBRAS.</w:t>
      </w:r>
    </w:p>
    <w:p w:rsidR="00000000" w:rsidDel="00000000" w:rsidP="00000000" w:rsidRDefault="00000000" w:rsidRPr="00000000" w14:paraId="0000000D">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b w:val="1"/>
          <w:rtl w:val="0"/>
        </w:rPr>
        <w:t xml:space="preserve">1 </w:t>
      </w:r>
      <w:r w:rsidDel="00000000" w:rsidR="00000000" w:rsidRPr="00000000">
        <w:rPr>
          <w:b w:val="1"/>
          <w:color w:val="000000"/>
          <w:rtl w:val="0"/>
        </w:rPr>
        <w:t xml:space="preserve">INTRODUÇÃO</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firstLine="853"/>
        <w:rPr/>
      </w:pPr>
      <w:r w:rsidDel="00000000" w:rsidR="00000000" w:rsidRPr="00000000">
        <w:rPr>
          <w:rtl w:val="0"/>
        </w:rPr>
        <w:t xml:space="preserve">A educação de surdos no Brasil é marcada por um histórico de avanços e retrocessos. A chamada “Lei de LIBRAS” (BRASIL, 2002), que reconhece a Língua Brasileira de Sinais (LIBRAS) como meio legítimo de comunicação em todo o território nacional, constitui um marco importante para a comunidade surda. No entanto, apesar desses avanços legais, o cenário educacional ainda apresenta diversos obstáculos à implementação de uma educação realmente inclusiva e bilíngue.</w:t>
      </w:r>
    </w:p>
    <w:p w:rsidR="00000000" w:rsidDel="00000000" w:rsidP="00000000" w:rsidRDefault="00000000" w:rsidRPr="00000000" w14:paraId="00000010">
      <w:pPr>
        <w:pBdr>
          <w:top w:space="0" w:sz="0" w:val="nil"/>
          <w:left w:space="0" w:sz="0" w:val="nil"/>
          <w:bottom w:space="0" w:sz="0" w:val="nil"/>
          <w:right w:space="0" w:sz="0" w:val="nil"/>
          <w:between w:space="0" w:sz="0" w:val="nil"/>
        </w:pBdr>
        <w:ind w:firstLine="853"/>
        <w:rPr/>
      </w:pPr>
      <w:r w:rsidDel="00000000" w:rsidR="00000000" w:rsidRPr="00000000">
        <w:rPr>
          <w:rtl w:val="0"/>
        </w:rPr>
        <w:t xml:space="preserve">Diante disso, questiona-se como a escola brasileira tem implementado efetivamente essas políticas para garantir a inclusão dos surdos, levando em consideração as diferentes realidades que permeiam esse cenário. Este estudo tem como objetivo discutir as principais políticas públicas que assegurem a educação de surdos, analisando os desafios e as perspectivas para a inclusão desses estudantes. Desse modo, justifica-se pela necessidade de compreender como a escola brasileira tem conduzido o processo de inclusão de estudantes surdos, considerando a implementação da Lei nº 14.191/2021, que institui a Educação Bilíngue para surdos, garantindo a LIBRAS como primeira língua (L1) e a Língua Portuguesa, na modalidade escrita, como segunda língua (L2). </w:t>
      </w:r>
    </w:p>
    <w:p w:rsidR="00000000" w:rsidDel="00000000" w:rsidP="00000000" w:rsidRDefault="00000000" w:rsidRPr="00000000" w14:paraId="00000011">
      <w:pPr>
        <w:pBdr>
          <w:top w:space="0" w:sz="0" w:val="nil"/>
          <w:left w:space="0" w:sz="0" w:val="nil"/>
          <w:bottom w:space="0" w:sz="0" w:val="nil"/>
          <w:right w:space="0" w:sz="0" w:val="nil"/>
          <w:between w:space="0" w:sz="0" w:val="nil"/>
        </w:pBdr>
        <w:ind w:firstLine="853"/>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2 OBJETIVO</w:t>
      </w:r>
    </w:p>
    <w:p w:rsidR="00000000" w:rsidDel="00000000" w:rsidP="00000000" w:rsidRDefault="00000000" w:rsidRPr="00000000" w14:paraId="00000013">
      <w:pPr>
        <w:pBdr>
          <w:top w:space="0" w:sz="0" w:val="nil"/>
          <w:left w:space="0" w:sz="0" w:val="nil"/>
          <w:bottom w:space="0" w:sz="0" w:val="nil"/>
          <w:right w:space="0" w:sz="0" w:val="nil"/>
          <w:between w:space="0" w:sz="0" w:val="nil"/>
        </w:pBdr>
        <w:ind w:firstLine="720"/>
        <w:rPr/>
      </w:pPr>
      <w:r w:rsidDel="00000000" w:rsidR="00000000" w:rsidRPr="00000000">
        <w:rPr>
          <w:rtl w:val="0"/>
        </w:rPr>
        <w:t xml:space="preserve">Discutir as principais políticas públicas que assegurem a educação de surdos, à luz da educação bilíngue.</w:t>
      </w:r>
    </w:p>
    <w:p w:rsidR="00000000" w:rsidDel="00000000" w:rsidP="00000000" w:rsidRDefault="00000000" w:rsidRPr="00000000" w14:paraId="0000001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3 EDUCAÇÃO ESPECIAL E EDUCAÇÃO INCLUSIVA</w:t>
      </w:r>
    </w:p>
    <w:p w:rsidR="00000000" w:rsidDel="00000000" w:rsidP="00000000" w:rsidRDefault="00000000" w:rsidRPr="00000000" w14:paraId="00000016">
      <w:pPr>
        <w:ind w:firstLine="850"/>
        <w:rPr/>
      </w:pPr>
      <w:r w:rsidDel="00000000" w:rsidR="00000000" w:rsidRPr="00000000">
        <w:rPr>
          <w:rtl w:val="0"/>
        </w:rPr>
        <w:t xml:space="preserve">Discutir a inclusão nos espaços educativos é indispensável no contexto contemporâneo, mas o que realmente significa incluir? E, no ambiente escolar, como a inclusão deve ser compreendida? Nesse sentido, Camargo (2017) apresenta uma reflexão relevante, esclarecendo a noção de inclusão em um panorama mais amplo. Em sua premissa, compreende que, na educação, esse conceito é frequentemente interpretado de maneira equivocada, sendo associado apenas a um público específico: os estudantes atendidos pela modalidade Educação Especial.</w:t>
      </w:r>
    </w:p>
    <w:p w:rsidR="00000000" w:rsidDel="00000000" w:rsidP="00000000" w:rsidRDefault="00000000" w:rsidRPr="00000000" w14:paraId="00000017">
      <w:pPr>
        <w:ind w:firstLine="850"/>
        <w:rPr/>
      </w:pPr>
      <w:r w:rsidDel="00000000" w:rsidR="00000000" w:rsidRPr="00000000">
        <w:rPr>
          <w:rtl w:val="0"/>
        </w:rPr>
        <w:t xml:space="preserve">Assim, com base no autor, “Inclusão, portanto, é uma prática social que se aplica no trabalho, na arquitetura, no lazer, na educação, na cultura, mas, principalmente, na atitude e no perceber das coisas, de si e do outrem” (Camargo, 2017, p. 1). A partir dessa perspectiva, compreende-se que todos os alunos são destinatários da Educação Inclusiva, que não se restringe a um grupo específico, como ocorre na Educação Especial.</w:t>
      </w:r>
    </w:p>
    <w:p w:rsidR="00000000" w:rsidDel="00000000" w:rsidP="00000000" w:rsidRDefault="00000000" w:rsidRPr="00000000" w14:paraId="00000018">
      <w:pPr>
        <w:ind w:firstLine="850"/>
        <w:rPr/>
      </w:pPr>
      <w:r w:rsidDel="00000000" w:rsidR="00000000" w:rsidRPr="00000000">
        <w:rPr>
          <w:rtl w:val="0"/>
        </w:rPr>
        <w:t xml:space="preserve">De acordo com a LDB, “Entende-se por educação especial [...] a modalidade de educação escolar oferecida preferencialmente na rede regular de ensino, para educandos com deficiência, transtornos globais do desenvolvimento e altas habilidades ou superdotação” (Brasil, 1996). Assim, enquanto a Educação Especial tem um público definido, a Educação Inclusiva adota uma visão abrangente, voltada para todos os estudantes, buscando atender à diversidade presente na escola.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3.1</w:t>
      </w:r>
      <w:r w:rsidDel="00000000" w:rsidR="00000000" w:rsidRPr="00000000">
        <w:rPr>
          <w:rtl w:val="0"/>
        </w:rPr>
        <w:t xml:space="preserve"> </w:t>
      </w:r>
      <w:r w:rsidDel="00000000" w:rsidR="00000000" w:rsidRPr="00000000">
        <w:rPr>
          <w:b w:val="1"/>
          <w:rtl w:val="0"/>
        </w:rPr>
        <w:t xml:space="preserve">Desafios para a inclusão do estudante Surdo na Educação Básica</w:t>
      </w:r>
    </w:p>
    <w:p w:rsidR="00000000" w:rsidDel="00000000" w:rsidP="00000000" w:rsidRDefault="00000000" w:rsidRPr="00000000" w14:paraId="0000001B">
      <w:pPr>
        <w:ind w:firstLine="850"/>
        <w:rPr/>
      </w:pPr>
      <w:r w:rsidDel="00000000" w:rsidR="00000000" w:rsidRPr="00000000">
        <w:rPr>
          <w:rtl w:val="0"/>
        </w:rPr>
        <w:t xml:space="preserve">No cenário da inclusão do estudante surdo na Educação Básica, é fundamental compreender como esses sujeitos são percebidos e qual modelo educacional se mostra mais adequado para seu desenvolvimento. Nesse sentido, destaca-se o estudo de Jesus (2022), que analisa as semelhanças e diferenças entre a educação ofertada na escola bilíngue para surdos, modelo em que a LIBRAS é utilizada como primeira língua (L1) e a Língua Portuguesa, na modalidade escrita, como segunda língua (L2), e o Atendimento Educacional Especializado (AEE) dentro da escola inclusiva, geralmente oferecido em turno oposto ao horário regular, conforme previsto na Lei nº 9.394/1996.</w:t>
      </w:r>
    </w:p>
    <w:p w:rsidR="00000000" w:rsidDel="00000000" w:rsidP="00000000" w:rsidRDefault="00000000" w:rsidRPr="00000000" w14:paraId="0000001C">
      <w:pPr>
        <w:ind w:firstLine="850"/>
        <w:rPr/>
      </w:pPr>
      <w:r w:rsidDel="00000000" w:rsidR="00000000" w:rsidRPr="00000000">
        <w:rPr>
          <w:rtl w:val="0"/>
        </w:rPr>
        <w:t xml:space="preserve">O público-alvo da pesquisa de Jesus (2022) compreendeu cerca de 20 participantes com diferentes funções: especialistas do AEE, gestores, professores e estudantes surdos, englobando o total das duas instituições estudadas. Os resultados indicam que a escola bilíngue constitui um espaço mais favorável ao desenvolvimento linguístico e cultural do estudante surdo. Por outro lado, o AEE apresenta lacunas, desde a insuficiência de formação em LIBRAS por parte dos profissionais regulares até a falta de recursos pedagógicos específicos, comprometendo a efetividade de um processo de ensino e aprendizagem verdadeiramente inclusivo.</w:t>
      </w:r>
    </w:p>
    <w:p w:rsidR="00000000" w:rsidDel="00000000" w:rsidP="00000000" w:rsidRDefault="00000000" w:rsidRPr="00000000" w14:paraId="0000001D">
      <w:pPr>
        <w:ind w:firstLine="850"/>
        <w:rPr/>
      </w:pPr>
      <w:r w:rsidDel="00000000" w:rsidR="00000000" w:rsidRPr="00000000">
        <w:rPr>
          <w:rtl w:val="0"/>
        </w:rPr>
        <w:t xml:space="preserve">Ainda assim, os contextos educacionais enfrentam desafios na implementação de práticas bilíngues. Araújo (2023) aponta dificuldades como a necessidade de adaptação das propostas pedagógicas, lacunas na formação inicial e continuada de docentes em LIBRAS e a deficiência de recursos materiais e linguísticos adequados, conforme orienta a legislação educacional vigente (Brasil, 2021). Nessa seara, embora existam políticas públicas voltadas à inclusão de estudantes surdos e à educação bilíngue, sua implementação ainda esbarra em limitações estruturais, financeiras e atitudinais, como ausência de planejamento específico, escassez de materiais didáticos adaptados e sobrecarga de professores e intérpretes.</w:t>
      </w:r>
    </w:p>
    <w:p w:rsidR="00000000" w:rsidDel="00000000" w:rsidP="00000000" w:rsidRDefault="00000000" w:rsidRPr="00000000" w14:paraId="0000001E">
      <w:pPr>
        <w:ind w:firstLine="850"/>
        <w:rPr/>
      </w:pPr>
      <w:r w:rsidDel="00000000" w:rsidR="00000000" w:rsidRPr="00000000">
        <w:rPr>
          <w:rtl w:val="0"/>
        </w:rPr>
        <w:t xml:space="preserve">O estudo de Araújo (2023) evidencia que a utilização da LIBRAS como primeira língua fortalece a identidade e a cultura dos estudantes surdos, sendo o reconhecimento desses aspectos pela equipe diretiva das escolas um avanço político relevante.</w:t>
      </w:r>
    </w:p>
    <w:p w:rsidR="00000000" w:rsidDel="00000000" w:rsidP="00000000" w:rsidRDefault="00000000" w:rsidRPr="00000000" w14:paraId="0000001F">
      <w:pPr>
        <w:ind w:firstLine="850"/>
        <w:rPr/>
      </w:pPr>
      <w:r w:rsidDel="00000000" w:rsidR="00000000" w:rsidRPr="00000000">
        <w:rPr>
          <w:rtl w:val="0"/>
        </w:rPr>
        <w:t xml:space="preserve">De forma complementar, Souza (2023) investiga a implementação da educação bilíngue para surdos em uma rede pública de ensino, apontando a dualidade entre as diretrizes das políticas públicas e a realidade vivenciada nas escolas. Entre os fatores limitantes destacados, estão a falta de formação específica para os profissionais, insuficiência da infraestrutura escolar, ausência de materiais didáticos adequados e a perspectiva medicalizante da surdez. Destarte, quando a surdez é entendida apenas como deficiência ou déficit biológico a ser corrigido clinicamente, desconsidera-se a identidade cultural do surdo, perpetuando comportamentos de exclusão.</w:t>
      </w:r>
    </w:p>
    <w:p w:rsidR="00000000" w:rsidDel="00000000" w:rsidP="00000000" w:rsidRDefault="00000000" w:rsidRPr="00000000" w14:paraId="00000020">
      <w:pPr>
        <w:ind w:firstLine="850"/>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4 PROCEDIMENTOS ÉTICOS E METODOLÓGICOS</w:t>
      </w:r>
    </w:p>
    <w:p w:rsidR="00000000" w:rsidDel="00000000" w:rsidP="00000000" w:rsidRDefault="00000000" w:rsidRPr="00000000" w14:paraId="00000022">
      <w:pPr>
        <w:ind w:firstLine="850"/>
        <w:rPr/>
      </w:pPr>
      <w:r w:rsidDel="00000000" w:rsidR="00000000" w:rsidRPr="00000000">
        <w:rPr>
          <w:rtl w:val="0"/>
        </w:rPr>
        <w:t xml:space="preserve">Com vistas à concretização da investigação proposta, </w:t>
      </w:r>
      <w:r w:rsidDel="00000000" w:rsidR="00000000" w:rsidRPr="00000000">
        <w:rPr>
          <w:color w:val="000000"/>
          <w:rtl w:val="0"/>
        </w:rPr>
        <w:t xml:space="preserve">discutir </w:t>
      </w:r>
      <w:r w:rsidDel="00000000" w:rsidR="00000000" w:rsidRPr="00000000">
        <w:rPr>
          <w:rtl w:val="0"/>
        </w:rPr>
        <w:t xml:space="preserve">as principais políticas públicas que assegurem a educação de surdos, analisando os desafios e as perspectivas para a inclusão desses estudantes, delimitou-se a análise a três dissertações de mestrado, desenvolvidas no âmbito da disciplina Estudos Avançados Sobre a Surdez e a Educação das Pessoas Surdas, do Programa de Mestrado Profissional em Educação Inclusiva em Rede Nacional (PROFEI) da Universidade Estadual de Alagoas (UNEAL), no período de março a junho de 2025.</w:t>
      </w:r>
    </w:p>
    <w:p w:rsidR="00000000" w:rsidDel="00000000" w:rsidP="00000000" w:rsidRDefault="00000000" w:rsidRPr="00000000" w14:paraId="00000023">
      <w:pPr>
        <w:ind w:firstLine="850"/>
        <w:rPr/>
      </w:pPr>
      <w:r w:rsidDel="00000000" w:rsidR="00000000" w:rsidRPr="00000000">
        <w:rPr>
          <w:rtl w:val="0"/>
        </w:rPr>
        <w:t xml:space="preserve">As dissertações analisadas foram do Banco de Teses e Dissertações da CAPES, utilizando os descritores de educação bilíngue para surdos e educação de surdos, com filtro por ano: 2022, 2023, 2024 por refletir um cenário mais recente. Após essa etapa escolhemos apenas três trabalhos para análise. O contato com os autores não foi realizado, já que os trabalhos são de domínio público, todavia, a análise foi conduzida assegurando as ideias originais, respeitando a referência conforme normas da Associação Brasileira de Normas Técnicas (ABNT). Desse modo, busca-se preservar a fidedignidade das produções.   </w:t>
      </w:r>
    </w:p>
    <w:p w:rsidR="00000000" w:rsidDel="00000000" w:rsidP="00000000" w:rsidRDefault="00000000" w:rsidRPr="00000000" w14:paraId="00000024">
      <w:pPr>
        <w:ind w:firstLine="850"/>
        <w:rPr/>
      </w:pPr>
      <w:r w:rsidDel="00000000" w:rsidR="00000000" w:rsidRPr="00000000">
        <w:rPr>
          <w:rtl w:val="0"/>
        </w:rPr>
        <w:t xml:space="preserve">As dissertações analisadas foram:</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Araújo (2023)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educação bilíngue para surdas/os como um direito social: um estudo numa escola municipal de Natal/RN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Jesus (2022)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Educação bilíngue para surdos: um estudo comparativo da escola bilíngue e do Atendimento Educacional Especializado (AEE) na escola inclusiva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Souza (2023)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 processo de implementação da educação bilíngue para surdos em uma rede pública de ensino: uma análise sócio-histórica.</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ind w:firstLine="850"/>
        <w:rPr>
          <w:highlight w:val="white"/>
        </w:rPr>
      </w:pPr>
      <w:r w:rsidDel="00000000" w:rsidR="00000000" w:rsidRPr="00000000">
        <w:rPr>
          <w:rtl w:val="0"/>
        </w:rPr>
        <w:t xml:space="preserve">Adotou-se o modelo de pesquisa do tipo revisão de literatura, conforme caracterizado por Gil (2002), considerando-o um instrumento privilegiado para investigar materiais já produzidos, como é o caso das dissertações analisadas neste estudo. Além disso, a pesquisa se fundamentou na abordagem qualitativa, que, segundo Minayo (2016), no campo das ciências sociais, permite investigar questões particulares ao se debruçar sobre os fenômenos humanos como parte integrante da realidade social</w:t>
      </w:r>
      <w:r w:rsidDel="00000000" w:rsidR="00000000" w:rsidRPr="00000000">
        <w:rPr>
          <w:highlight w:val="white"/>
          <w:rtl w:val="0"/>
        </w:rPr>
        <w:t xml:space="preserve">. </w:t>
      </w:r>
    </w:p>
    <w:p w:rsidR="00000000" w:rsidDel="00000000" w:rsidP="00000000" w:rsidRDefault="00000000" w:rsidRPr="00000000" w14:paraId="0000002B">
      <w:pPr>
        <w:ind w:firstLine="850"/>
        <w:rPr>
          <w:highlight w:val="white"/>
        </w:rPr>
      </w:pPr>
      <w:r w:rsidDel="00000000" w:rsidR="00000000" w:rsidRPr="00000000">
        <w:rPr>
          <w:highlight w:val="white"/>
          <w:rtl w:val="0"/>
        </w:rPr>
        <w:t xml:space="preserve">A análise seguiu a estrutura fundamentada em </w:t>
      </w:r>
      <w:r w:rsidDel="00000000" w:rsidR="00000000" w:rsidRPr="00000000">
        <w:rPr>
          <w:rtl w:val="0"/>
        </w:rPr>
        <w:t xml:space="preserve">Minayo (2016), seguindo os passos: </w:t>
      </w:r>
      <w:r w:rsidDel="00000000" w:rsidR="00000000" w:rsidRPr="00000000">
        <w:rPr>
          <w:i w:val="1"/>
          <w:rtl w:val="0"/>
        </w:rPr>
        <w:t xml:space="preserve">Análise preliminar</w:t>
      </w:r>
      <w:r w:rsidDel="00000000" w:rsidR="00000000" w:rsidRPr="00000000">
        <w:rPr>
          <w:rtl w:val="0"/>
        </w:rPr>
        <w:t xml:space="preserve"> -</w:t>
      </w:r>
      <w:r w:rsidDel="00000000" w:rsidR="00000000" w:rsidRPr="00000000">
        <w:rPr>
          <w:rtl w:val="0"/>
        </w:rPr>
        <w:t xml:space="preserve"> é o primeiro contato com o material que dará subsídio à pesquisa. </w:t>
      </w:r>
      <w:r w:rsidDel="00000000" w:rsidR="00000000" w:rsidRPr="00000000">
        <w:rPr>
          <w:i w:val="1"/>
          <w:rtl w:val="0"/>
        </w:rPr>
        <w:t xml:space="preserve">Exploração do material</w:t>
      </w:r>
      <w:r w:rsidDel="00000000" w:rsidR="00000000" w:rsidRPr="00000000">
        <w:rPr>
          <w:rtl w:val="0"/>
        </w:rPr>
        <w:t xml:space="preserve"> - </w:t>
      </w:r>
      <w:r w:rsidDel="00000000" w:rsidR="00000000" w:rsidRPr="00000000">
        <w:rPr>
          <w:rtl w:val="0"/>
        </w:rPr>
        <w:t xml:space="preserve"> processo de codificação, que consiste na seleção dos trechos com representatividade, esse momento é caracterizado como processo de codificação, em que se filtra as partes significativas do Corpus. </w:t>
      </w:r>
      <w:r w:rsidDel="00000000" w:rsidR="00000000" w:rsidRPr="00000000">
        <w:rPr>
          <w:i w:val="1"/>
          <w:rtl w:val="0"/>
        </w:rPr>
        <w:t xml:space="preserve">Tratamento dos resultados/inferências/interpretações</w:t>
      </w:r>
      <w:r w:rsidDel="00000000" w:rsidR="00000000" w:rsidRPr="00000000">
        <w:rPr>
          <w:rtl w:val="0"/>
        </w:rPr>
        <w:t xml:space="preserve"> -</w:t>
      </w:r>
      <w:r w:rsidDel="00000000" w:rsidR="00000000" w:rsidRPr="00000000">
        <w:rPr>
          <w:rtl w:val="0"/>
        </w:rPr>
        <w:t xml:space="preserve"> são interpretados os dados colhidos na análise.</w:t>
      </w: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5 RESULTADOS</w:t>
      </w:r>
    </w:p>
    <w:p w:rsidR="00000000" w:rsidDel="00000000" w:rsidP="00000000" w:rsidRDefault="00000000" w:rsidRPr="00000000" w14:paraId="0000002E">
      <w:pPr>
        <w:ind w:firstLine="850"/>
        <w:rPr/>
      </w:pPr>
      <w:r w:rsidDel="00000000" w:rsidR="00000000" w:rsidRPr="00000000">
        <w:rPr>
          <w:rtl w:val="0"/>
        </w:rPr>
        <w:t xml:space="preserve">As dissertações analisadas foram localizadas no Banco de Teses e Dissertações da CAPES e são oriundas de duas regiões do país: Nordeste (02) e Sul (01). Em todos os trabalhos, identificam-se pontos de cisão quanto às limitações da educação de surdos no contexto do ensino bilíngue. Apesar do acesso à informação, das conquistas da comunidade surda ao longo dos séculos e da premissa da gestão democrática como base para a organização das escolas públicas brasileiras, observa-se que a participação da comunidade surda nos processos decisórios escolares ainda é restrita, comprometendo de maneira significativa a acessibilidade linguística dos estudantes surdos.</w:t>
      </w:r>
    </w:p>
    <w:p w:rsidR="00000000" w:rsidDel="00000000" w:rsidP="00000000" w:rsidRDefault="00000000" w:rsidRPr="00000000" w14:paraId="0000002F">
      <w:pPr>
        <w:ind w:firstLine="850"/>
        <w:jc w:val="center"/>
        <w:rPr/>
      </w:pPr>
      <w:r w:rsidDel="00000000" w:rsidR="00000000" w:rsidRPr="00000000">
        <w:rPr>
          <w:rtl w:val="0"/>
        </w:rPr>
      </w:r>
    </w:p>
    <w:p w:rsidR="00000000" w:rsidDel="00000000" w:rsidP="00000000" w:rsidRDefault="00000000" w:rsidRPr="00000000" w14:paraId="00000030">
      <w:pPr>
        <w:ind w:firstLine="850"/>
        <w:jc w:val="center"/>
        <w:rPr>
          <w:sz w:val="20"/>
          <w:szCs w:val="20"/>
        </w:rPr>
      </w:pPr>
      <w:r w:rsidDel="00000000" w:rsidR="00000000" w:rsidRPr="00000000">
        <w:rPr>
          <w:b w:val="1"/>
          <w:sz w:val="20"/>
          <w:szCs w:val="20"/>
          <w:rtl w:val="0"/>
        </w:rPr>
        <w:t xml:space="preserve">Tabela I</w:t>
      </w:r>
      <w:r w:rsidDel="00000000" w:rsidR="00000000" w:rsidRPr="00000000">
        <w:rPr>
          <w:sz w:val="20"/>
          <w:szCs w:val="20"/>
          <w:rtl w:val="0"/>
        </w:rPr>
        <w:t xml:space="preserve"> - Quadro comparativo com dificuldades comuns.</w:t>
      </w:r>
    </w:p>
    <w:tbl>
      <w:tblPr>
        <w:tblStyle w:val="Table1"/>
        <w:tblW w:w="9045.0" w:type="dxa"/>
        <w:jc w:val="left"/>
        <w:tblInd w:w="120.0" w:type="dxa"/>
        <w:tblBorders>
          <w:top w:color="000000" w:space="0" w:sz="8" w:val="single"/>
          <w:bottom w:color="000000" w:space="0" w:sz="8" w:val="single"/>
          <w:insideH w:color="000000" w:space="0" w:sz="8" w:val="single"/>
          <w:insideV w:color="000000" w:space="0" w:sz="8" w:val="single"/>
        </w:tblBorders>
        <w:tblLayout w:type="fixed"/>
        <w:tblLook w:val="0600"/>
      </w:tblPr>
      <w:tblGrid>
        <w:gridCol w:w="2235"/>
        <w:gridCol w:w="6810"/>
        <w:tblGridChange w:id="0">
          <w:tblGrid>
            <w:gridCol w:w="2235"/>
            <w:gridCol w:w="6810"/>
          </w:tblGrid>
        </w:tblGridChange>
      </w:tblGrid>
      <w:tr>
        <w:trPr>
          <w:cantSplit w:val="0"/>
          <w:trHeight w:val="449" w:hRule="atLeast"/>
          <w:tblHeader w:val="0"/>
        </w:trPr>
        <w:tc>
          <w:tcP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jc w:val="center"/>
              <w:rPr>
                <w:b w:val="1"/>
                <w:sz w:val="20"/>
                <w:szCs w:val="20"/>
              </w:rPr>
            </w:pPr>
            <w:r w:rsidDel="00000000" w:rsidR="00000000" w:rsidRPr="00000000">
              <w:rPr>
                <w:b w:val="1"/>
                <w:sz w:val="20"/>
                <w:szCs w:val="20"/>
                <w:rtl w:val="0"/>
              </w:rPr>
              <w:t xml:space="preserve">Autor/ano</w:t>
            </w:r>
          </w:p>
        </w:tc>
        <w:tc>
          <w:tcPr>
            <w:tcMar>
              <w:top w:w="100.0" w:type="dxa"/>
              <w:left w:w="100.0" w:type="dxa"/>
              <w:bottom w:w="100.0" w:type="dxa"/>
              <w:right w:w="100.0" w:type="dxa"/>
            </w:tcMar>
          </w:tcPr>
          <w:p w:rsidR="00000000" w:rsidDel="00000000" w:rsidP="00000000" w:rsidRDefault="00000000" w:rsidRPr="00000000" w14:paraId="00000032">
            <w:pPr>
              <w:ind w:firstLine="850"/>
              <w:jc w:val="center"/>
              <w:rPr>
                <w:b w:val="1"/>
                <w:sz w:val="20"/>
                <w:szCs w:val="20"/>
              </w:rPr>
            </w:pPr>
            <w:r w:rsidDel="00000000" w:rsidR="00000000" w:rsidRPr="00000000">
              <w:rPr>
                <w:b w:val="1"/>
                <w:sz w:val="20"/>
                <w:szCs w:val="20"/>
                <w:rtl w:val="0"/>
              </w:rPr>
              <w:t xml:space="preserve">Dificuldades Comuns</w:t>
            </w:r>
          </w:p>
        </w:tc>
      </w:tr>
      <w:tr>
        <w:trPr>
          <w:cantSplit w:val="0"/>
          <w:trHeight w:val="458" w:hRule="atLeast"/>
          <w:tblHeader w:val="0"/>
        </w:trPr>
        <w:tc>
          <w:tcP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jc w:val="left"/>
              <w:rPr>
                <w:sz w:val="20"/>
                <w:szCs w:val="20"/>
              </w:rPr>
            </w:pPr>
            <w:r w:rsidDel="00000000" w:rsidR="00000000" w:rsidRPr="00000000">
              <w:rPr>
                <w:sz w:val="20"/>
                <w:szCs w:val="20"/>
                <w:rtl w:val="0"/>
              </w:rPr>
              <w:t xml:space="preserve">Araújo (2023)</w:t>
            </w:r>
          </w:p>
        </w:tc>
        <w:tc>
          <w:tcPr>
            <w:tcMar>
              <w:top w:w="100.0" w:type="dxa"/>
              <w:left w:w="100.0" w:type="dxa"/>
              <w:bottom w:w="100.0" w:type="dxa"/>
              <w:right w:w="100.0" w:type="dxa"/>
            </w:tcMar>
          </w:tcPr>
          <w:p w:rsidR="00000000" w:rsidDel="00000000" w:rsidP="00000000" w:rsidRDefault="00000000" w:rsidRPr="00000000" w14:paraId="00000034">
            <w:pPr>
              <w:spacing w:line="240" w:lineRule="auto"/>
              <w:rPr>
                <w:sz w:val="20"/>
                <w:szCs w:val="20"/>
              </w:rPr>
            </w:pPr>
            <w:r w:rsidDel="00000000" w:rsidR="00000000" w:rsidRPr="00000000">
              <w:rPr>
                <w:sz w:val="20"/>
                <w:szCs w:val="20"/>
                <w:rtl w:val="0"/>
              </w:rPr>
              <w:t xml:space="preserve">Formação específica para docentes e intérpretes;</w:t>
            </w:r>
          </w:p>
          <w:p w:rsidR="00000000" w:rsidDel="00000000" w:rsidP="00000000" w:rsidRDefault="00000000" w:rsidRPr="00000000" w14:paraId="00000035">
            <w:pPr>
              <w:spacing w:line="240" w:lineRule="auto"/>
              <w:rPr>
                <w:sz w:val="20"/>
                <w:szCs w:val="20"/>
              </w:rPr>
            </w:pPr>
            <w:r w:rsidDel="00000000" w:rsidR="00000000" w:rsidRPr="00000000">
              <w:rPr>
                <w:sz w:val="20"/>
                <w:szCs w:val="20"/>
                <w:rtl w:val="0"/>
              </w:rPr>
              <w:t xml:space="preserve">Dificuldades para à implementação de práticas bilíngues;</w:t>
            </w:r>
          </w:p>
          <w:p w:rsidR="00000000" w:rsidDel="00000000" w:rsidP="00000000" w:rsidRDefault="00000000" w:rsidRPr="00000000" w14:paraId="00000036">
            <w:pPr>
              <w:spacing w:line="240" w:lineRule="auto"/>
              <w:rPr>
                <w:sz w:val="20"/>
                <w:szCs w:val="20"/>
              </w:rPr>
            </w:pPr>
            <w:r w:rsidDel="00000000" w:rsidR="00000000" w:rsidRPr="00000000">
              <w:rPr>
                <w:sz w:val="20"/>
                <w:szCs w:val="20"/>
                <w:rtl w:val="0"/>
              </w:rPr>
              <w:t xml:space="preserve">Desconhecimento das especificidades linguísticas e culturais da Comunidade Surda;</w:t>
            </w:r>
          </w:p>
        </w:tc>
      </w:tr>
      <w:tr>
        <w:trPr>
          <w:cantSplit w:val="0"/>
          <w:trHeight w:val="416" w:hRule="atLeast"/>
          <w:tblHeader w:val="0"/>
        </w:trPr>
        <w:tc>
          <w:tcPr>
            <w:tcMar>
              <w:top w:w="100.0" w:type="dxa"/>
              <w:left w:w="100.0" w:type="dxa"/>
              <w:bottom w:w="100.0" w:type="dxa"/>
              <w:right w:w="100.0" w:type="dxa"/>
            </w:tcMar>
          </w:tcPr>
          <w:p w:rsidR="00000000" w:rsidDel="00000000" w:rsidP="00000000" w:rsidRDefault="00000000" w:rsidRPr="00000000" w14:paraId="00000037">
            <w:pPr>
              <w:widowControl w:val="0"/>
              <w:spacing w:line="240" w:lineRule="auto"/>
              <w:jc w:val="left"/>
              <w:rPr>
                <w:sz w:val="20"/>
                <w:szCs w:val="20"/>
              </w:rPr>
            </w:pPr>
            <w:r w:rsidDel="00000000" w:rsidR="00000000" w:rsidRPr="00000000">
              <w:rPr>
                <w:sz w:val="20"/>
                <w:szCs w:val="20"/>
                <w:rtl w:val="0"/>
              </w:rPr>
              <w:t xml:space="preserve">Jesus (2022)</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jc w:val="left"/>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9">
            <w:pPr>
              <w:spacing w:line="240" w:lineRule="auto"/>
              <w:rPr>
                <w:sz w:val="20"/>
                <w:szCs w:val="20"/>
              </w:rPr>
            </w:pPr>
            <w:r w:rsidDel="00000000" w:rsidR="00000000" w:rsidRPr="00000000">
              <w:rPr>
                <w:sz w:val="20"/>
                <w:szCs w:val="20"/>
                <w:rtl w:val="0"/>
              </w:rPr>
              <w:t xml:space="preserve">Incompreensão dos princípios da educação bilíngue;</w:t>
            </w:r>
          </w:p>
          <w:p w:rsidR="00000000" w:rsidDel="00000000" w:rsidP="00000000" w:rsidRDefault="00000000" w:rsidRPr="00000000" w14:paraId="0000003A">
            <w:pPr>
              <w:spacing w:line="240" w:lineRule="auto"/>
              <w:rPr>
                <w:sz w:val="20"/>
                <w:szCs w:val="20"/>
              </w:rPr>
            </w:pPr>
            <w:r w:rsidDel="00000000" w:rsidR="00000000" w:rsidRPr="00000000">
              <w:rPr>
                <w:sz w:val="20"/>
                <w:szCs w:val="20"/>
                <w:rtl w:val="0"/>
              </w:rPr>
              <w:t xml:space="preserve">Contratação de profissionais sem formação específica em LIBRAS;</w:t>
            </w:r>
          </w:p>
          <w:p w:rsidR="00000000" w:rsidDel="00000000" w:rsidP="00000000" w:rsidRDefault="00000000" w:rsidRPr="00000000" w14:paraId="0000003B">
            <w:pPr>
              <w:spacing w:line="240" w:lineRule="auto"/>
              <w:rPr>
                <w:sz w:val="20"/>
                <w:szCs w:val="20"/>
              </w:rPr>
            </w:pPr>
            <w:r w:rsidDel="00000000" w:rsidR="00000000" w:rsidRPr="00000000">
              <w:rPr>
                <w:sz w:val="20"/>
                <w:szCs w:val="20"/>
                <w:rtl w:val="0"/>
              </w:rPr>
              <w:t xml:space="preserve">Dificuldade em integrar práticas bilíngues no currículo da escola inclusiva;</w:t>
            </w:r>
          </w:p>
        </w:tc>
      </w:tr>
      <w:tr>
        <w:trPr>
          <w:cantSplit w:val="0"/>
          <w:trHeight w:val="719" w:hRule="atLeast"/>
          <w:tblHeader w:val="0"/>
        </w:trPr>
        <w:tc>
          <w:tcPr>
            <w:tcMar>
              <w:top w:w="100.0" w:type="dxa"/>
              <w:left w:w="100.0" w:type="dxa"/>
              <w:bottom w:w="100.0" w:type="dxa"/>
              <w:right w:w="100.0" w:type="dxa"/>
            </w:tcMar>
          </w:tcPr>
          <w:p w:rsidR="00000000" w:rsidDel="00000000" w:rsidP="00000000" w:rsidRDefault="00000000" w:rsidRPr="00000000" w14:paraId="0000003C">
            <w:pPr>
              <w:widowControl w:val="0"/>
              <w:spacing w:line="240" w:lineRule="auto"/>
              <w:jc w:val="left"/>
              <w:rPr>
                <w:sz w:val="20"/>
                <w:szCs w:val="20"/>
              </w:rPr>
            </w:pPr>
            <w:r w:rsidDel="00000000" w:rsidR="00000000" w:rsidRPr="00000000">
              <w:rPr>
                <w:sz w:val="20"/>
                <w:szCs w:val="20"/>
                <w:rtl w:val="0"/>
              </w:rPr>
              <w:t xml:space="preserve">Souza (2023)</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jc w:val="left"/>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E">
            <w:pPr>
              <w:spacing w:line="240" w:lineRule="auto"/>
              <w:rPr>
                <w:sz w:val="20"/>
                <w:szCs w:val="20"/>
              </w:rPr>
            </w:pPr>
            <w:r w:rsidDel="00000000" w:rsidR="00000000" w:rsidRPr="00000000">
              <w:rPr>
                <w:sz w:val="20"/>
                <w:szCs w:val="20"/>
                <w:rtl w:val="0"/>
              </w:rPr>
              <w:t xml:space="preserve">Barreiras sociopolíticas que dificultam mudança de cenário;</w:t>
            </w:r>
          </w:p>
          <w:p w:rsidR="00000000" w:rsidDel="00000000" w:rsidP="00000000" w:rsidRDefault="00000000" w:rsidRPr="00000000" w14:paraId="0000003F">
            <w:pPr>
              <w:spacing w:line="240" w:lineRule="auto"/>
              <w:rPr>
                <w:sz w:val="20"/>
                <w:szCs w:val="20"/>
              </w:rPr>
            </w:pPr>
            <w:r w:rsidDel="00000000" w:rsidR="00000000" w:rsidRPr="00000000">
              <w:rPr>
                <w:sz w:val="20"/>
                <w:szCs w:val="20"/>
                <w:rtl w:val="0"/>
              </w:rPr>
              <w:t xml:space="preserve">Lógica administrativa e neoliberal que enfraquece a implementação;</w:t>
            </w:r>
          </w:p>
          <w:p w:rsidR="00000000" w:rsidDel="00000000" w:rsidP="00000000" w:rsidRDefault="00000000" w:rsidRPr="00000000" w14:paraId="00000040">
            <w:pPr>
              <w:spacing w:line="240" w:lineRule="auto"/>
              <w:rPr>
                <w:sz w:val="20"/>
                <w:szCs w:val="20"/>
              </w:rPr>
            </w:pPr>
            <w:r w:rsidDel="00000000" w:rsidR="00000000" w:rsidRPr="00000000">
              <w:rPr>
                <w:sz w:val="20"/>
                <w:szCs w:val="20"/>
                <w:rtl w:val="0"/>
              </w:rPr>
              <w:t xml:space="preserve">Contradições nas relações profissionais e resistência institucional;</w:t>
            </w:r>
          </w:p>
        </w:tc>
      </w:tr>
    </w:tbl>
    <w:p w:rsidR="00000000" w:rsidDel="00000000" w:rsidP="00000000" w:rsidRDefault="00000000" w:rsidRPr="00000000" w14:paraId="00000041">
      <w:pPr>
        <w:jc w:val="center"/>
        <w:rPr>
          <w:sz w:val="20"/>
          <w:szCs w:val="20"/>
        </w:rPr>
      </w:pPr>
      <w:r w:rsidDel="00000000" w:rsidR="00000000" w:rsidRPr="00000000">
        <w:rPr>
          <w:sz w:val="20"/>
          <w:szCs w:val="20"/>
          <w:rtl w:val="0"/>
        </w:rPr>
        <w:t xml:space="preserve">Fonte: Elaborado pela autora a partir da análise das dissertações (2025).</w:t>
      </w:r>
    </w:p>
    <w:p w:rsidR="00000000" w:rsidDel="00000000" w:rsidP="00000000" w:rsidRDefault="00000000" w:rsidRPr="00000000" w14:paraId="00000042">
      <w:pPr>
        <w:jc w:val="center"/>
        <w:rPr>
          <w:sz w:val="20"/>
          <w:szCs w:val="20"/>
        </w:rPr>
      </w:pPr>
      <w:r w:rsidDel="00000000" w:rsidR="00000000" w:rsidRPr="00000000">
        <w:rPr>
          <w:rtl w:val="0"/>
        </w:rPr>
      </w:r>
    </w:p>
    <w:p w:rsidR="00000000" w:rsidDel="00000000" w:rsidP="00000000" w:rsidRDefault="00000000" w:rsidRPr="00000000" w14:paraId="00000043">
      <w:pPr>
        <w:ind w:firstLine="850"/>
        <w:rPr/>
      </w:pPr>
      <w:r w:rsidDel="00000000" w:rsidR="00000000" w:rsidRPr="00000000">
        <w:rPr>
          <w:rtl w:val="0"/>
        </w:rPr>
        <w:t xml:space="preserve">Com base nas dificuldades apontadas nos estudos, é possível evidenciar que as lacunas identificadas são similares e se relacionam diretamente, especialmente no que se refere à compreensão dos preceitos da comunidade surda e, consequentemente, da educação bilíngue para surdos.</w:t>
      </w:r>
    </w:p>
    <w:p w:rsidR="00000000" w:rsidDel="00000000" w:rsidP="00000000" w:rsidRDefault="00000000" w:rsidRPr="00000000" w14:paraId="00000044">
      <w:pPr>
        <w:ind w:firstLine="850"/>
        <w:rPr/>
      </w:pPr>
      <w:r w:rsidDel="00000000" w:rsidR="00000000" w:rsidRPr="00000000">
        <w:rPr>
          <w:rtl w:val="0"/>
        </w:rPr>
        <w:t xml:space="preserve">Os estudos também convergem ao destacar a necessidade de formação específica dos professores para atuar com foco na inclusão do estudante surdo, uma vez que o desconhecimento da LIBRAS e das demandas e especificidades da comunidade surda contribui, muitas vezes, para a ausência de espaços verdadeiramente inclusivos.</w:t>
      </w:r>
    </w:p>
    <w:p w:rsidR="00000000" w:rsidDel="00000000" w:rsidP="00000000" w:rsidRDefault="00000000" w:rsidRPr="00000000" w14:paraId="00000045">
      <w:pPr>
        <w:ind w:firstLine="850"/>
        <w:rPr/>
      </w:pPr>
      <w:r w:rsidDel="00000000" w:rsidR="00000000" w:rsidRPr="00000000">
        <w:rPr>
          <w:rtl w:val="0"/>
        </w:rPr>
        <w:t xml:space="preserve">Todos os trabalhos adotaram abordagem qualitativa e tiveram como instrumento de coleta comum as entrevistas. Dessa forma, assegura-se que a escuta ativa dos sujeitos, desde os agentes educadores até os estudantes surdos, foi incorporada, oferecendo um olhar reflexivo sobre os atores do processo educativo e fugindo da mera discussão teórica.</w:t>
      </w:r>
    </w:p>
    <w:p w:rsidR="00000000" w:rsidDel="00000000" w:rsidP="00000000" w:rsidRDefault="00000000" w:rsidRPr="00000000" w14:paraId="00000046">
      <w:pPr>
        <w:ind w:firstLine="850"/>
        <w:rPr/>
      </w:pPr>
      <w:r w:rsidDel="00000000" w:rsidR="00000000" w:rsidRPr="00000000">
        <w:rPr>
          <w:rtl w:val="0"/>
        </w:rPr>
        <w:t xml:space="preserve">É inegável que, embora já tenha sido percorrido um longo caminho, ainda existem múltiplas lacunas a serem superadas para que se possa garantir uma educação verdadeiramente inclusiva, especialmente no que diz respeito à implementação da modalidade educacional que assegura a LIBRAS como primeira língua para os estudantes surdos.</w:t>
      </w:r>
    </w:p>
    <w:p w:rsidR="00000000" w:rsidDel="00000000" w:rsidP="00000000" w:rsidRDefault="00000000" w:rsidRPr="00000000" w14:paraId="00000047">
      <w:pPr>
        <w:ind w:firstLine="85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b w:val="1"/>
          <w:color w:val="000000"/>
        </w:rPr>
      </w:pPr>
      <w:r w:rsidDel="00000000" w:rsidR="00000000" w:rsidRPr="00000000">
        <w:rPr>
          <w:b w:val="1"/>
          <w:rtl w:val="0"/>
        </w:rPr>
        <w:t xml:space="preserve">6 </w:t>
      </w:r>
      <w:r w:rsidDel="00000000" w:rsidR="00000000" w:rsidRPr="00000000">
        <w:rPr>
          <w:b w:val="1"/>
          <w:color w:val="000000"/>
          <w:rtl w:val="0"/>
        </w:rPr>
        <w:t xml:space="preserve">CONSIDERAÇÕES FINAIS </w:t>
      </w:r>
    </w:p>
    <w:p w:rsidR="00000000" w:rsidDel="00000000" w:rsidP="00000000" w:rsidRDefault="00000000" w:rsidRPr="00000000" w14:paraId="00000049">
      <w:pPr>
        <w:widowControl w:val="0"/>
        <w:ind w:firstLine="708"/>
        <w:rPr/>
      </w:pPr>
      <w:r w:rsidDel="00000000" w:rsidR="00000000" w:rsidRPr="00000000">
        <w:rPr>
          <w:rtl w:val="0"/>
        </w:rPr>
        <w:t xml:space="preserve">Conclui-se, portanto, que uma educação verdadeiramente inclusiva deve fundamentar-se em princípios que valorizem a diversidade humana, compreendam os marcos legais como resultado de uma luta histórica da comunidade surda e promovam ações concretas que assegurem a todos os sujeitos surdos o direito de aprender, ensinar e interpretar o mundo a partir de sua própria perspectiva, com pleno domínio de sua língua natural.</w:t>
      </w:r>
    </w:p>
    <w:p w:rsidR="00000000" w:rsidDel="00000000" w:rsidP="00000000" w:rsidRDefault="00000000" w:rsidRPr="00000000" w14:paraId="0000004A">
      <w:pPr>
        <w:widowControl w:val="0"/>
        <w:ind w:firstLine="708"/>
        <w:rPr/>
      </w:pPr>
      <w:r w:rsidDel="00000000" w:rsidR="00000000" w:rsidRPr="00000000">
        <w:rPr>
          <w:rtl w:val="0"/>
        </w:rPr>
        <w:t xml:space="preserve">É fundamental que as futuras investigações aprofundem o papel ativo da comunidade surda nos processos educativos, reconhecendo-a não apenas como beneficiária, mas como protagonista da formulação e execução das práticas bilíngues. Atentando ainda, para outras nuances que permeiam esse cenário como as dimensões psicológicas, sociais e culturais que interferem na aprendizagem e inclusão do estudante surdo. </w:t>
      </w:r>
    </w:p>
    <w:p w:rsidR="00000000" w:rsidDel="00000000" w:rsidP="00000000" w:rsidRDefault="00000000" w:rsidRPr="00000000" w14:paraId="0000004B">
      <w:pPr>
        <w:widowControl w:val="0"/>
        <w:ind w:left="0" w:firstLine="0"/>
        <w:rPr/>
      </w:pPr>
      <w:r w:rsidDel="00000000" w:rsidR="00000000" w:rsidRPr="00000000">
        <w:rPr>
          <w:rtl w:val="0"/>
        </w:rPr>
      </w:r>
    </w:p>
    <w:p w:rsidR="00000000" w:rsidDel="00000000" w:rsidP="00000000" w:rsidRDefault="00000000" w:rsidRPr="00000000" w14:paraId="0000004C">
      <w:pPr>
        <w:widowControl w:val="0"/>
        <w:ind w:left="0" w:firstLine="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b w:val="1"/>
          <w:color w:val="000000"/>
        </w:rPr>
      </w:pPr>
      <w:r w:rsidDel="00000000" w:rsidR="00000000" w:rsidRPr="00000000">
        <w:rPr>
          <w:b w:val="1"/>
          <w:rtl w:val="0"/>
        </w:rPr>
        <w:t xml:space="preserve">7 </w:t>
      </w:r>
      <w:r w:rsidDel="00000000" w:rsidR="00000000" w:rsidRPr="00000000">
        <w:rPr>
          <w:b w:val="1"/>
          <w:color w:val="000000"/>
          <w:rtl w:val="0"/>
        </w:rPr>
        <w:t xml:space="preserve">REFERÊNCIAS </w:t>
      </w:r>
    </w:p>
    <w:p w:rsidR="00000000" w:rsidDel="00000000" w:rsidP="00000000" w:rsidRDefault="00000000" w:rsidRPr="00000000" w14:paraId="0000004E">
      <w:pPr>
        <w:spacing w:line="240" w:lineRule="auto"/>
        <w:jc w:val="left"/>
        <w:rPr/>
      </w:pPr>
      <w:r w:rsidDel="00000000" w:rsidR="00000000" w:rsidRPr="00000000">
        <w:rPr>
          <w:rtl w:val="0"/>
        </w:rPr>
        <w:t xml:space="preserve">ARAÚJO, G. S. </w:t>
      </w:r>
      <w:r w:rsidDel="00000000" w:rsidR="00000000" w:rsidRPr="00000000">
        <w:rPr>
          <w:b w:val="1"/>
          <w:rtl w:val="0"/>
        </w:rPr>
        <w:t xml:space="preserve">A educação bilíngue para surdas/os como um direito social</w:t>
      </w:r>
      <w:r w:rsidDel="00000000" w:rsidR="00000000" w:rsidRPr="00000000">
        <w:rPr>
          <w:rtl w:val="0"/>
        </w:rPr>
        <w:t xml:space="preserve">: um estudo numa escola municipal de Natal/RN. 2023. 139 f. Dissertação (Mestrado em Serviço Social e Direitos Sociais). Universidade do Estado do Rio Grande do Norte. Mossoró, 2023.</w:t>
      </w:r>
    </w:p>
    <w:p w:rsidR="00000000" w:rsidDel="00000000" w:rsidP="00000000" w:rsidRDefault="00000000" w:rsidRPr="00000000" w14:paraId="0000004F">
      <w:pPr>
        <w:spacing w:line="240" w:lineRule="auto"/>
        <w:jc w:val="left"/>
        <w:rPr/>
      </w:pPr>
      <w:r w:rsidDel="00000000" w:rsidR="00000000" w:rsidRPr="00000000">
        <w:rPr>
          <w:rtl w:val="0"/>
        </w:rPr>
      </w:r>
    </w:p>
    <w:p w:rsidR="00000000" w:rsidDel="00000000" w:rsidP="00000000" w:rsidRDefault="00000000" w:rsidRPr="00000000" w14:paraId="00000050">
      <w:pPr>
        <w:spacing w:line="240" w:lineRule="auto"/>
        <w:jc w:val="left"/>
        <w:rPr/>
      </w:pPr>
      <w:r w:rsidDel="00000000" w:rsidR="00000000" w:rsidRPr="00000000">
        <w:rPr>
          <w:rtl w:val="0"/>
        </w:rPr>
        <w:t xml:space="preserve">BRASIL.</w:t>
      </w:r>
      <w:r w:rsidDel="00000000" w:rsidR="00000000" w:rsidRPr="00000000">
        <w:rPr>
          <w:b w:val="1"/>
          <w:rtl w:val="0"/>
        </w:rPr>
        <w:t xml:space="preserve"> Lei nº 9.394, de 20 de dezembro de 1996</w:t>
      </w:r>
      <w:r w:rsidDel="00000000" w:rsidR="00000000" w:rsidRPr="00000000">
        <w:rPr>
          <w:rtl w:val="0"/>
        </w:rPr>
        <w:t xml:space="preserve">. Estabelece as diretrizes e bases da educação nacional.</w:t>
      </w:r>
      <w:r w:rsidDel="00000000" w:rsidR="00000000" w:rsidRPr="00000000">
        <w:rPr>
          <w:b w:val="1"/>
          <w:rtl w:val="0"/>
        </w:rPr>
        <w:t xml:space="preserve"> </w:t>
      </w:r>
      <w:r w:rsidDel="00000000" w:rsidR="00000000" w:rsidRPr="00000000">
        <w:rPr>
          <w:rtl w:val="0"/>
        </w:rPr>
        <w:t xml:space="preserve">Diário Oficial da União: seção 1. Brasília, DF, 23 dez. 1996.</w:t>
      </w:r>
    </w:p>
    <w:p w:rsidR="00000000" w:rsidDel="00000000" w:rsidP="00000000" w:rsidRDefault="00000000" w:rsidRPr="00000000" w14:paraId="00000051">
      <w:pPr>
        <w:spacing w:line="240" w:lineRule="auto"/>
        <w:jc w:val="left"/>
        <w:rPr/>
      </w:pPr>
      <w:r w:rsidDel="00000000" w:rsidR="00000000" w:rsidRPr="00000000">
        <w:rPr>
          <w:rtl w:val="0"/>
        </w:rPr>
      </w:r>
    </w:p>
    <w:p w:rsidR="00000000" w:rsidDel="00000000" w:rsidP="00000000" w:rsidRDefault="00000000" w:rsidRPr="00000000" w14:paraId="00000052">
      <w:pPr>
        <w:spacing w:line="240" w:lineRule="auto"/>
        <w:jc w:val="left"/>
        <w:rPr/>
      </w:pPr>
      <w:r w:rsidDel="00000000" w:rsidR="00000000" w:rsidRPr="00000000">
        <w:rPr>
          <w:rtl w:val="0"/>
        </w:rPr>
        <w:t xml:space="preserve">BRASIL. </w:t>
      </w:r>
      <w:r w:rsidDel="00000000" w:rsidR="00000000" w:rsidRPr="00000000">
        <w:rPr>
          <w:b w:val="1"/>
          <w:rtl w:val="0"/>
        </w:rPr>
        <w:t xml:space="preserve">Lei nº 10.436, de 24 de abril de 2002</w:t>
      </w:r>
      <w:r w:rsidDel="00000000" w:rsidR="00000000" w:rsidRPr="00000000">
        <w:rPr>
          <w:rtl w:val="0"/>
        </w:rPr>
        <w:t xml:space="preserve">. Dispõe sobre a Língua Brasileira de Sinais - Libras e dá outras providências. Diário Oficial da União: seção 1, Brasília, DF, 25 abr. 2002.</w:t>
      </w:r>
    </w:p>
    <w:p w:rsidR="00000000" w:rsidDel="00000000" w:rsidP="00000000" w:rsidRDefault="00000000" w:rsidRPr="00000000" w14:paraId="00000053">
      <w:pPr>
        <w:spacing w:line="240" w:lineRule="auto"/>
        <w:jc w:val="left"/>
        <w:rPr/>
      </w:pPr>
      <w:r w:rsidDel="00000000" w:rsidR="00000000" w:rsidRPr="00000000">
        <w:rPr>
          <w:rtl w:val="0"/>
        </w:rPr>
      </w:r>
    </w:p>
    <w:p w:rsidR="00000000" w:rsidDel="00000000" w:rsidP="00000000" w:rsidRDefault="00000000" w:rsidRPr="00000000" w14:paraId="00000054">
      <w:pPr>
        <w:spacing w:line="240" w:lineRule="auto"/>
        <w:jc w:val="left"/>
        <w:rPr/>
      </w:pPr>
      <w:r w:rsidDel="00000000" w:rsidR="00000000" w:rsidRPr="00000000">
        <w:rPr>
          <w:rtl w:val="0"/>
        </w:rPr>
        <w:t xml:space="preserve">BRASIL. </w:t>
      </w:r>
      <w:r w:rsidDel="00000000" w:rsidR="00000000" w:rsidRPr="00000000">
        <w:rPr>
          <w:b w:val="1"/>
          <w:rtl w:val="0"/>
        </w:rPr>
        <w:t xml:space="preserve">Lei nº 14.191</w:t>
      </w:r>
      <w:r w:rsidDel="00000000" w:rsidR="00000000" w:rsidRPr="00000000">
        <w:rPr>
          <w:rtl w:val="0"/>
        </w:rPr>
        <w:t xml:space="preserve">, </w:t>
      </w:r>
      <w:r w:rsidDel="00000000" w:rsidR="00000000" w:rsidRPr="00000000">
        <w:rPr>
          <w:b w:val="1"/>
          <w:rtl w:val="0"/>
        </w:rPr>
        <w:t xml:space="preserve">de 3 de agosto de 2021</w:t>
      </w:r>
      <w:r w:rsidDel="00000000" w:rsidR="00000000" w:rsidRPr="00000000">
        <w:rPr>
          <w:rtl w:val="0"/>
        </w:rPr>
        <w:t xml:space="preserve">. Altera a Lei nº 9.394, de 20 de dezembro de 1996, para dispor sobre a educação bilíngue de surdos como modalidade de educação escolar, no âmbito da educação especial. Diário Oficial da União: seção 1, Brasília, DF, 4 ago. 2021. </w:t>
      </w:r>
    </w:p>
    <w:p w:rsidR="00000000" w:rsidDel="00000000" w:rsidP="00000000" w:rsidRDefault="00000000" w:rsidRPr="00000000" w14:paraId="00000055">
      <w:pPr>
        <w:spacing w:line="240" w:lineRule="auto"/>
        <w:jc w:val="left"/>
        <w:rPr/>
      </w:pPr>
      <w:r w:rsidDel="00000000" w:rsidR="00000000" w:rsidRPr="00000000">
        <w:rPr>
          <w:rtl w:val="0"/>
        </w:rPr>
      </w:r>
    </w:p>
    <w:p w:rsidR="00000000" w:rsidDel="00000000" w:rsidP="00000000" w:rsidRDefault="00000000" w:rsidRPr="00000000" w14:paraId="00000056">
      <w:pPr>
        <w:spacing w:line="240" w:lineRule="auto"/>
        <w:jc w:val="left"/>
        <w:rPr/>
      </w:pPr>
      <w:r w:rsidDel="00000000" w:rsidR="00000000" w:rsidRPr="00000000">
        <w:rPr>
          <w:rtl w:val="0"/>
        </w:rPr>
        <w:t xml:space="preserve">CAMARGO, E. P. </w:t>
      </w:r>
      <w:r w:rsidDel="00000000" w:rsidR="00000000" w:rsidRPr="00000000">
        <w:rPr>
          <w:b w:val="1"/>
          <w:rtl w:val="0"/>
        </w:rPr>
        <w:t xml:space="preserve">Inclusão social, educação inclusiva e educação especial: </w:t>
      </w:r>
      <w:r w:rsidDel="00000000" w:rsidR="00000000" w:rsidRPr="00000000">
        <w:rPr>
          <w:rtl w:val="0"/>
        </w:rPr>
        <w:t xml:space="preserve">enlaces e desenlaces. </w:t>
      </w:r>
      <w:r w:rsidDel="00000000" w:rsidR="00000000" w:rsidRPr="00000000">
        <w:rPr>
          <w:b w:val="1"/>
          <w:rtl w:val="0"/>
        </w:rPr>
        <w:t xml:space="preserve">Ciênc. Educ</w:t>
      </w:r>
      <w:r w:rsidDel="00000000" w:rsidR="00000000" w:rsidRPr="00000000">
        <w:rPr>
          <w:rtl w:val="0"/>
        </w:rPr>
        <w:t xml:space="preserve">, Bauru, SP, v. 23, n. 1, jan./mar. 2017.</w:t>
      </w:r>
    </w:p>
    <w:p w:rsidR="00000000" w:rsidDel="00000000" w:rsidP="00000000" w:rsidRDefault="00000000" w:rsidRPr="00000000" w14:paraId="00000057">
      <w:pPr>
        <w:spacing w:line="240" w:lineRule="auto"/>
        <w:jc w:val="left"/>
        <w:rPr/>
      </w:pPr>
      <w:r w:rsidDel="00000000" w:rsidR="00000000" w:rsidRPr="00000000">
        <w:rPr>
          <w:rtl w:val="0"/>
        </w:rPr>
      </w:r>
    </w:p>
    <w:p w:rsidR="00000000" w:rsidDel="00000000" w:rsidP="00000000" w:rsidRDefault="00000000" w:rsidRPr="00000000" w14:paraId="00000058">
      <w:pPr>
        <w:spacing w:line="240" w:lineRule="auto"/>
        <w:jc w:val="left"/>
        <w:rPr/>
      </w:pPr>
      <w:r w:rsidDel="00000000" w:rsidR="00000000" w:rsidRPr="00000000">
        <w:rPr>
          <w:rtl w:val="0"/>
        </w:rPr>
        <w:t xml:space="preserve">DESLANDES, S. F.; GOMES, R.; MINAYO, M. C. S. (Org.). Pesquisa social: teoria, método e criatividade. 34. ed. Petrópolis, RJ: Vozes, 2016. 96 p.</w:t>
      </w:r>
    </w:p>
    <w:p w:rsidR="00000000" w:rsidDel="00000000" w:rsidP="00000000" w:rsidRDefault="00000000" w:rsidRPr="00000000" w14:paraId="00000059">
      <w:pPr>
        <w:spacing w:line="240" w:lineRule="auto"/>
        <w:jc w:val="left"/>
        <w:rPr/>
      </w:pPr>
      <w:r w:rsidDel="00000000" w:rsidR="00000000" w:rsidRPr="00000000">
        <w:rPr>
          <w:rtl w:val="0"/>
        </w:rPr>
      </w:r>
    </w:p>
    <w:p w:rsidR="00000000" w:rsidDel="00000000" w:rsidP="00000000" w:rsidRDefault="00000000" w:rsidRPr="00000000" w14:paraId="0000005A">
      <w:pPr>
        <w:spacing w:line="240" w:lineRule="auto"/>
        <w:jc w:val="left"/>
        <w:rPr/>
      </w:pPr>
      <w:r w:rsidDel="00000000" w:rsidR="00000000" w:rsidRPr="00000000">
        <w:rPr>
          <w:rtl w:val="0"/>
        </w:rPr>
        <w:t xml:space="preserve">GIL, A. C. </w:t>
      </w:r>
      <w:r w:rsidDel="00000000" w:rsidR="00000000" w:rsidRPr="00000000">
        <w:rPr>
          <w:b w:val="1"/>
          <w:rtl w:val="0"/>
        </w:rPr>
        <w:t xml:space="preserve">Métodos e técnicas de pesquisa social</w:t>
      </w:r>
      <w:r w:rsidDel="00000000" w:rsidR="00000000" w:rsidRPr="00000000">
        <w:rPr>
          <w:rtl w:val="0"/>
        </w:rPr>
        <w:t xml:space="preserve">. 6ª ed. São Paulo: Atlas, 2002.</w:t>
      </w:r>
    </w:p>
    <w:p w:rsidR="00000000" w:rsidDel="00000000" w:rsidP="00000000" w:rsidRDefault="00000000" w:rsidRPr="00000000" w14:paraId="0000005B">
      <w:pPr>
        <w:spacing w:line="240" w:lineRule="auto"/>
        <w:jc w:val="left"/>
        <w:rPr/>
      </w:pPr>
      <w:r w:rsidDel="00000000" w:rsidR="00000000" w:rsidRPr="00000000">
        <w:rPr>
          <w:rtl w:val="0"/>
        </w:rPr>
      </w:r>
    </w:p>
    <w:p w:rsidR="00000000" w:rsidDel="00000000" w:rsidP="00000000" w:rsidRDefault="00000000" w:rsidRPr="00000000" w14:paraId="0000005C">
      <w:pPr>
        <w:spacing w:line="240" w:lineRule="auto"/>
        <w:jc w:val="left"/>
        <w:rPr/>
      </w:pPr>
      <w:r w:rsidDel="00000000" w:rsidR="00000000" w:rsidRPr="00000000">
        <w:rPr>
          <w:rtl w:val="0"/>
        </w:rPr>
        <w:t xml:space="preserve">JESUS, J. D. </w:t>
      </w:r>
      <w:r w:rsidDel="00000000" w:rsidR="00000000" w:rsidRPr="00000000">
        <w:rPr>
          <w:b w:val="1"/>
          <w:rtl w:val="0"/>
        </w:rPr>
        <w:t xml:space="preserve">Educação bilíngue para surdos</w:t>
      </w:r>
      <w:r w:rsidDel="00000000" w:rsidR="00000000" w:rsidRPr="00000000">
        <w:rPr>
          <w:rtl w:val="0"/>
        </w:rPr>
        <w:t xml:space="preserve">: um estudo comparativo da escola bilíngue e do Atendimento Educacional Especializado (AEE) na escola inclusiva. 2022. 185f. Dissertação (Mestrado em Educação) – Programa de Pós-Graduação em Educação. Universidade Federal do Paraná, Curitiba, 2022.</w:t>
      </w:r>
    </w:p>
    <w:p w:rsidR="00000000" w:rsidDel="00000000" w:rsidP="00000000" w:rsidRDefault="00000000" w:rsidRPr="00000000" w14:paraId="0000005D">
      <w:pPr>
        <w:spacing w:line="240" w:lineRule="auto"/>
        <w:jc w:val="left"/>
        <w:rPr/>
      </w:pPr>
      <w:r w:rsidDel="00000000" w:rsidR="00000000" w:rsidRPr="00000000">
        <w:rPr>
          <w:rtl w:val="0"/>
        </w:rPr>
      </w:r>
    </w:p>
    <w:p w:rsidR="00000000" w:rsidDel="00000000" w:rsidP="00000000" w:rsidRDefault="00000000" w:rsidRPr="00000000" w14:paraId="0000005E">
      <w:pPr>
        <w:spacing w:line="240" w:lineRule="auto"/>
        <w:jc w:val="left"/>
        <w:rPr/>
      </w:pPr>
      <w:r w:rsidDel="00000000" w:rsidR="00000000" w:rsidRPr="00000000">
        <w:rPr>
          <w:rtl w:val="0"/>
        </w:rPr>
        <w:t xml:space="preserve">SOUZA, S. V. </w:t>
      </w:r>
      <w:r w:rsidDel="00000000" w:rsidR="00000000" w:rsidRPr="00000000">
        <w:rPr>
          <w:b w:val="1"/>
          <w:rtl w:val="0"/>
        </w:rPr>
        <w:t xml:space="preserve">O processo de implementação da educação bilíngue para surdos em uma rede pública de ensino</w:t>
      </w:r>
      <w:r w:rsidDel="00000000" w:rsidR="00000000" w:rsidRPr="00000000">
        <w:rPr>
          <w:i w:val="1"/>
          <w:rtl w:val="0"/>
        </w:rPr>
        <w:t xml:space="preserve">:</w:t>
      </w:r>
      <w:r w:rsidDel="00000000" w:rsidR="00000000" w:rsidRPr="00000000">
        <w:rPr>
          <w:rtl w:val="0"/>
        </w:rPr>
        <w:t xml:space="preserve"> uma análise sócio-histórica. 2023. 103f. Dissertação (Mestrado em Educação) – Universidade Federal de Alagoas, Maceió, 2023.</w:t>
      </w:r>
    </w:p>
    <w:p w:rsidR="00000000" w:rsidDel="00000000" w:rsidP="00000000" w:rsidRDefault="00000000" w:rsidRPr="00000000" w14:paraId="0000005F">
      <w:pPr>
        <w:spacing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sectPr>
      <w:headerReference r:id="rId8" w:type="default"/>
      <w:footerReference r:id="rId9" w:type="default"/>
      <w:pgSz w:h="16838" w:w="11906" w:orient="portrait"/>
      <w:pgMar w:bottom="1133" w:top="1700" w:left="1700" w:right="1133"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-729613</wp:posOffset>
          </wp:positionH>
          <wp:positionV relativeFrom="paragraph">
            <wp:posOffset>-103503</wp:posOffset>
          </wp:positionV>
          <wp:extent cx="7583344" cy="720725"/>
          <wp:effectExtent b="0" l="0" r="0" t="0"/>
          <wp:wrapNone/>
          <wp:docPr id="213578618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83344" cy="7207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6103938</wp:posOffset>
              </wp:positionH>
              <wp:positionV relativeFrom="paragraph">
                <wp:posOffset>-4761</wp:posOffset>
              </wp:positionV>
              <wp:extent cx="435978" cy="201930"/>
              <wp:effectExtent b="0" l="0" r="0" t="0"/>
              <wp:wrapNone/>
              <wp:docPr id="2135786177" name=""/>
              <a:graphic>
                <a:graphicData uri="http://schemas.microsoft.com/office/word/2010/wordprocessingShape">
                  <wps:wsp>
                    <wps:cNvSpPr/>
                    <wps:cNvPr id="2" name="Shape 2"/>
                    <wps:spPr>
                      <a:xfrm>
                        <a:off x="5137536" y="3688560"/>
                        <a:ext cx="416928" cy="182880"/>
                      </a:xfrm>
                      <a:prstGeom prst="rect">
                        <a:avLst/>
                      </a:prstGeom>
                      <a:noFill/>
                      <a:ln>
                        <a:noFill/>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PAGE    \* MERGEFORMAT</w:t>
                          </w:r>
                          <w:r w:rsidDel="00000000" w:rsidR="00000000" w:rsidRPr="00000000">
                            <w:rPr>
                              <w:rFonts w:ascii="Arial" w:cs="Arial" w:eastAsia="Arial" w:hAnsi="Arial"/>
                              <w:b w:val="0"/>
                              <w:i w:val="0"/>
                              <w:smallCaps w:val="0"/>
                              <w:strike w:val="0"/>
                              <w:color w:val="8c8c8c"/>
                              <w:sz w:val="24"/>
                              <w:vertAlign w:val="baseline"/>
                            </w:rPr>
                            <w:t xml:space="preserve">2</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6103938</wp:posOffset>
              </wp:positionH>
              <wp:positionV relativeFrom="paragraph">
                <wp:posOffset>-4761</wp:posOffset>
              </wp:positionV>
              <wp:extent cx="435978" cy="201930"/>
              <wp:effectExtent b="0" l="0" r="0" t="0"/>
              <wp:wrapNone/>
              <wp:docPr id="213578617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35978" cy="2019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325438</wp:posOffset>
              </wp:positionH>
              <wp:positionV relativeFrom="paragraph">
                <wp:posOffset>33338</wp:posOffset>
              </wp:positionV>
              <wp:extent cx="4083050" cy="342900"/>
              <wp:effectExtent b="0" l="0" r="0" t="0"/>
              <wp:wrapNone/>
              <wp:docPr id="2135786178" name=""/>
              <a:graphic>
                <a:graphicData uri="http://schemas.microsoft.com/office/word/2010/wordprocessingShape">
                  <wps:wsp>
                    <wps:cNvSpPr/>
                    <wps:cNvPr id="3" name="Shape 3"/>
                    <wps:spPr>
                      <a:xfrm>
                        <a:off x="3314000" y="3618075"/>
                        <a:ext cx="4064000" cy="323850"/>
                      </a:xfrm>
                      <a:prstGeom prst="rect">
                        <a:avLst/>
                      </a:prstGeom>
                      <a:noFill/>
                      <a:ln>
                        <a:noFill/>
                      </a:ln>
                    </wps:spPr>
                    <wps:txbx>
                      <w:txbxContent>
                        <w:p w:rsidR="00000000" w:rsidDel="00000000" w:rsidP="00000000" w:rsidRDefault="00000000" w:rsidRPr="00000000">
                          <w:pPr>
                            <w:spacing w:after="0" w:before="0" w:line="36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t xml:space="preserve">XI Encontro de Pesquisa em Educação em Alagoas (Epeal)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325438</wp:posOffset>
              </wp:positionH>
              <wp:positionV relativeFrom="paragraph">
                <wp:posOffset>33338</wp:posOffset>
              </wp:positionV>
              <wp:extent cx="4083050" cy="342900"/>
              <wp:effectExtent b="0" l="0" r="0" t="0"/>
              <wp:wrapNone/>
              <wp:docPr id="213578617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4083050" cy="34290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w:t>
      </w:r>
      <w:r w:rsidDel="00000000" w:rsidR="00000000" w:rsidRPr="00000000">
        <w:rPr>
          <w:sz w:val="18"/>
          <w:szCs w:val="18"/>
          <w:rtl w:val="0"/>
        </w:rPr>
        <w:t xml:space="preserve">Mestranda do programa de Mestrado Profissional em Educação Inclusiva em Rede Nacional - PROFEI /UNEAL. E-mail: claudiana.andrade.profei.t5@alunos.uneal.edu.br</w:t>
      </w:r>
    </w:p>
  </w:footnote>
  <w:footnote w:id="1">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Professora e Coordenadora Adjunta do Mestrado Profissional em Educação Inclusiva em Rede Nacional - PROFEI /UNEAL. E-mail: samara.melo@uneal.edu.br</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rPr>
          <w:sz w:val="18"/>
          <w:szCs w:val="18"/>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-720088</wp:posOffset>
          </wp:positionH>
          <wp:positionV relativeFrom="paragraph">
            <wp:posOffset>-450213</wp:posOffset>
          </wp:positionV>
          <wp:extent cx="7577455" cy="1079500"/>
          <wp:effectExtent b="0" l="0" r="0" t="0"/>
          <wp:wrapSquare wrapText="bothSides" distB="0" distT="0" distL="114300" distR="114300"/>
          <wp:docPr descr="Diagrama&#10;&#10;O conteúdo gerado por IA pode estar incorreto." id="2135786179" name="image2.jpg"/>
          <a:graphic>
            <a:graphicData uri="http://schemas.openxmlformats.org/drawingml/2006/picture">
              <pic:pic>
                <pic:nvPicPr>
                  <pic:cNvPr descr="Diagrama&#10;&#10;O conteúdo gerado por IA pode estar incorreto." id="0" name="image2.jpg"/>
                  <pic:cNvPicPr preferRelativeResize="0"/>
                </pic:nvPicPr>
                <pic:blipFill>
                  <a:blip r:embed="rId1"/>
                  <a:srcRect b="0" l="0" r="0" t="0"/>
                  <a:stretch>
                    <a:fillRect/>
                  </a:stretch>
                </pic:blipFill>
                <pic:spPr>
                  <a:xfrm>
                    <a:off x="0" y="0"/>
                    <a:ext cx="7577455" cy="1079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8F0BC3"/>
    <w:pPr>
      <w:tabs>
        <w:tab w:val="center" w:pos="4252"/>
        <w:tab w:val="right" w:pos="8504"/>
      </w:tabs>
      <w:spacing w:line="240" w:lineRule="auto"/>
    </w:pPr>
  </w:style>
  <w:style w:type="character" w:styleId="CabealhoChar" w:customStyle="1">
    <w:name w:val="Cabeçalho Char"/>
    <w:basedOn w:val="Fontepargpadro"/>
    <w:link w:val="Cabealho"/>
    <w:uiPriority w:val="99"/>
    <w:rsid w:val="008F0BC3"/>
    <w:rPr>
      <w:rFonts w:ascii="Calibri" w:cs="Calibri" w:eastAsia="Calibri" w:hAnsi="Calibri"/>
      <w:lang w:eastAsia="pt-BR"/>
    </w:rPr>
  </w:style>
  <w:style w:type="paragraph" w:styleId="Rodap">
    <w:name w:val="footer"/>
    <w:basedOn w:val="Normal"/>
    <w:link w:val="RodapChar"/>
    <w:uiPriority w:val="99"/>
    <w:unhideWhenUsed w:val="1"/>
    <w:rsid w:val="008F0BC3"/>
    <w:pPr>
      <w:tabs>
        <w:tab w:val="center" w:pos="4252"/>
        <w:tab w:val="right" w:pos="8504"/>
      </w:tabs>
      <w:spacing w:line="240" w:lineRule="auto"/>
    </w:pPr>
  </w:style>
  <w:style w:type="character" w:styleId="RodapChar" w:customStyle="1">
    <w:name w:val="Rodapé Char"/>
    <w:basedOn w:val="Fontepargpadro"/>
    <w:link w:val="Rodap"/>
    <w:uiPriority w:val="99"/>
    <w:rsid w:val="008F0BC3"/>
    <w:rPr>
      <w:rFonts w:ascii="Calibri" w:cs="Calibri" w:eastAsia="Calibri" w:hAnsi="Calibri"/>
      <w:lang w:eastAsia="pt-BR"/>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Refdecomentrio">
    <w:name w:val="annotation reference"/>
    <w:basedOn w:val="Fontepargpadro"/>
    <w:uiPriority w:val="99"/>
    <w:semiHidden w:val="1"/>
    <w:unhideWhenUsed w:val="1"/>
    <w:rsid w:val="00253E1B"/>
    <w:rPr>
      <w:sz w:val="16"/>
      <w:szCs w:val="16"/>
    </w:rPr>
  </w:style>
  <w:style w:type="paragraph" w:styleId="Textodecomentrio">
    <w:name w:val="annotation text"/>
    <w:basedOn w:val="Normal"/>
    <w:link w:val="TextodecomentrioChar"/>
    <w:uiPriority w:val="99"/>
    <w:unhideWhenUsed w:val="1"/>
    <w:rsid w:val="00253E1B"/>
    <w:pPr>
      <w:spacing w:line="240" w:lineRule="auto"/>
    </w:pPr>
    <w:rPr>
      <w:sz w:val="20"/>
      <w:szCs w:val="20"/>
    </w:rPr>
  </w:style>
  <w:style w:type="character" w:styleId="TextodecomentrioChar" w:customStyle="1">
    <w:name w:val="Texto de comentário Char"/>
    <w:basedOn w:val="Fontepargpadro"/>
    <w:link w:val="Textodecomentrio"/>
    <w:uiPriority w:val="99"/>
    <w:rsid w:val="00253E1B"/>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253E1B"/>
    <w:rPr>
      <w:b w:val="1"/>
      <w:bCs w:val="1"/>
    </w:rPr>
  </w:style>
  <w:style w:type="character" w:styleId="AssuntodocomentrioChar" w:customStyle="1">
    <w:name w:val="Assunto do comentário Char"/>
    <w:basedOn w:val="TextodecomentrioChar"/>
    <w:link w:val="Assuntodocomentrio"/>
    <w:uiPriority w:val="99"/>
    <w:semiHidden w:val="1"/>
    <w:rsid w:val="00253E1B"/>
    <w:rPr>
      <w:b w:val="1"/>
      <w:bCs w:val="1"/>
      <w:sz w:val="20"/>
      <w:szCs w:val="20"/>
    </w:rPr>
  </w:style>
  <w:style w:type="paragraph" w:styleId="PargrafodaLista">
    <w:name w:val="List Paragraph"/>
    <w:basedOn w:val="Normal"/>
    <w:uiPriority w:val="34"/>
    <w:qFormat w:val="1"/>
    <w:rsid w:val="00F3002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Lt9cgugmMMXcrX13Xfl+4nJqQ==">CgMxLjA4AHIhMTh5ZTBDTEVGYTdKdmI2WEhFYnl4NlJNaXZaUHlWVXRp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2025-08-23T17:18:00Z</dcterms:created>
  <dc:creator>ACER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321584b4-2da1-4341-a419-7f2a042a900d</vt:lpwstr>
  </property>
</Properties>
</file>