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6468" w14:textId="77777777" w:rsidR="00C91D8E" w:rsidRDefault="00000000">
      <w:pPr>
        <w:widowControl w:val="0"/>
        <w:pBdr>
          <w:top w:val="nil"/>
          <w:left w:val="nil"/>
          <w:bottom w:val="nil"/>
          <w:right w:val="nil"/>
          <w:between w:val="nil"/>
        </w:pBdr>
        <w:spacing w:after="0" w:line="276" w:lineRule="auto"/>
      </w:pPr>
      <w:r>
        <w:pict w14:anchorId="17546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8240;visibility:hidden">
            <v:path o:extrusionok="t"/>
            <o:lock v:ext="edit" selection="t"/>
          </v:shape>
        </w:pict>
      </w:r>
    </w:p>
    <w:p w14:paraId="7701AD37" w14:textId="77777777" w:rsidR="00C91D8E" w:rsidRDefault="00C91D8E">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p>
    <w:p w14:paraId="165F031B" w14:textId="77777777" w:rsidR="00C91D8E" w:rsidRPr="009874AA" w:rsidRDefault="00000000">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9874AA">
        <w:rPr>
          <w:rFonts w:ascii="Times New Roman" w:hAnsi="Times New Roman" w:cs="Times New Roman"/>
          <w:b/>
          <w:sz w:val="24"/>
          <w:szCs w:val="24"/>
        </w:rPr>
        <w:t>Applied Reliability Analysis of Gas Lift and Chemical Injection Valves</w:t>
      </w:r>
    </w:p>
    <w:p w14:paraId="5606DA7B" w14:textId="77777777" w:rsidR="00C91D8E" w:rsidRDefault="00C91D8E">
      <w:pPr>
        <w:pBdr>
          <w:top w:val="nil"/>
          <w:left w:val="nil"/>
          <w:bottom w:val="nil"/>
          <w:right w:val="nil"/>
          <w:between w:val="nil"/>
        </w:pBdr>
        <w:spacing w:after="0"/>
        <w:jc w:val="center"/>
        <w:rPr>
          <w:rFonts w:ascii="Times New Roman" w:eastAsia="Times New Roman" w:hAnsi="Times New Roman" w:cs="Times New Roman"/>
          <w:b/>
          <w:color w:val="000000"/>
          <w:sz w:val="20"/>
          <w:szCs w:val="20"/>
        </w:rPr>
      </w:pPr>
    </w:p>
    <w:p w14:paraId="5FF878F3" w14:textId="7EA239C7" w:rsidR="00C91D8E" w:rsidRDefault="00000000">
      <w:pPr>
        <w:pBdr>
          <w:top w:val="nil"/>
          <w:left w:val="nil"/>
          <w:bottom w:val="nil"/>
          <w:right w:val="nil"/>
          <w:between w:val="nil"/>
        </w:pBd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Arthur Rios de Azevedo</w:t>
      </w:r>
      <w:r>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xml:space="preserve">, </w:t>
      </w:r>
      <w:r w:rsidR="00F47C35" w:rsidRPr="00A63A0F">
        <w:rPr>
          <w:rFonts w:ascii="Times New Roman" w:eastAsia="Times New Roman" w:hAnsi="Times New Roman" w:cs="Times New Roman"/>
          <w:b/>
          <w:color w:val="000000"/>
          <w:sz w:val="20"/>
          <w:szCs w:val="20"/>
        </w:rPr>
        <w:t>L</w:t>
      </w:r>
      <w:r w:rsidR="00F47C35">
        <w:rPr>
          <w:rFonts w:ascii="Times New Roman" w:eastAsia="Times New Roman" w:hAnsi="Times New Roman" w:cs="Times New Roman"/>
          <w:b/>
          <w:color w:val="000000"/>
          <w:sz w:val="20"/>
          <w:szCs w:val="20"/>
        </w:rPr>
        <w:t>uiz</w:t>
      </w:r>
      <w:r w:rsidR="00F47C35" w:rsidRPr="00A63A0F">
        <w:rPr>
          <w:rFonts w:ascii="Times New Roman" w:eastAsia="Times New Roman" w:hAnsi="Times New Roman" w:cs="Times New Roman"/>
          <w:b/>
          <w:color w:val="000000"/>
          <w:sz w:val="20"/>
          <w:szCs w:val="20"/>
        </w:rPr>
        <w:t xml:space="preserve"> Flavio da Silva</w:t>
      </w:r>
      <w:r w:rsidR="00F47C35">
        <w:rPr>
          <w:rFonts w:ascii="Times New Roman" w:eastAsia="Times New Roman" w:hAnsi="Times New Roman" w:cs="Times New Roman"/>
          <w:b/>
          <w:color w:val="000000"/>
          <w:sz w:val="20"/>
          <w:szCs w:val="20"/>
          <w:vertAlign w:val="superscript"/>
        </w:rPr>
        <w:t>1</w:t>
      </w:r>
      <w:r w:rsidR="00F47C35">
        <w:rPr>
          <w:rFonts w:ascii="Times New Roman" w:eastAsia="Times New Roman" w:hAnsi="Times New Roman" w:cs="Times New Roman"/>
          <w:b/>
          <w:color w:val="000000"/>
          <w:sz w:val="20"/>
          <w:szCs w:val="20"/>
        </w:rPr>
        <w:t xml:space="preserve">, </w:t>
      </w:r>
      <w:r w:rsidR="00F47C35" w:rsidRPr="006225DE">
        <w:rPr>
          <w:rFonts w:ascii="Times New Roman" w:eastAsia="Times New Roman" w:hAnsi="Times New Roman" w:cs="Times New Roman"/>
          <w:b/>
          <w:color w:val="000000"/>
          <w:sz w:val="20"/>
          <w:szCs w:val="20"/>
        </w:rPr>
        <w:t xml:space="preserve">Vinicius </w:t>
      </w:r>
      <w:proofErr w:type="spellStart"/>
      <w:r w:rsidR="00F47C35" w:rsidRPr="006225DE">
        <w:rPr>
          <w:rFonts w:ascii="Times New Roman" w:eastAsia="Times New Roman" w:hAnsi="Times New Roman" w:cs="Times New Roman"/>
          <w:b/>
          <w:color w:val="000000"/>
          <w:sz w:val="20"/>
          <w:szCs w:val="20"/>
        </w:rPr>
        <w:t>Airão</w:t>
      </w:r>
      <w:proofErr w:type="spellEnd"/>
      <w:r w:rsidR="00F47C35" w:rsidRPr="006225DE">
        <w:rPr>
          <w:rFonts w:ascii="Times New Roman" w:eastAsia="Times New Roman" w:hAnsi="Times New Roman" w:cs="Times New Roman"/>
          <w:b/>
          <w:color w:val="000000"/>
          <w:sz w:val="20"/>
          <w:szCs w:val="20"/>
        </w:rPr>
        <w:t xml:space="preserve"> Barros</w:t>
      </w:r>
      <w:r w:rsidR="00F47C35">
        <w:rPr>
          <w:rFonts w:ascii="Times New Roman" w:eastAsia="Times New Roman" w:hAnsi="Times New Roman" w:cs="Times New Roman"/>
          <w:b/>
          <w:color w:val="000000"/>
          <w:sz w:val="20"/>
          <w:szCs w:val="20"/>
          <w:vertAlign w:val="superscript"/>
        </w:rPr>
        <w:t>2</w:t>
      </w:r>
      <w:r w:rsidR="00F47C35">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rPr>
        <w:t>Marco Aurelio Pestana</w:t>
      </w:r>
      <w:r>
        <w:rPr>
          <w:rFonts w:ascii="Times New Roman" w:eastAsia="Times New Roman" w:hAnsi="Times New Roman" w:cs="Times New Roman"/>
          <w:b/>
          <w:sz w:val="20"/>
          <w:szCs w:val="20"/>
          <w:vertAlign w:val="superscript"/>
        </w:rPr>
        <w:t>1</w:t>
      </w:r>
    </w:p>
    <w:p w14:paraId="5A44DB11" w14:textId="77777777" w:rsidR="00C91D8E" w:rsidRDefault="00000000">
      <w:pPr>
        <w:pBdr>
          <w:top w:val="nil"/>
          <w:left w:val="nil"/>
          <w:bottom w:val="nil"/>
          <w:right w:val="nil"/>
          <w:between w:val="nil"/>
        </w:pBdr>
        <w:spacing w:after="0"/>
        <w:jc w:val="center"/>
        <w:rPr>
          <w:rFonts w:ascii="Times New Roman" w:eastAsia="Times New Roman" w:hAnsi="Times New Roman" w:cs="Times New Roman"/>
          <w:i/>
          <w:sz w:val="20"/>
          <w:szCs w:val="20"/>
        </w:rPr>
      </w:pP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w:t>
      </w:r>
      <w:r>
        <w:rPr>
          <w:rFonts w:ascii="Times New Roman" w:eastAsia="Times New Roman" w:hAnsi="Times New Roman" w:cs="Times New Roman"/>
          <w:i/>
          <w:sz w:val="20"/>
          <w:szCs w:val="20"/>
        </w:rPr>
        <w:t>ENAI-CIMATEC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sz w:val="20"/>
          <w:szCs w:val="20"/>
        </w:rPr>
        <w:t>Oil &amp; Gas</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sz w:val="20"/>
          <w:szCs w:val="20"/>
        </w:rPr>
        <w:t>Salvador</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sz w:val="20"/>
          <w:szCs w:val="20"/>
        </w:rPr>
        <w:t>Bahia</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sz w:val="20"/>
          <w:szCs w:val="20"/>
        </w:rPr>
        <w:t>Salvador</w:t>
      </w:r>
    </w:p>
    <w:p w14:paraId="43B1E3E2" w14:textId="77777777" w:rsidR="00F47C35" w:rsidRDefault="00F47C35" w:rsidP="00F47C35">
      <w:pPr>
        <w:pBdr>
          <w:top w:val="nil"/>
          <w:left w:val="nil"/>
          <w:bottom w:val="nil"/>
          <w:right w:val="nil"/>
          <w:between w:val="nil"/>
        </w:pBd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CENPES/PETROBRAS, </w:t>
      </w:r>
      <w:r>
        <w:rPr>
          <w:rFonts w:ascii="Times New Roman" w:eastAsia="Times New Roman" w:hAnsi="Times New Roman" w:cs="Times New Roman"/>
          <w:i/>
          <w:sz w:val="20"/>
          <w:szCs w:val="20"/>
        </w:rPr>
        <w:t>Rio de Janeiro</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sz w:val="20"/>
          <w:szCs w:val="20"/>
        </w:rPr>
        <w:t>Rio de Janeiro</w:t>
      </w:r>
    </w:p>
    <w:p w14:paraId="1E94FE62" w14:textId="7EC97996" w:rsidR="00C91D8E" w:rsidRDefault="00000000">
      <w:pPr>
        <w:pBdr>
          <w:top w:val="nil"/>
          <w:left w:val="nil"/>
          <w:bottom w:val="nil"/>
          <w:right w:val="nil"/>
          <w:between w:val="nil"/>
        </w:pBd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*Corresponding author: </w:t>
      </w:r>
      <w:r w:rsidR="008B0458">
        <w:rPr>
          <w:rFonts w:ascii="Times New Roman" w:eastAsia="Times New Roman" w:hAnsi="Times New Roman" w:cs="Times New Roman"/>
          <w:i/>
          <w:color w:val="000000"/>
          <w:sz w:val="20"/>
          <w:szCs w:val="20"/>
        </w:rPr>
        <w:t>SE</w:t>
      </w:r>
      <w:r w:rsidR="00F4271B">
        <w:rPr>
          <w:rFonts w:ascii="Times New Roman" w:eastAsia="Times New Roman" w:hAnsi="Times New Roman" w:cs="Times New Roman"/>
          <w:i/>
          <w:color w:val="000000"/>
          <w:sz w:val="20"/>
          <w:szCs w:val="20"/>
        </w:rPr>
        <w:t>NAI-CIMATEC</w:t>
      </w:r>
      <w:r>
        <w:rPr>
          <w:rFonts w:ascii="Times New Roman" w:eastAsia="Times New Roman" w:hAnsi="Times New Roman" w:cs="Times New Roman"/>
          <w:i/>
          <w:color w:val="000000"/>
          <w:sz w:val="20"/>
          <w:szCs w:val="20"/>
        </w:rPr>
        <w:t xml:space="preserve">; addresses; </w:t>
      </w:r>
      <w:r w:rsidR="00F4271B">
        <w:rPr>
          <w:rFonts w:ascii="Times New Roman" w:eastAsia="Times New Roman" w:hAnsi="Times New Roman" w:cs="Times New Roman"/>
          <w:i/>
          <w:color w:val="000000"/>
          <w:sz w:val="20"/>
          <w:szCs w:val="20"/>
        </w:rPr>
        <w:t>arthur.azevedo@fbter.org.br</w:t>
      </w:r>
    </w:p>
    <w:p w14:paraId="54EFBBF5" w14:textId="77777777" w:rsidR="00C91D8E" w:rsidRDefault="00C91D8E">
      <w:pPr>
        <w:pBdr>
          <w:top w:val="nil"/>
          <w:left w:val="nil"/>
          <w:bottom w:val="nil"/>
          <w:right w:val="nil"/>
          <w:between w:val="nil"/>
        </w:pBdr>
        <w:spacing w:after="0"/>
        <w:ind w:left="318" w:right="318"/>
        <w:jc w:val="both"/>
        <w:rPr>
          <w:rFonts w:ascii="Times New Roman" w:eastAsia="Times New Roman" w:hAnsi="Times New Roman" w:cs="Times New Roman"/>
          <w:color w:val="000000"/>
          <w:sz w:val="20"/>
          <w:szCs w:val="20"/>
        </w:rPr>
      </w:pPr>
    </w:p>
    <w:p w14:paraId="0C0A955A" w14:textId="7EDD0ADA" w:rsidR="00C91D8E" w:rsidRDefault="00000000">
      <w:pPr>
        <w:pBdr>
          <w:top w:val="nil"/>
          <w:left w:val="nil"/>
          <w:bottom w:val="nil"/>
          <w:right w:val="nil"/>
          <w:between w:val="nil"/>
        </w:pBdr>
        <w:spacing w:after="0"/>
        <w:ind w:left="318" w:right="31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sidR="00496F68" w:rsidRPr="00496F68">
        <w:rPr>
          <w:rFonts w:ascii="Times New Roman" w:eastAsia="Times New Roman" w:hAnsi="Times New Roman" w:cs="Times New Roman"/>
          <w:b/>
          <w:color w:val="000000"/>
          <w:sz w:val="20"/>
          <w:szCs w:val="20"/>
        </w:rPr>
        <w:t xml:space="preserve">The reliability of </w:t>
      </w:r>
      <w:r w:rsidR="00B04C5C">
        <w:rPr>
          <w:rFonts w:ascii="Times New Roman" w:eastAsia="Times New Roman" w:hAnsi="Times New Roman" w:cs="Times New Roman"/>
          <w:b/>
          <w:color w:val="000000"/>
          <w:sz w:val="20"/>
          <w:szCs w:val="20"/>
        </w:rPr>
        <w:t>g</w:t>
      </w:r>
      <w:r w:rsidR="00496F68" w:rsidRPr="00496F68">
        <w:rPr>
          <w:rFonts w:ascii="Times New Roman" w:eastAsia="Times New Roman" w:hAnsi="Times New Roman" w:cs="Times New Roman"/>
          <w:b/>
          <w:color w:val="000000"/>
          <w:sz w:val="20"/>
          <w:szCs w:val="20"/>
        </w:rPr>
        <w:t xml:space="preserve">as </w:t>
      </w:r>
      <w:r w:rsidR="00B04C5C">
        <w:rPr>
          <w:rFonts w:ascii="Times New Roman" w:eastAsia="Times New Roman" w:hAnsi="Times New Roman" w:cs="Times New Roman"/>
          <w:b/>
          <w:color w:val="000000"/>
          <w:sz w:val="20"/>
          <w:szCs w:val="20"/>
        </w:rPr>
        <w:t>l</w:t>
      </w:r>
      <w:r w:rsidR="00496F68" w:rsidRPr="00496F68">
        <w:rPr>
          <w:rFonts w:ascii="Times New Roman" w:eastAsia="Times New Roman" w:hAnsi="Times New Roman" w:cs="Times New Roman"/>
          <w:b/>
          <w:color w:val="000000"/>
          <w:sz w:val="20"/>
          <w:szCs w:val="20"/>
        </w:rPr>
        <w:t xml:space="preserve">ift and </w:t>
      </w:r>
      <w:r w:rsidR="00B04C5C">
        <w:rPr>
          <w:rFonts w:ascii="Times New Roman" w:eastAsia="Times New Roman" w:hAnsi="Times New Roman" w:cs="Times New Roman"/>
          <w:b/>
          <w:color w:val="000000"/>
          <w:sz w:val="20"/>
          <w:szCs w:val="20"/>
        </w:rPr>
        <w:t>c</w:t>
      </w:r>
      <w:r w:rsidR="00496F68" w:rsidRPr="00496F68">
        <w:rPr>
          <w:rFonts w:ascii="Times New Roman" w:eastAsia="Times New Roman" w:hAnsi="Times New Roman" w:cs="Times New Roman"/>
          <w:b/>
          <w:color w:val="000000"/>
          <w:sz w:val="20"/>
          <w:szCs w:val="20"/>
        </w:rPr>
        <w:t xml:space="preserve">hemical </w:t>
      </w:r>
      <w:r w:rsidR="00B04C5C">
        <w:rPr>
          <w:rFonts w:ascii="Times New Roman" w:eastAsia="Times New Roman" w:hAnsi="Times New Roman" w:cs="Times New Roman"/>
          <w:b/>
          <w:color w:val="000000"/>
          <w:sz w:val="20"/>
          <w:szCs w:val="20"/>
        </w:rPr>
        <w:t>i</w:t>
      </w:r>
      <w:r w:rsidR="00496F68" w:rsidRPr="00496F68">
        <w:rPr>
          <w:rFonts w:ascii="Times New Roman" w:eastAsia="Times New Roman" w:hAnsi="Times New Roman" w:cs="Times New Roman"/>
          <w:b/>
          <w:color w:val="000000"/>
          <w:sz w:val="20"/>
          <w:szCs w:val="20"/>
        </w:rPr>
        <w:t xml:space="preserve">njection </w:t>
      </w:r>
      <w:r w:rsidR="00B04C5C">
        <w:rPr>
          <w:rFonts w:ascii="Times New Roman" w:eastAsia="Times New Roman" w:hAnsi="Times New Roman" w:cs="Times New Roman"/>
          <w:b/>
          <w:color w:val="000000"/>
          <w:sz w:val="20"/>
          <w:szCs w:val="20"/>
        </w:rPr>
        <w:t>v</w:t>
      </w:r>
      <w:r w:rsidR="00496F68" w:rsidRPr="00496F68">
        <w:rPr>
          <w:rFonts w:ascii="Times New Roman" w:eastAsia="Times New Roman" w:hAnsi="Times New Roman" w:cs="Times New Roman"/>
          <w:b/>
          <w:color w:val="000000"/>
          <w:sz w:val="20"/>
          <w:szCs w:val="20"/>
        </w:rPr>
        <w:t xml:space="preserve">alves is critical for ensuring </w:t>
      </w:r>
      <w:r w:rsidR="00B957B9" w:rsidRPr="00496F68">
        <w:rPr>
          <w:rFonts w:ascii="Times New Roman" w:eastAsia="Times New Roman" w:hAnsi="Times New Roman" w:cs="Times New Roman"/>
          <w:b/>
          <w:color w:val="000000"/>
          <w:sz w:val="20"/>
          <w:szCs w:val="20"/>
        </w:rPr>
        <w:t>safety</w:t>
      </w:r>
      <w:r w:rsidR="00496F68" w:rsidRPr="00496F68">
        <w:rPr>
          <w:rFonts w:ascii="Times New Roman" w:eastAsia="Times New Roman" w:hAnsi="Times New Roman" w:cs="Times New Roman"/>
          <w:b/>
          <w:color w:val="000000"/>
          <w:sz w:val="20"/>
          <w:szCs w:val="20"/>
        </w:rPr>
        <w:t xml:space="preserve"> and continuous oil and gas production in offshore environments, especially in deep pre-salt fields. While the operational role of these valves is well acknowledged, limited studies have explored the impact of testing infrastructure on reliability estimation and </w:t>
      </w:r>
      <w:r w:rsidR="004125D0">
        <w:rPr>
          <w:rFonts w:ascii="Times New Roman" w:eastAsia="Times New Roman" w:hAnsi="Times New Roman" w:cs="Times New Roman"/>
          <w:b/>
          <w:color w:val="000000"/>
          <w:sz w:val="20"/>
          <w:szCs w:val="20"/>
        </w:rPr>
        <w:t xml:space="preserve">their </w:t>
      </w:r>
      <w:r w:rsidR="00496F68" w:rsidRPr="00496F68">
        <w:rPr>
          <w:rFonts w:ascii="Times New Roman" w:eastAsia="Times New Roman" w:hAnsi="Times New Roman" w:cs="Times New Roman"/>
          <w:b/>
          <w:color w:val="000000"/>
          <w:sz w:val="20"/>
          <w:szCs w:val="20"/>
        </w:rPr>
        <w:t xml:space="preserve">lifecycle performance. This study outlines a conceptual framework for evaluating the reliability of </w:t>
      </w:r>
      <w:r w:rsidR="004125D0">
        <w:rPr>
          <w:rFonts w:ascii="Times New Roman" w:eastAsia="Times New Roman" w:hAnsi="Times New Roman" w:cs="Times New Roman"/>
          <w:b/>
          <w:color w:val="000000"/>
          <w:sz w:val="20"/>
          <w:szCs w:val="20"/>
        </w:rPr>
        <w:t>g</w:t>
      </w:r>
      <w:r w:rsidR="004125D0" w:rsidRPr="00496F68">
        <w:rPr>
          <w:rFonts w:ascii="Times New Roman" w:eastAsia="Times New Roman" w:hAnsi="Times New Roman" w:cs="Times New Roman"/>
          <w:b/>
          <w:color w:val="000000"/>
          <w:sz w:val="20"/>
          <w:szCs w:val="20"/>
        </w:rPr>
        <w:t xml:space="preserve">as </w:t>
      </w:r>
      <w:r w:rsidR="004125D0">
        <w:rPr>
          <w:rFonts w:ascii="Times New Roman" w:eastAsia="Times New Roman" w:hAnsi="Times New Roman" w:cs="Times New Roman"/>
          <w:b/>
          <w:color w:val="000000"/>
          <w:sz w:val="20"/>
          <w:szCs w:val="20"/>
        </w:rPr>
        <w:t>l</w:t>
      </w:r>
      <w:r w:rsidR="004125D0" w:rsidRPr="00496F68">
        <w:rPr>
          <w:rFonts w:ascii="Times New Roman" w:eastAsia="Times New Roman" w:hAnsi="Times New Roman" w:cs="Times New Roman"/>
          <w:b/>
          <w:color w:val="000000"/>
          <w:sz w:val="20"/>
          <w:szCs w:val="20"/>
        </w:rPr>
        <w:t xml:space="preserve">ift and </w:t>
      </w:r>
      <w:r w:rsidR="004125D0">
        <w:rPr>
          <w:rFonts w:ascii="Times New Roman" w:eastAsia="Times New Roman" w:hAnsi="Times New Roman" w:cs="Times New Roman"/>
          <w:b/>
          <w:color w:val="000000"/>
          <w:sz w:val="20"/>
          <w:szCs w:val="20"/>
        </w:rPr>
        <w:t>c</w:t>
      </w:r>
      <w:r w:rsidR="004125D0" w:rsidRPr="00496F68">
        <w:rPr>
          <w:rFonts w:ascii="Times New Roman" w:eastAsia="Times New Roman" w:hAnsi="Times New Roman" w:cs="Times New Roman"/>
          <w:b/>
          <w:color w:val="000000"/>
          <w:sz w:val="20"/>
          <w:szCs w:val="20"/>
        </w:rPr>
        <w:t xml:space="preserve">hemical </w:t>
      </w:r>
      <w:r w:rsidR="004125D0">
        <w:rPr>
          <w:rFonts w:ascii="Times New Roman" w:eastAsia="Times New Roman" w:hAnsi="Times New Roman" w:cs="Times New Roman"/>
          <w:b/>
          <w:color w:val="000000"/>
          <w:sz w:val="20"/>
          <w:szCs w:val="20"/>
        </w:rPr>
        <w:t>i</w:t>
      </w:r>
      <w:r w:rsidR="004125D0" w:rsidRPr="00496F68">
        <w:rPr>
          <w:rFonts w:ascii="Times New Roman" w:eastAsia="Times New Roman" w:hAnsi="Times New Roman" w:cs="Times New Roman"/>
          <w:b/>
          <w:color w:val="000000"/>
          <w:sz w:val="20"/>
          <w:szCs w:val="20"/>
        </w:rPr>
        <w:t xml:space="preserve">njection </w:t>
      </w:r>
      <w:r w:rsidR="004125D0">
        <w:rPr>
          <w:rFonts w:ascii="Times New Roman" w:eastAsia="Times New Roman" w:hAnsi="Times New Roman" w:cs="Times New Roman"/>
          <w:b/>
          <w:color w:val="000000"/>
          <w:sz w:val="20"/>
          <w:szCs w:val="20"/>
        </w:rPr>
        <w:t>v</w:t>
      </w:r>
      <w:r w:rsidR="004125D0" w:rsidRPr="00496F68">
        <w:rPr>
          <w:rFonts w:ascii="Times New Roman" w:eastAsia="Times New Roman" w:hAnsi="Times New Roman" w:cs="Times New Roman"/>
          <w:b/>
          <w:color w:val="000000"/>
          <w:sz w:val="20"/>
          <w:szCs w:val="20"/>
        </w:rPr>
        <w:t>alves</w:t>
      </w:r>
      <w:r w:rsidR="00496F68" w:rsidRPr="00496F68">
        <w:rPr>
          <w:rFonts w:ascii="Times New Roman" w:eastAsia="Times New Roman" w:hAnsi="Times New Roman" w:cs="Times New Roman"/>
          <w:b/>
          <w:color w:val="000000"/>
          <w:sz w:val="20"/>
          <w:szCs w:val="20"/>
        </w:rPr>
        <w:t xml:space="preserve">, along with the test systems used in their </w:t>
      </w:r>
      <w:r w:rsidR="00EF0277" w:rsidRPr="00496F68">
        <w:rPr>
          <w:rFonts w:ascii="Times New Roman" w:eastAsia="Times New Roman" w:hAnsi="Times New Roman" w:cs="Times New Roman"/>
          <w:b/>
          <w:color w:val="000000"/>
          <w:sz w:val="20"/>
          <w:szCs w:val="20"/>
        </w:rPr>
        <w:t>qualifications</w:t>
      </w:r>
      <w:r w:rsidR="00496F68" w:rsidRPr="00496F68">
        <w:rPr>
          <w:rFonts w:ascii="Times New Roman" w:eastAsia="Times New Roman" w:hAnsi="Times New Roman" w:cs="Times New Roman"/>
          <w:b/>
          <w:color w:val="000000"/>
          <w:sz w:val="20"/>
          <w:szCs w:val="20"/>
        </w:rPr>
        <w:t xml:space="preserve">. The proposed approach is based on classical reliability engineering principles and integrates system modeling techniques such as Fault Tree Analysis Markov processes. </w:t>
      </w:r>
      <w:r w:rsidR="00782EE0" w:rsidRPr="00496F68">
        <w:rPr>
          <w:rFonts w:ascii="Times New Roman" w:eastAsia="Times New Roman" w:hAnsi="Times New Roman" w:cs="Times New Roman"/>
          <w:b/>
          <w:color w:val="000000"/>
          <w:sz w:val="20"/>
          <w:szCs w:val="20"/>
        </w:rPr>
        <w:t>Emphasis</w:t>
      </w:r>
      <w:r w:rsidR="00496F68" w:rsidRPr="00496F68">
        <w:rPr>
          <w:rFonts w:ascii="Times New Roman" w:eastAsia="Times New Roman" w:hAnsi="Times New Roman" w:cs="Times New Roman"/>
          <w:b/>
          <w:color w:val="000000"/>
          <w:sz w:val="20"/>
          <w:szCs w:val="20"/>
        </w:rPr>
        <w:t xml:space="preserve"> is placed on the influence of test unit performance on valve reliability data, especially under field-representative conditions. Failure </w:t>
      </w:r>
      <w:r w:rsidR="00B957B9" w:rsidRPr="00496F68">
        <w:rPr>
          <w:rFonts w:ascii="Times New Roman" w:eastAsia="Times New Roman" w:hAnsi="Times New Roman" w:cs="Times New Roman"/>
          <w:b/>
          <w:color w:val="000000"/>
          <w:sz w:val="20"/>
          <w:szCs w:val="20"/>
        </w:rPr>
        <w:t>modes,</w:t>
      </w:r>
      <w:r w:rsidR="00782EE0">
        <w:rPr>
          <w:rFonts w:ascii="Times New Roman" w:eastAsia="Times New Roman" w:hAnsi="Times New Roman" w:cs="Times New Roman"/>
          <w:b/>
          <w:color w:val="000000"/>
          <w:sz w:val="20"/>
          <w:szCs w:val="20"/>
        </w:rPr>
        <w:t xml:space="preserve"> </w:t>
      </w:r>
      <w:r w:rsidR="00496F68" w:rsidRPr="00496F68">
        <w:rPr>
          <w:rFonts w:ascii="Times New Roman" w:eastAsia="Times New Roman" w:hAnsi="Times New Roman" w:cs="Times New Roman"/>
          <w:b/>
          <w:color w:val="000000"/>
          <w:sz w:val="20"/>
          <w:szCs w:val="20"/>
        </w:rPr>
        <w:t>especially those involving check valves</w:t>
      </w:r>
      <w:r w:rsidR="00782EE0">
        <w:rPr>
          <w:rFonts w:ascii="Times New Roman" w:eastAsia="Times New Roman" w:hAnsi="Times New Roman" w:cs="Times New Roman"/>
          <w:b/>
          <w:color w:val="000000"/>
          <w:sz w:val="20"/>
          <w:szCs w:val="20"/>
        </w:rPr>
        <w:t xml:space="preserve"> </w:t>
      </w:r>
      <w:r w:rsidR="00496F68" w:rsidRPr="00496F68">
        <w:rPr>
          <w:rFonts w:ascii="Times New Roman" w:eastAsia="Times New Roman" w:hAnsi="Times New Roman" w:cs="Times New Roman"/>
          <w:b/>
          <w:color w:val="000000"/>
          <w:sz w:val="20"/>
          <w:szCs w:val="20"/>
        </w:rPr>
        <w:t xml:space="preserve">are discussed in relation to fluid dynamics, material degradation, and environmental constraints. Although empirical analyses are not presented at this stage, this work provides </w:t>
      </w:r>
      <w:r w:rsidR="00767EA7" w:rsidRPr="00496F68">
        <w:rPr>
          <w:rFonts w:ascii="Times New Roman" w:eastAsia="Times New Roman" w:hAnsi="Times New Roman" w:cs="Times New Roman"/>
          <w:b/>
          <w:color w:val="000000"/>
          <w:sz w:val="20"/>
          <w:szCs w:val="20"/>
        </w:rPr>
        <w:t>theoretical</w:t>
      </w:r>
      <w:r w:rsidR="00496F68" w:rsidRPr="00496F68">
        <w:rPr>
          <w:rFonts w:ascii="Times New Roman" w:eastAsia="Times New Roman" w:hAnsi="Times New Roman" w:cs="Times New Roman"/>
          <w:b/>
          <w:color w:val="000000"/>
          <w:sz w:val="20"/>
          <w:szCs w:val="20"/>
        </w:rPr>
        <w:t xml:space="preserve"> foundation for future reliability assessments, highlighting critical aspects such as failure taxonomy, system boundaries, and the role of structured reliability databases like OREDA. By bridging component and system-level reliability perspectives, the framework aims to foster technical advancements in valve design and promote discussion around reliability-centered testing in the </w:t>
      </w:r>
      <w:r w:rsidR="00A16832">
        <w:rPr>
          <w:rFonts w:ascii="Times New Roman" w:eastAsia="Times New Roman" w:hAnsi="Times New Roman" w:cs="Times New Roman"/>
          <w:b/>
          <w:color w:val="000000"/>
          <w:sz w:val="20"/>
          <w:szCs w:val="20"/>
        </w:rPr>
        <w:t>oil and gas</w:t>
      </w:r>
      <w:r w:rsidR="00496F68" w:rsidRPr="00496F68">
        <w:rPr>
          <w:rFonts w:ascii="Times New Roman" w:eastAsia="Times New Roman" w:hAnsi="Times New Roman" w:cs="Times New Roman"/>
          <w:b/>
          <w:color w:val="000000"/>
          <w:sz w:val="20"/>
          <w:szCs w:val="20"/>
        </w:rPr>
        <w:t xml:space="preserve"> sector.</w:t>
      </w:r>
    </w:p>
    <w:p w14:paraId="0D104E07" w14:textId="07F016CD" w:rsidR="00C91D8E" w:rsidRDefault="00000000">
      <w:pPr>
        <w:pBdr>
          <w:top w:val="nil"/>
          <w:left w:val="nil"/>
          <w:bottom w:val="nil"/>
          <w:right w:val="nil"/>
          <w:between w:val="nil"/>
        </w:pBdr>
        <w:spacing w:after="0"/>
        <w:ind w:left="318" w:right="31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sidR="00401629">
        <w:rPr>
          <w:rFonts w:ascii="Times New Roman" w:eastAsia="Times New Roman" w:hAnsi="Times New Roman" w:cs="Times New Roman"/>
          <w:b/>
          <w:color w:val="000000"/>
          <w:sz w:val="20"/>
          <w:szCs w:val="20"/>
        </w:rPr>
        <w:t>Reliability</w:t>
      </w:r>
      <w:r w:rsidR="00573540">
        <w:rPr>
          <w:rFonts w:ascii="Times New Roman" w:eastAsia="Times New Roman" w:hAnsi="Times New Roman" w:cs="Times New Roman"/>
          <w:b/>
          <w:color w:val="000000"/>
          <w:sz w:val="20"/>
          <w:szCs w:val="20"/>
        </w:rPr>
        <w:t>.</w:t>
      </w:r>
      <w:r w:rsidR="005D16AD">
        <w:rPr>
          <w:rFonts w:ascii="Times New Roman" w:eastAsia="Times New Roman" w:hAnsi="Times New Roman" w:cs="Times New Roman"/>
          <w:b/>
          <w:color w:val="000000"/>
          <w:sz w:val="20"/>
          <w:szCs w:val="20"/>
        </w:rPr>
        <w:t xml:space="preserve"> Oil &amp; Gas</w:t>
      </w:r>
      <w:r w:rsidR="00573540">
        <w:rPr>
          <w:rFonts w:ascii="Times New Roman" w:eastAsia="Times New Roman" w:hAnsi="Times New Roman" w:cs="Times New Roman"/>
          <w:b/>
          <w:color w:val="000000"/>
          <w:sz w:val="20"/>
          <w:szCs w:val="20"/>
        </w:rPr>
        <w:t>.</w:t>
      </w:r>
      <w:r w:rsidR="005D16AD">
        <w:rPr>
          <w:rFonts w:ascii="Times New Roman" w:eastAsia="Times New Roman" w:hAnsi="Times New Roman" w:cs="Times New Roman"/>
          <w:b/>
          <w:color w:val="000000"/>
          <w:sz w:val="20"/>
          <w:szCs w:val="20"/>
        </w:rPr>
        <w:t xml:space="preserve"> Artificial Lift</w:t>
      </w:r>
      <w:r w:rsidR="00573540">
        <w:rPr>
          <w:rFonts w:ascii="Times New Roman" w:eastAsia="Times New Roman" w:hAnsi="Times New Roman" w:cs="Times New Roman"/>
          <w:b/>
          <w:color w:val="000000"/>
          <w:sz w:val="20"/>
          <w:szCs w:val="20"/>
        </w:rPr>
        <w:t xml:space="preserve">. </w:t>
      </w:r>
      <w:r w:rsidR="004A5869">
        <w:rPr>
          <w:rFonts w:ascii="Times New Roman" w:eastAsia="Times New Roman" w:hAnsi="Times New Roman" w:cs="Times New Roman"/>
          <w:b/>
          <w:color w:val="000000"/>
          <w:sz w:val="20"/>
          <w:szCs w:val="20"/>
        </w:rPr>
        <w:t>Chemical Injection.</w:t>
      </w:r>
    </w:p>
    <w:p w14:paraId="458E1C16" w14:textId="28471548" w:rsidR="00C91D8E" w:rsidRDefault="00000000">
      <w:pPr>
        <w:pBdr>
          <w:top w:val="nil"/>
          <w:left w:val="nil"/>
          <w:bottom w:val="nil"/>
          <w:right w:val="nil"/>
          <w:between w:val="nil"/>
        </w:pBdr>
        <w:spacing w:after="0"/>
        <w:ind w:left="318" w:right="31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Abbreviations: </w:t>
      </w:r>
      <w:r w:rsidR="00FA654D">
        <w:rPr>
          <w:rFonts w:ascii="Times New Roman" w:eastAsia="Times New Roman" w:hAnsi="Times New Roman" w:cs="Times New Roman"/>
          <w:b/>
          <w:color w:val="000000"/>
          <w:sz w:val="20"/>
          <w:szCs w:val="20"/>
        </w:rPr>
        <w:t>O&amp;G</w:t>
      </w:r>
      <w:r w:rsidR="00DD4F68">
        <w:rPr>
          <w:rFonts w:ascii="Times New Roman" w:eastAsia="Times New Roman" w:hAnsi="Times New Roman" w:cs="Times New Roman"/>
          <w:b/>
          <w:color w:val="000000"/>
          <w:sz w:val="20"/>
          <w:szCs w:val="20"/>
        </w:rPr>
        <w:t>, Oil &amp; Gas</w:t>
      </w:r>
      <w:r w:rsidR="007A2DA7">
        <w:rPr>
          <w:rFonts w:ascii="Times New Roman" w:eastAsia="Times New Roman" w:hAnsi="Times New Roman" w:cs="Times New Roman"/>
          <w:b/>
          <w:color w:val="000000"/>
          <w:sz w:val="20"/>
          <w:szCs w:val="20"/>
        </w:rPr>
        <w:t>;</w:t>
      </w:r>
      <w:r w:rsidR="00DD4F68">
        <w:rPr>
          <w:rFonts w:ascii="Times New Roman" w:eastAsia="Times New Roman" w:hAnsi="Times New Roman" w:cs="Times New Roman"/>
          <w:b/>
          <w:color w:val="000000"/>
          <w:sz w:val="20"/>
          <w:szCs w:val="20"/>
        </w:rPr>
        <w:t xml:space="preserve"> GLV, Gas Lift Valve</w:t>
      </w:r>
      <w:r w:rsidR="007A2DA7">
        <w:rPr>
          <w:rFonts w:ascii="Times New Roman" w:eastAsia="Times New Roman" w:hAnsi="Times New Roman" w:cs="Times New Roman"/>
          <w:b/>
          <w:color w:val="000000"/>
          <w:sz w:val="20"/>
          <w:szCs w:val="20"/>
        </w:rPr>
        <w:t>; CIV, Chemical Injection Valve</w:t>
      </w:r>
      <w:r w:rsidR="00C55362">
        <w:rPr>
          <w:rFonts w:ascii="Times New Roman" w:eastAsia="Times New Roman" w:hAnsi="Times New Roman" w:cs="Times New Roman"/>
          <w:b/>
          <w:color w:val="000000"/>
          <w:sz w:val="20"/>
          <w:szCs w:val="20"/>
        </w:rPr>
        <w:t>.</w:t>
      </w:r>
      <w:r w:rsidR="0015714A">
        <w:rPr>
          <w:rFonts w:ascii="Times New Roman" w:eastAsia="Times New Roman" w:hAnsi="Times New Roman" w:cs="Times New Roman"/>
          <w:b/>
          <w:color w:val="000000"/>
          <w:sz w:val="20"/>
          <w:szCs w:val="20"/>
        </w:rPr>
        <w:t xml:space="preserve"> UTEE</w:t>
      </w:r>
      <w:r w:rsidR="00700DBD">
        <w:rPr>
          <w:rFonts w:ascii="Times New Roman" w:eastAsia="Times New Roman" w:hAnsi="Times New Roman" w:cs="Times New Roman"/>
          <w:b/>
          <w:color w:val="000000"/>
          <w:sz w:val="20"/>
          <w:szCs w:val="20"/>
        </w:rPr>
        <w:t xml:space="preserve">, </w:t>
      </w:r>
      <w:proofErr w:type="spellStart"/>
      <w:r w:rsidR="00700DBD">
        <w:rPr>
          <w:rFonts w:ascii="Times New Roman" w:eastAsia="Times New Roman" w:hAnsi="Times New Roman" w:cs="Times New Roman"/>
          <w:b/>
          <w:color w:val="000000"/>
          <w:sz w:val="20"/>
          <w:szCs w:val="20"/>
        </w:rPr>
        <w:t>Unidade</w:t>
      </w:r>
      <w:proofErr w:type="spellEnd"/>
      <w:r w:rsidR="00700DBD">
        <w:rPr>
          <w:rFonts w:ascii="Times New Roman" w:eastAsia="Times New Roman" w:hAnsi="Times New Roman" w:cs="Times New Roman"/>
          <w:b/>
          <w:color w:val="000000"/>
          <w:sz w:val="20"/>
          <w:szCs w:val="20"/>
        </w:rPr>
        <w:t xml:space="preserve"> de Testes de </w:t>
      </w:r>
      <w:proofErr w:type="spellStart"/>
      <w:r w:rsidR="00700DBD">
        <w:rPr>
          <w:rFonts w:ascii="Times New Roman" w:eastAsia="Times New Roman" w:hAnsi="Times New Roman" w:cs="Times New Roman"/>
          <w:b/>
          <w:color w:val="000000"/>
          <w:sz w:val="20"/>
          <w:szCs w:val="20"/>
        </w:rPr>
        <w:t>Elevação</w:t>
      </w:r>
      <w:proofErr w:type="spellEnd"/>
      <w:r w:rsidR="00700DBD">
        <w:rPr>
          <w:rFonts w:ascii="Times New Roman" w:eastAsia="Times New Roman" w:hAnsi="Times New Roman" w:cs="Times New Roman"/>
          <w:b/>
          <w:color w:val="000000"/>
          <w:sz w:val="20"/>
          <w:szCs w:val="20"/>
        </w:rPr>
        <w:t xml:space="preserve"> e </w:t>
      </w:r>
      <w:proofErr w:type="spellStart"/>
      <w:r w:rsidR="00700DBD">
        <w:rPr>
          <w:rFonts w:ascii="Times New Roman" w:eastAsia="Times New Roman" w:hAnsi="Times New Roman" w:cs="Times New Roman"/>
          <w:b/>
          <w:color w:val="000000"/>
          <w:sz w:val="20"/>
          <w:szCs w:val="20"/>
        </w:rPr>
        <w:t>Escoamento</w:t>
      </w:r>
      <w:proofErr w:type="spellEnd"/>
      <w:r w:rsidR="00700DBD">
        <w:rPr>
          <w:rFonts w:ascii="Times New Roman" w:eastAsia="Times New Roman" w:hAnsi="Times New Roman" w:cs="Times New Roman"/>
          <w:b/>
          <w:color w:val="000000"/>
          <w:sz w:val="20"/>
          <w:szCs w:val="20"/>
        </w:rPr>
        <w:t>.</w:t>
      </w:r>
    </w:p>
    <w:p w14:paraId="77D86503" w14:textId="77777777" w:rsidR="00C91D8E" w:rsidRDefault="00C91D8E">
      <w:pPr>
        <w:pBdr>
          <w:top w:val="nil"/>
          <w:left w:val="nil"/>
          <w:bottom w:val="nil"/>
          <w:right w:val="nil"/>
          <w:between w:val="nil"/>
        </w:pBdr>
        <w:spacing w:after="0"/>
        <w:ind w:left="318" w:right="318"/>
        <w:jc w:val="both"/>
        <w:rPr>
          <w:rFonts w:ascii="Times New Roman" w:eastAsia="Times New Roman" w:hAnsi="Times New Roman" w:cs="Times New Roman"/>
          <w:color w:val="000000"/>
          <w:sz w:val="20"/>
          <w:szCs w:val="20"/>
        </w:rPr>
      </w:pPr>
    </w:p>
    <w:p w14:paraId="43A808F2" w14:textId="77777777" w:rsidR="00C91D8E" w:rsidRDefault="00C91D8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06BF246" w14:textId="512D154D" w:rsidR="00C91D8E" w:rsidRDefault="00C91D8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sectPr w:rsidR="00C91D8E">
          <w:headerReference w:type="default" r:id="rId9"/>
          <w:footerReference w:type="default" r:id="rId10"/>
          <w:pgSz w:w="11907" w:h="16839"/>
          <w:pgMar w:top="851" w:right="992" w:bottom="851" w:left="1134" w:header="720" w:footer="720" w:gutter="0"/>
          <w:pgNumType w:start="1"/>
          <w:cols w:space="720"/>
        </w:sectPr>
      </w:pPr>
    </w:p>
    <w:p w14:paraId="778E7414" w14:textId="37C29275" w:rsidR="00C91D8E" w:rsidRDefault="00000000">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r w:rsidR="00AC5AEC">
        <w:rPr>
          <w:rFonts w:ascii="Times New Roman" w:eastAsia="Times New Roman" w:hAnsi="Times New Roman" w:cs="Times New Roman"/>
          <w:b/>
          <w:color w:val="000000"/>
          <w:sz w:val="24"/>
          <w:szCs w:val="24"/>
        </w:rPr>
        <w:t xml:space="preserve"> Introduction</w:t>
      </w:r>
    </w:p>
    <w:p w14:paraId="2F082425" w14:textId="77777777" w:rsidR="00C91D8E" w:rsidRDefault="00C91D8E">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5F10371D" w14:textId="58550E36" w:rsidR="00884AE9" w:rsidRPr="00884AE9" w:rsidRDefault="00884AE9" w:rsidP="00884AE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84AE9">
        <w:rPr>
          <w:rFonts w:ascii="Times New Roman" w:eastAsia="Times New Roman" w:hAnsi="Times New Roman" w:cs="Times New Roman"/>
          <w:color w:val="000000"/>
          <w:sz w:val="24"/>
          <w:szCs w:val="24"/>
        </w:rPr>
        <w:t xml:space="preserve">In January 2025, </w:t>
      </w:r>
      <w:r w:rsidR="00FA654D">
        <w:rPr>
          <w:rFonts w:ascii="Times New Roman" w:eastAsia="Times New Roman" w:hAnsi="Times New Roman" w:cs="Times New Roman"/>
          <w:color w:val="000000"/>
          <w:sz w:val="24"/>
          <w:szCs w:val="24"/>
        </w:rPr>
        <w:t>O</w:t>
      </w:r>
      <w:r w:rsidRPr="00884AE9">
        <w:rPr>
          <w:rFonts w:ascii="Times New Roman" w:eastAsia="Times New Roman" w:hAnsi="Times New Roman" w:cs="Times New Roman"/>
          <w:color w:val="000000"/>
          <w:sz w:val="24"/>
          <w:szCs w:val="24"/>
        </w:rPr>
        <w:t xml:space="preserve">il </w:t>
      </w:r>
      <w:r w:rsidR="00FA654D">
        <w:rPr>
          <w:rFonts w:ascii="Times New Roman" w:eastAsia="Times New Roman" w:hAnsi="Times New Roman" w:cs="Times New Roman"/>
          <w:color w:val="000000"/>
          <w:sz w:val="24"/>
          <w:szCs w:val="24"/>
        </w:rPr>
        <w:t>&amp;</w:t>
      </w:r>
      <w:r w:rsidRPr="00884AE9">
        <w:rPr>
          <w:rFonts w:ascii="Times New Roman" w:eastAsia="Times New Roman" w:hAnsi="Times New Roman" w:cs="Times New Roman"/>
          <w:color w:val="000000"/>
          <w:sz w:val="24"/>
          <w:szCs w:val="24"/>
        </w:rPr>
        <w:t xml:space="preserve"> </w:t>
      </w:r>
      <w:r w:rsidR="00FA654D">
        <w:rPr>
          <w:rFonts w:ascii="Times New Roman" w:eastAsia="Times New Roman" w:hAnsi="Times New Roman" w:cs="Times New Roman"/>
          <w:color w:val="000000"/>
          <w:sz w:val="24"/>
          <w:szCs w:val="24"/>
        </w:rPr>
        <w:t>G</w:t>
      </w:r>
      <w:r w:rsidRPr="00884AE9">
        <w:rPr>
          <w:rFonts w:ascii="Times New Roman" w:eastAsia="Times New Roman" w:hAnsi="Times New Roman" w:cs="Times New Roman"/>
          <w:color w:val="000000"/>
          <w:sz w:val="24"/>
          <w:szCs w:val="24"/>
        </w:rPr>
        <w:t xml:space="preserve">as (O&amp;G) production from Brazil’s pre-salt fields increased by 2.4% compared to the same month in the previous year. This growth highlights the strategic importance of the pre-salt reservoirs, which now account for approximately 76% of the country's total O&amp;G output. The </w:t>
      </w:r>
      <w:proofErr w:type="spellStart"/>
      <w:r w:rsidRPr="00884AE9">
        <w:rPr>
          <w:rFonts w:ascii="Times New Roman" w:eastAsia="Times New Roman" w:hAnsi="Times New Roman" w:cs="Times New Roman"/>
          <w:color w:val="000000"/>
          <w:sz w:val="24"/>
          <w:szCs w:val="24"/>
        </w:rPr>
        <w:t>Tupi</w:t>
      </w:r>
      <w:proofErr w:type="spellEnd"/>
      <w:r w:rsidRPr="00884AE9">
        <w:rPr>
          <w:rFonts w:ascii="Times New Roman" w:eastAsia="Times New Roman" w:hAnsi="Times New Roman" w:cs="Times New Roman"/>
          <w:color w:val="000000"/>
          <w:sz w:val="24"/>
          <w:szCs w:val="24"/>
        </w:rPr>
        <w:t xml:space="preserve"> and </w:t>
      </w:r>
      <w:proofErr w:type="spellStart"/>
      <w:r w:rsidRPr="00884AE9">
        <w:rPr>
          <w:rFonts w:ascii="Times New Roman" w:eastAsia="Times New Roman" w:hAnsi="Times New Roman" w:cs="Times New Roman"/>
          <w:color w:val="000000"/>
          <w:sz w:val="24"/>
          <w:szCs w:val="24"/>
        </w:rPr>
        <w:t>Búzios</w:t>
      </w:r>
      <w:proofErr w:type="spellEnd"/>
      <w:r w:rsidRPr="00884AE9">
        <w:rPr>
          <w:rFonts w:ascii="Times New Roman" w:eastAsia="Times New Roman" w:hAnsi="Times New Roman" w:cs="Times New Roman"/>
          <w:color w:val="000000"/>
          <w:sz w:val="24"/>
          <w:szCs w:val="24"/>
        </w:rPr>
        <w:t xml:space="preserve"> fields alone contributed 30% and 24% of that production, respectively, positioning Brazil as a major global player in the exploration and production of hydrocarbons under extreme subsea conditions</w:t>
      </w:r>
      <w:r w:rsidR="00917F0E">
        <w:rPr>
          <w:rFonts w:ascii="Times New Roman" w:eastAsia="Times New Roman" w:hAnsi="Times New Roman" w:cs="Times New Roman"/>
          <w:color w:val="000000"/>
          <w:sz w:val="24"/>
          <w:szCs w:val="24"/>
        </w:rPr>
        <w:t xml:space="preserve"> </w:t>
      </w:r>
      <w:r w:rsidR="00917F0E">
        <w:rPr>
          <w:rFonts w:ascii="Times New Roman" w:eastAsia="Times New Roman" w:hAnsi="Times New Roman" w:cs="Times New Roman"/>
          <w:color w:val="000000"/>
          <w:sz w:val="24"/>
          <w:szCs w:val="24"/>
        </w:rPr>
        <w:fldChar w:fldCharType="begin"/>
      </w:r>
      <w:r w:rsidR="00917F0E">
        <w:rPr>
          <w:rFonts w:ascii="Times New Roman" w:eastAsia="Times New Roman" w:hAnsi="Times New Roman" w:cs="Times New Roman"/>
          <w:color w:val="000000"/>
          <w:sz w:val="24"/>
          <w:szCs w:val="24"/>
        </w:rPr>
        <w:instrText xml:space="preserve"> ADDIN ZOTERO_ITEM CSL_CITATION {"citationID":"QEQ4Lg66","properties":{"formattedCitation":"(1)","plainCitation":"(1)","noteIndex":0},"citationItems":[{"id":75,"uris":["http://zotero.org/users/16825670/items/CIHAU9YR"],"itemData":{"id":75,"type":"document","title":"Dados Abertos","URL":"https://www.gov.br/anp/pt-br/centrais-de-conteudo/dados-abertos","author":[{"literal":"Agência Nacional do Petróleo, Gás Natural e Biocombustíveis"}],"issued":{"date-parts":[["2025"]]}}}],"schema":"https://github.com/citation-style-language/schema/raw/master/csl-citation.json"} </w:instrText>
      </w:r>
      <w:r w:rsidR="00917F0E">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917F0E" w:rsidRPr="00917F0E">
        <w:rPr>
          <w:rFonts w:ascii="Times New Roman" w:hAnsi="Times New Roman" w:cs="Times New Roman"/>
          <w:sz w:val="24"/>
        </w:rPr>
        <w:t>1</w:t>
      </w:r>
      <w:r w:rsidR="00622594">
        <w:rPr>
          <w:rFonts w:ascii="Times New Roman" w:hAnsi="Times New Roman" w:cs="Times New Roman"/>
          <w:sz w:val="24"/>
        </w:rPr>
        <w:t>]</w:t>
      </w:r>
      <w:r w:rsidR="00917F0E">
        <w:rPr>
          <w:rFonts w:ascii="Times New Roman" w:eastAsia="Times New Roman" w:hAnsi="Times New Roman" w:cs="Times New Roman"/>
          <w:color w:val="000000"/>
          <w:sz w:val="24"/>
          <w:szCs w:val="24"/>
        </w:rPr>
        <w:fldChar w:fldCharType="end"/>
      </w:r>
      <w:r w:rsidRPr="00884AE9">
        <w:rPr>
          <w:rFonts w:ascii="Times New Roman" w:eastAsia="Times New Roman" w:hAnsi="Times New Roman" w:cs="Times New Roman"/>
          <w:color w:val="000000"/>
          <w:sz w:val="24"/>
          <w:szCs w:val="24"/>
        </w:rPr>
        <w:t>.</w:t>
      </w:r>
    </w:p>
    <w:p w14:paraId="24615EEF" w14:textId="4DAEE87F" w:rsidR="00884AE9" w:rsidRPr="00884AE9" w:rsidRDefault="00884AE9" w:rsidP="00884AE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84AE9">
        <w:rPr>
          <w:rFonts w:ascii="Times New Roman" w:eastAsia="Times New Roman" w:hAnsi="Times New Roman" w:cs="Times New Roman"/>
          <w:color w:val="000000"/>
          <w:sz w:val="24"/>
          <w:szCs w:val="24"/>
        </w:rPr>
        <w:t xml:space="preserve">Despite this high productivity, maintaining efficient and stable production in pre-salt wells requires the integration of advanced technologies. A common challenge in natural-flow wells is the </w:t>
      </w:r>
      <w:r w:rsidRPr="00884AE9">
        <w:rPr>
          <w:rFonts w:ascii="Times New Roman" w:eastAsia="Times New Roman" w:hAnsi="Times New Roman" w:cs="Times New Roman"/>
          <w:color w:val="000000"/>
          <w:sz w:val="24"/>
          <w:szCs w:val="24"/>
        </w:rPr>
        <w:t xml:space="preserve">gradual decline of reservoir pressure, which can eventually stop production altogether. Artificial lift methods are often employed to </w:t>
      </w:r>
      <w:r w:rsidR="006E0482">
        <w:rPr>
          <w:rFonts w:ascii="Times New Roman" w:eastAsia="Times New Roman" w:hAnsi="Times New Roman" w:cs="Times New Roman"/>
          <w:color w:val="000000"/>
          <w:sz w:val="24"/>
          <w:szCs w:val="24"/>
        </w:rPr>
        <w:t>deal with</w:t>
      </w:r>
      <w:r w:rsidRPr="00884AE9">
        <w:rPr>
          <w:rFonts w:ascii="Times New Roman" w:eastAsia="Times New Roman" w:hAnsi="Times New Roman" w:cs="Times New Roman"/>
          <w:color w:val="000000"/>
          <w:sz w:val="24"/>
          <w:szCs w:val="24"/>
        </w:rPr>
        <w:t xml:space="preserve"> this, with Gas Lift Valves (GLVs) representing one of the most versatile and widely used solutions. Through continuous gas injection into the production tubing, GLVs reduce the fluid density and help reestablish flow by effectively lowering the bottom pressure</w:t>
      </w:r>
      <w:r w:rsidR="00282EAE">
        <w:rPr>
          <w:rFonts w:ascii="Times New Roman" w:eastAsia="Times New Roman" w:hAnsi="Times New Roman" w:cs="Times New Roman"/>
          <w:color w:val="000000"/>
          <w:sz w:val="24"/>
          <w:szCs w:val="24"/>
        </w:rPr>
        <w:t xml:space="preserve"> </w:t>
      </w:r>
      <w:r w:rsidR="00282EAE">
        <w:rPr>
          <w:rFonts w:ascii="Times New Roman" w:eastAsia="Times New Roman" w:hAnsi="Times New Roman" w:cs="Times New Roman"/>
          <w:color w:val="000000"/>
          <w:sz w:val="24"/>
          <w:szCs w:val="24"/>
        </w:rPr>
        <w:fldChar w:fldCharType="begin"/>
      </w:r>
      <w:r w:rsidR="00282EAE">
        <w:rPr>
          <w:rFonts w:ascii="Times New Roman" w:eastAsia="Times New Roman" w:hAnsi="Times New Roman" w:cs="Times New Roman"/>
          <w:color w:val="000000"/>
          <w:sz w:val="24"/>
          <w:szCs w:val="24"/>
        </w:rPr>
        <w:instrText xml:space="preserve"> ADDIN ZOTERO_ITEM CSL_CITATION {"citationID":"p6f8aBME","properties":{"formattedCitation":"(2)","plainCitation":"(2)","noteIndex":0},"citationItems":[{"id":5,"uris":["http://zotero.org/users/16825670/items/P68Y4AJF"],"itemData":{"id":5,"type":"book","event-place":"Tulsa, Okla","ISBN":"978-0-87814-805-9","language":"eng","number-of-pages":"478","publisher":"PennWell","publisher-place":"Tulsa, Okla","source":"K10plus ISBN","title":"Gas lift manual","author":[{"family":"Takács","given":"Gábor"}],"issued":{"date-parts":[["2005"]]}}}],"schema":"https://github.com/citation-style-language/schema/raw/master/csl-citation.json"} </w:instrText>
      </w:r>
      <w:r w:rsidR="00282EAE">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282EAE" w:rsidRPr="00282EAE">
        <w:rPr>
          <w:rFonts w:ascii="Times New Roman" w:hAnsi="Times New Roman" w:cs="Times New Roman"/>
          <w:sz w:val="24"/>
        </w:rPr>
        <w:t>2</w:t>
      </w:r>
      <w:r w:rsidR="00282EAE">
        <w:rPr>
          <w:rFonts w:ascii="Times New Roman" w:eastAsia="Times New Roman" w:hAnsi="Times New Roman" w:cs="Times New Roman"/>
          <w:color w:val="000000"/>
          <w:sz w:val="24"/>
          <w:szCs w:val="24"/>
        </w:rPr>
        <w:fldChar w:fldCharType="end"/>
      </w:r>
      <w:r w:rsidR="00622594">
        <w:rPr>
          <w:rFonts w:ascii="Times New Roman" w:eastAsia="Times New Roman" w:hAnsi="Times New Roman" w:cs="Times New Roman"/>
          <w:color w:val="000000"/>
          <w:sz w:val="24"/>
          <w:szCs w:val="24"/>
        </w:rPr>
        <w:t>]</w:t>
      </w:r>
      <w:r w:rsidRPr="00884AE9">
        <w:rPr>
          <w:rFonts w:ascii="Times New Roman" w:eastAsia="Times New Roman" w:hAnsi="Times New Roman" w:cs="Times New Roman"/>
          <w:color w:val="000000"/>
          <w:sz w:val="24"/>
          <w:szCs w:val="24"/>
        </w:rPr>
        <w:t>.</w:t>
      </w:r>
    </w:p>
    <w:p w14:paraId="490B8563" w14:textId="4D1A28E4" w:rsidR="00884AE9" w:rsidRPr="00884AE9" w:rsidRDefault="00E8656F" w:rsidP="00884AE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Even though</w:t>
      </w:r>
      <w:r w:rsidR="00884AE9" w:rsidRPr="00884AE9">
        <w:rPr>
          <w:rFonts w:ascii="Times New Roman" w:eastAsia="Times New Roman" w:hAnsi="Times New Roman" w:cs="Times New Roman"/>
          <w:color w:val="000000"/>
          <w:sz w:val="24"/>
          <w:szCs w:val="24"/>
        </w:rPr>
        <w:t xml:space="preserve"> the </w:t>
      </w:r>
      <w:r w:rsidR="00635321">
        <w:rPr>
          <w:rFonts w:ascii="Times New Roman" w:eastAsia="Times New Roman" w:hAnsi="Times New Roman" w:cs="Times New Roman"/>
          <w:color w:val="000000"/>
          <w:sz w:val="24"/>
          <w:szCs w:val="24"/>
        </w:rPr>
        <w:t>importance</w:t>
      </w:r>
      <w:r w:rsidR="00884AE9" w:rsidRPr="00884AE9">
        <w:rPr>
          <w:rFonts w:ascii="Times New Roman" w:eastAsia="Times New Roman" w:hAnsi="Times New Roman" w:cs="Times New Roman"/>
          <w:color w:val="000000"/>
          <w:sz w:val="24"/>
          <w:szCs w:val="24"/>
        </w:rPr>
        <w:t xml:space="preserve"> of GLV</w:t>
      </w:r>
      <w:r w:rsidR="00635321">
        <w:rPr>
          <w:rFonts w:ascii="Times New Roman" w:eastAsia="Times New Roman" w:hAnsi="Times New Roman" w:cs="Times New Roman"/>
          <w:color w:val="000000"/>
          <w:sz w:val="24"/>
          <w:szCs w:val="24"/>
        </w:rPr>
        <w:t>s</w:t>
      </w:r>
      <w:r w:rsidR="00884AE9" w:rsidRPr="00884AE9">
        <w:rPr>
          <w:rFonts w:ascii="Times New Roman" w:eastAsia="Times New Roman" w:hAnsi="Times New Roman" w:cs="Times New Roman"/>
          <w:color w:val="000000"/>
          <w:sz w:val="24"/>
          <w:szCs w:val="24"/>
        </w:rPr>
        <w:t xml:space="preserve"> </w:t>
      </w:r>
      <w:r w:rsidR="00635321">
        <w:rPr>
          <w:rFonts w:ascii="Times New Roman" w:eastAsia="Times New Roman" w:hAnsi="Times New Roman" w:cs="Times New Roman"/>
          <w:color w:val="000000"/>
          <w:sz w:val="24"/>
          <w:szCs w:val="24"/>
        </w:rPr>
        <w:t xml:space="preserve">is huge </w:t>
      </w:r>
      <w:r w:rsidR="00884AE9" w:rsidRPr="00884AE9">
        <w:rPr>
          <w:rFonts w:ascii="Times New Roman" w:eastAsia="Times New Roman" w:hAnsi="Times New Roman" w:cs="Times New Roman"/>
          <w:color w:val="000000"/>
          <w:sz w:val="24"/>
          <w:szCs w:val="24"/>
        </w:rPr>
        <w:t>for production continuity</w:t>
      </w:r>
      <w:r w:rsidR="00635321">
        <w:rPr>
          <w:rFonts w:ascii="Times New Roman" w:eastAsia="Times New Roman" w:hAnsi="Times New Roman" w:cs="Times New Roman"/>
          <w:color w:val="000000"/>
          <w:sz w:val="24"/>
          <w:szCs w:val="24"/>
        </w:rPr>
        <w:t xml:space="preserve">, </w:t>
      </w:r>
      <w:r w:rsidR="00F845E8">
        <w:rPr>
          <w:rFonts w:ascii="Times New Roman" w:eastAsia="Times New Roman" w:hAnsi="Times New Roman" w:cs="Times New Roman"/>
          <w:color w:val="000000"/>
          <w:sz w:val="24"/>
          <w:szCs w:val="24"/>
        </w:rPr>
        <w:t>repair</w:t>
      </w:r>
      <w:r w:rsidR="00635321">
        <w:rPr>
          <w:rFonts w:ascii="Times New Roman" w:eastAsia="Times New Roman" w:hAnsi="Times New Roman" w:cs="Times New Roman"/>
          <w:color w:val="000000"/>
          <w:sz w:val="24"/>
          <w:szCs w:val="24"/>
        </w:rPr>
        <w:t xml:space="preserve"> in </w:t>
      </w:r>
      <w:r w:rsidR="00520D60">
        <w:rPr>
          <w:rFonts w:ascii="Times New Roman" w:eastAsia="Times New Roman" w:hAnsi="Times New Roman" w:cs="Times New Roman"/>
          <w:color w:val="000000"/>
          <w:sz w:val="24"/>
          <w:szCs w:val="24"/>
        </w:rPr>
        <w:t xml:space="preserve">subsea </w:t>
      </w:r>
      <w:r w:rsidR="00520D60" w:rsidRPr="00884AE9">
        <w:rPr>
          <w:rFonts w:ascii="Times New Roman" w:eastAsia="Times New Roman" w:hAnsi="Times New Roman" w:cs="Times New Roman"/>
          <w:color w:val="000000"/>
          <w:sz w:val="24"/>
          <w:szCs w:val="24"/>
        </w:rPr>
        <w:t>completion equipment</w:t>
      </w:r>
      <w:r w:rsidR="00520D60">
        <w:rPr>
          <w:rFonts w:ascii="Times New Roman" w:eastAsia="Times New Roman" w:hAnsi="Times New Roman" w:cs="Times New Roman"/>
          <w:color w:val="000000"/>
          <w:sz w:val="24"/>
          <w:szCs w:val="24"/>
        </w:rPr>
        <w:t xml:space="preserve"> </w:t>
      </w:r>
      <w:r w:rsidR="00635321">
        <w:rPr>
          <w:rFonts w:ascii="Times New Roman" w:eastAsia="Times New Roman" w:hAnsi="Times New Roman" w:cs="Times New Roman"/>
          <w:color w:val="000000"/>
          <w:sz w:val="24"/>
          <w:szCs w:val="24"/>
        </w:rPr>
        <w:t xml:space="preserve">is usually </w:t>
      </w:r>
      <w:r w:rsidR="00520D60">
        <w:rPr>
          <w:rFonts w:ascii="Times New Roman" w:eastAsia="Times New Roman" w:hAnsi="Times New Roman" w:cs="Times New Roman"/>
          <w:color w:val="000000"/>
          <w:sz w:val="24"/>
          <w:szCs w:val="24"/>
        </w:rPr>
        <w:t>expensive</w:t>
      </w:r>
      <w:r w:rsidR="00884AE9" w:rsidRPr="00884AE9">
        <w:rPr>
          <w:rFonts w:ascii="Times New Roman" w:eastAsia="Times New Roman" w:hAnsi="Times New Roman" w:cs="Times New Roman"/>
          <w:color w:val="000000"/>
          <w:sz w:val="24"/>
          <w:szCs w:val="24"/>
        </w:rPr>
        <w:t>.</w:t>
      </w:r>
      <w:r w:rsidR="00F845E8">
        <w:rPr>
          <w:rFonts w:ascii="Times New Roman" w:eastAsia="Times New Roman" w:hAnsi="Times New Roman" w:cs="Times New Roman"/>
          <w:color w:val="000000"/>
          <w:sz w:val="24"/>
          <w:szCs w:val="24"/>
        </w:rPr>
        <w:t xml:space="preserve"> </w:t>
      </w:r>
      <w:r w:rsidR="00147F9A" w:rsidRPr="00147F9A">
        <w:rPr>
          <w:rFonts w:ascii="Times New Roman" w:eastAsia="Times New Roman" w:hAnsi="Times New Roman" w:cs="Times New Roman"/>
          <w:color w:val="000000"/>
          <w:sz w:val="24"/>
          <w:szCs w:val="24"/>
        </w:rPr>
        <w:t>Choosing a GLV with a long service life is crucial for achieving reliable subsea operation</w:t>
      </w:r>
      <w:r w:rsidR="00D740BA">
        <w:rPr>
          <w:rFonts w:ascii="Times New Roman" w:eastAsia="Times New Roman" w:hAnsi="Times New Roman" w:cs="Times New Roman"/>
          <w:color w:val="000000"/>
          <w:sz w:val="24"/>
          <w:szCs w:val="24"/>
        </w:rPr>
        <w:t xml:space="preserve">. </w:t>
      </w:r>
      <w:r w:rsidR="00884AE9" w:rsidRPr="00884AE9">
        <w:rPr>
          <w:rFonts w:ascii="Times New Roman" w:eastAsia="Times New Roman" w:hAnsi="Times New Roman" w:cs="Times New Roman"/>
          <w:color w:val="000000"/>
          <w:sz w:val="24"/>
          <w:szCs w:val="24"/>
        </w:rPr>
        <w:t xml:space="preserve">Subsea completion equipment, including </w:t>
      </w:r>
      <w:r w:rsidR="00055E99" w:rsidRPr="00884AE9">
        <w:rPr>
          <w:rFonts w:ascii="Times New Roman" w:eastAsia="Times New Roman" w:hAnsi="Times New Roman" w:cs="Times New Roman"/>
          <w:color w:val="000000"/>
          <w:sz w:val="24"/>
          <w:szCs w:val="24"/>
        </w:rPr>
        <w:t>GLVs,</w:t>
      </w:r>
      <w:r w:rsidR="00884AE9" w:rsidRPr="00884AE9">
        <w:rPr>
          <w:rFonts w:ascii="Times New Roman" w:eastAsia="Times New Roman" w:hAnsi="Times New Roman" w:cs="Times New Roman"/>
          <w:color w:val="000000"/>
          <w:sz w:val="24"/>
          <w:szCs w:val="24"/>
        </w:rPr>
        <w:t xml:space="preserve"> </w:t>
      </w:r>
      <w:r w:rsidR="007A5E3E">
        <w:rPr>
          <w:rFonts w:ascii="Times New Roman" w:eastAsia="Times New Roman" w:hAnsi="Times New Roman" w:cs="Times New Roman"/>
          <w:color w:val="000000"/>
          <w:sz w:val="24"/>
          <w:szCs w:val="24"/>
        </w:rPr>
        <w:t>are</w:t>
      </w:r>
      <w:r w:rsidR="00884AE9" w:rsidRPr="00884AE9">
        <w:rPr>
          <w:rFonts w:ascii="Times New Roman" w:eastAsia="Times New Roman" w:hAnsi="Times New Roman" w:cs="Times New Roman"/>
          <w:color w:val="000000"/>
          <w:sz w:val="24"/>
          <w:szCs w:val="24"/>
        </w:rPr>
        <w:t xml:space="preserve"> subject to significant degradation from erosion, corrosion, and scaling. To mitigate such effects </w:t>
      </w:r>
      <w:r w:rsidR="00884AE9" w:rsidRPr="00884AE9">
        <w:rPr>
          <w:rFonts w:ascii="Times New Roman" w:eastAsia="Times New Roman" w:hAnsi="Times New Roman" w:cs="Times New Roman"/>
          <w:color w:val="000000"/>
          <w:sz w:val="24"/>
          <w:szCs w:val="24"/>
        </w:rPr>
        <w:lastRenderedPageBreak/>
        <w:t>and prolong equipment life, Chemical Injection Valves (CIVs) are also deployed. CIVs enable the injection of specialized fluids, such as corrosion inhibitors, scale removers, and hydrate preventers from surface facilities directly into the well, thereby enhancing system resilience in harsh environments.</w:t>
      </w:r>
    </w:p>
    <w:p w14:paraId="27EEFF4F" w14:textId="61C45558" w:rsidR="00884AE9" w:rsidRPr="00884AE9" w:rsidRDefault="00884AE9" w:rsidP="00884AE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84AE9">
        <w:rPr>
          <w:rFonts w:ascii="Times New Roman" w:eastAsia="Times New Roman" w:hAnsi="Times New Roman" w:cs="Times New Roman"/>
          <w:color w:val="000000"/>
          <w:sz w:val="24"/>
          <w:szCs w:val="24"/>
        </w:rPr>
        <w:t>Given the critical role of both GLVs and CIVs in artificial lift and chemical treatment strategies, understanding their performance and reliability over the well’s lifecycle is essential. Failures in these components not only jeopardize production but also lead to costly and complex subsea interventions. As such, maintenance strategies must prioritize minimal intervention and maximum reliability.</w:t>
      </w:r>
    </w:p>
    <w:p w14:paraId="26AD00F6" w14:textId="58CE7B5A" w:rsidR="00B25F78" w:rsidRPr="00884AE9" w:rsidRDefault="00884AE9" w:rsidP="00884AE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84AE9">
        <w:rPr>
          <w:rFonts w:ascii="Times New Roman" w:eastAsia="Times New Roman" w:hAnsi="Times New Roman" w:cs="Times New Roman"/>
          <w:color w:val="000000"/>
          <w:sz w:val="24"/>
          <w:szCs w:val="24"/>
        </w:rPr>
        <w:t xml:space="preserve">To address these challenges, a collaboration between the Serviço Nacional de </w:t>
      </w:r>
      <w:proofErr w:type="spellStart"/>
      <w:r w:rsidRPr="00884AE9">
        <w:rPr>
          <w:rFonts w:ascii="Times New Roman" w:eastAsia="Times New Roman" w:hAnsi="Times New Roman" w:cs="Times New Roman"/>
          <w:color w:val="000000"/>
          <w:sz w:val="24"/>
          <w:szCs w:val="24"/>
        </w:rPr>
        <w:t>Aprendizagem</w:t>
      </w:r>
      <w:proofErr w:type="spellEnd"/>
      <w:r w:rsidRPr="00884AE9">
        <w:rPr>
          <w:rFonts w:ascii="Times New Roman" w:eastAsia="Times New Roman" w:hAnsi="Times New Roman" w:cs="Times New Roman"/>
          <w:color w:val="000000"/>
          <w:sz w:val="24"/>
          <w:szCs w:val="24"/>
        </w:rPr>
        <w:t xml:space="preserve"> Industrial (SENAI)/Centro </w:t>
      </w:r>
      <w:proofErr w:type="spellStart"/>
      <w:r w:rsidRPr="00884AE9">
        <w:rPr>
          <w:rFonts w:ascii="Times New Roman" w:eastAsia="Times New Roman" w:hAnsi="Times New Roman" w:cs="Times New Roman"/>
          <w:color w:val="000000"/>
          <w:sz w:val="24"/>
          <w:szCs w:val="24"/>
        </w:rPr>
        <w:t>Integrado</w:t>
      </w:r>
      <w:proofErr w:type="spellEnd"/>
      <w:r w:rsidRPr="00884AE9">
        <w:rPr>
          <w:rFonts w:ascii="Times New Roman" w:eastAsia="Times New Roman" w:hAnsi="Times New Roman" w:cs="Times New Roman"/>
          <w:color w:val="000000"/>
          <w:sz w:val="24"/>
          <w:szCs w:val="24"/>
        </w:rPr>
        <w:t xml:space="preserve"> de </w:t>
      </w:r>
      <w:proofErr w:type="spellStart"/>
      <w:r w:rsidRPr="00884AE9">
        <w:rPr>
          <w:rFonts w:ascii="Times New Roman" w:eastAsia="Times New Roman" w:hAnsi="Times New Roman" w:cs="Times New Roman"/>
          <w:color w:val="000000"/>
          <w:sz w:val="24"/>
          <w:szCs w:val="24"/>
        </w:rPr>
        <w:t>Manufatura</w:t>
      </w:r>
      <w:proofErr w:type="spellEnd"/>
      <w:r w:rsidRPr="00884AE9">
        <w:rPr>
          <w:rFonts w:ascii="Times New Roman" w:eastAsia="Times New Roman" w:hAnsi="Times New Roman" w:cs="Times New Roman"/>
          <w:color w:val="000000"/>
          <w:sz w:val="24"/>
          <w:szCs w:val="24"/>
        </w:rPr>
        <w:t xml:space="preserve"> e </w:t>
      </w:r>
      <w:proofErr w:type="spellStart"/>
      <w:r w:rsidRPr="00884AE9">
        <w:rPr>
          <w:rFonts w:ascii="Times New Roman" w:eastAsia="Times New Roman" w:hAnsi="Times New Roman" w:cs="Times New Roman"/>
          <w:color w:val="000000"/>
          <w:sz w:val="24"/>
          <w:szCs w:val="24"/>
        </w:rPr>
        <w:t>Tecnologia</w:t>
      </w:r>
      <w:proofErr w:type="spellEnd"/>
      <w:r w:rsidRPr="00884AE9">
        <w:rPr>
          <w:rFonts w:ascii="Times New Roman" w:eastAsia="Times New Roman" w:hAnsi="Times New Roman" w:cs="Times New Roman"/>
          <w:color w:val="000000"/>
          <w:sz w:val="24"/>
          <w:szCs w:val="24"/>
        </w:rPr>
        <w:t xml:space="preserve"> (CIMATEC) and Petróleo Brasileiro S.A. (Petrobras) has been established through the </w:t>
      </w:r>
      <w:proofErr w:type="spellStart"/>
      <w:r w:rsidRPr="00884AE9">
        <w:rPr>
          <w:rFonts w:ascii="Times New Roman" w:eastAsia="Times New Roman" w:hAnsi="Times New Roman" w:cs="Times New Roman"/>
          <w:color w:val="000000"/>
          <w:sz w:val="24"/>
          <w:szCs w:val="24"/>
        </w:rPr>
        <w:t>Laboratório</w:t>
      </w:r>
      <w:proofErr w:type="spellEnd"/>
      <w:r w:rsidRPr="00884AE9">
        <w:rPr>
          <w:rFonts w:ascii="Times New Roman" w:eastAsia="Times New Roman" w:hAnsi="Times New Roman" w:cs="Times New Roman"/>
          <w:color w:val="000000"/>
          <w:sz w:val="24"/>
          <w:szCs w:val="24"/>
        </w:rPr>
        <w:t xml:space="preserve"> de </w:t>
      </w:r>
      <w:proofErr w:type="spellStart"/>
      <w:r w:rsidRPr="00884AE9">
        <w:rPr>
          <w:rFonts w:ascii="Times New Roman" w:eastAsia="Times New Roman" w:hAnsi="Times New Roman" w:cs="Times New Roman"/>
          <w:color w:val="000000"/>
          <w:sz w:val="24"/>
          <w:szCs w:val="24"/>
        </w:rPr>
        <w:t>Desenvolvimento</w:t>
      </w:r>
      <w:proofErr w:type="spellEnd"/>
      <w:r w:rsidRPr="00884AE9">
        <w:rPr>
          <w:rFonts w:ascii="Times New Roman" w:eastAsia="Times New Roman" w:hAnsi="Times New Roman" w:cs="Times New Roman"/>
          <w:color w:val="000000"/>
          <w:sz w:val="24"/>
          <w:szCs w:val="24"/>
        </w:rPr>
        <w:t xml:space="preserve"> da </w:t>
      </w:r>
      <w:proofErr w:type="spellStart"/>
      <w:r w:rsidRPr="00884AE9">
        <w:rPr>
          <w:rFonts w:ascii="Times New Roman" w:eastAsia="Times New Roman" w:hAnsi="Times New Roman" w:cs="Times New Roman"/>
          <w:color w:val="000000"/>
          <w:sz w:val="24"/>
          <w:szCs w:val="24"/>
        </w:rPr>
        <w:t>Produção</w:t>
      </w:r>
      <w:proofErr w:type="spellEnd"/>
      <w:r w:rsidRPr="00884AE9">
        <w:rPr>
          <w:rFonts w:ascii="Times New Roman" w:eastAsia="Times New Roman" w:hAnsi="Times New Roman" w:cs="Times New Roman"/>
          <w:color w:val="000000"/>
          <w:sz w:val="24"/>
          <w:szCs w:val="24"/>
        </w:rPr>
        <w:t xml:space="preserve"> (LPD). This initiative supports the development and qualification of technologies for the O&amp;G sector, ensuring that innovation does not compromise operational safety or efficiency.</w:t>
      </w:r>
    </w:p>
    <w:p w14:paraId="4B6DBE46" w14:textId="54F28CE9" w:rsidR="00884AE9" w:rsidRPr="00884AE9" w:rsidRDefault="00884AE9" w:rsidP="00884AE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84AE9">
        <w:rPr>
          <w:rFonts w:ascii="Times New Roman" w:eastAsia="Times New Roman" w:hAnsi="Times New Roman" w:cs="Times New Roman"/>
          <w:color w:val="000000"/>
          <w:sz w:val="24"/>
          <w:szCs w:val="24"/>
        </w:rPr>
        <w:t xml:space="preserve">Among the strategic projects under the LPD is the </w:t>
      </w:r>
      <w:proofErr w:type="spellStart"/>
      <w:r w:rsidRPr="00884AE9">
        <w:rPr>
          <w:rFonts w:ascii="Times New Roman" w:eastAsia="Times New Roman" w:hAnsi="Times New Roman" w:cs="Times New Roman"/>
          <w:color w:val="000000"/>
          <w:sz w:val="24"/>
          <w:szCs w:val="24"/>
        </w:rPr>
        <w:t>Unidade</w:t>
      </w:r>
      <w:proofErr w:type="spellEnd"/>
      <w:r w:rsidRPr="00884AE9">
        <w:rPr>
          <w:rFonts w:ascii="Times New Roman" w:eastAsia="Times New Roman" w:hAnsi="Times New Roman" w:cs="Times New Roman"/>
          <w:color w:val="000000"/>
          <w:sz w:val="24"/>
          <w:szCs w:val="24"/>
        </w:rPr>
        <w:t xml:space="preserve"> de Teste de </w:t>
      </w:r>
      <w:proofErr w:type="spellStart"/>
      <w:r w:rsidRPr="00884AE9">
        <w:rPr>
          <w:rFonts w:ascii="Times New Roman" w:eastAsia="Times New Roman" w:hAnsi="Times New Roman" w:cs="Times New Roman"/>
          <w:color w:val="000000"/>
          <w:sz w:val="24"/>
          <w:szCs w:val="24"/>
        </w:rPr>
        <w:t>Elevação</w:t>
      </w:r>
      <w:proofErr w:type="spellEnd"/>
      <w:r w:rsidRPr="00884AE9">
        <w:rPr>
          <w:rFonts w:ascii="Times New Roman" w:eastAsia="Times New Roman" w:hAnsi="Times New Roman" w:cs="Times New Roman"/>
          <w:color w:val="000000"/>
          <w:sz w:val="24"/>
          <w:szCs w:val="24"/>
        </w:rPr>
        <w:t xml:space="preserve"> e </w:t>
      </w:r>
      <w:proofErr w:type="spellStart"/>
      <w:r w:rsidRPr="00884AE9">
        <w:rPr>
          <w:rFonts w:ascii="Times New Roman" w:eastAsia="Times New Roman" w:hAnsi="Times New Roman" w:cs="Times New Roman"/>
          <w:color w:val="000000"/>
          <w:sz w:val="24"/>
          <w:szCs w:val="24"/>
        </w:rPr>
        <w:t>Escoamento</w:t>
      </w:r>
      <w:proofErr w:type="spellEnd"/>
      <w:r w:rsidRPr="00884AE9">
        <w:rPr>
          <w:rFonts w:ascii="Times New Roman" w:eastAsia="Times New Roman" w:hAnsi="Times New Roman" w:cs="Times New Roman"/>
          <w:color w:val="000000"/>
          <w:sz w:val="24"/>
          <w:szCs w:val="24"/>
        </w:rPr>
        <w:t xml:space="preserve"> (UTEE), a suite of test units designed to emulate real pre-salt field conditions. These test units enable evaluations of tightness, mechanical resistance, erosion, and functional performance for both GLVs and CIVs. </w:t>
      </w:r>
      <w:r w:rsidR="002C4424">
        <w:rPr>
          <w:rFonts w:ascii="Times New Roman" w:eastAsia="Times New Roman" w:hAnsi="Times New Roman" w:cs="Times New Roman"/>
          <w:color w:val="000000"/>
          <w:sz w:val="24"/>
          <w:szCs w:val="24"/>
        </w:rPr>
        <w:t>Where t</w:t>
      </w:r>
      <w:r w:rsidR="006E4C58">
        <w:rPr>
          <w:rFonts w:ascii="Times New Roman" w:eastAsia="Times New Roman" w:hAnsi="Times New Roman" w:cs="Times New Roman"/>
          <w:color w:val="000000"/>
          <w:sz w:val="24"/>
          <w:szCs w:val="24"/>
        </w:rPr>
        <w:t>here are two</w:t>
      </w:r>
      <w:r w:rsidR="002C4424">
        <w:rPr>
          <w:rFonts w:ascii="Times New Roman" w:eastAsia="Times New Roman" w:hAnsi="Times New Roman" w:cs="Times New Roman"/>
          <w:color w:val="000000"/>
          <w:sz w:val="24"/>
          <w:szCs w:val="24"/>
        </w:rPr>
        <w:t xml:space="preserve"> </w:t>
      </w:r>
      <w:r w:rsidR="002C4424">
        <w:rPr>
          <w:rFonts w:ascii="Times New Roman" w:eastAsia="Times New Roman" w:hAnsi="Times New Roman" w:cs="Times New Roman"/>
          <w:color w:val="000000"/>
          <w:sz w:val="24"/>
          <w:szCs w:val="24"/>
        </w:rPr>
        <w:t>main</w:t>
      </w:r>
      <w:r w:rsidR="006E4C58">
        <w:rPr>
          <w:rFonts w:ascii="Times New Roman" w:eastAsia="Times New Roman" w:hAnsi="Times New Roman" w:cs="Times New Roman"/>
          <w:color w:val="000000"/>
          <w:sz w:val="24"/>
          <w:szCs w:val="24"/>
        </w:rPr>
        <w:t xml:space="preserve"> </w:t>
      </w:r>
      <w:r w:rsidR="002C4424">
        <w:rPr>
          <w:rFonts w:ascii="Times New Roman" w:eastAsia="Times New Roman" w:hAnsi="Times New Roman" w:cs="Times New Roman"/>
          <w:color w:val="000000"/>
          <w:sz w:val="24"/>
          <w:szCs w:val="24"/>
        </w:rPr>
        <w:t>goals</w:t>
      </w:r>
      <w:r w:rsidRPr="00884AE9">
        <w:rPr>
          <w:rFonts w:ascii="Times New Roman" w:eastAsia="Times New Roman" w:hAnsi="Times New Roman" w:cs="Times New Roman"/>
          <w:color w:val="000000"/>
          <w:sz w:val="24"/>
          <w:szCs w:val="24"/>
        </w:rPr>
        <w:t>: (</w:t>
      </w:r>
      <w:proofErr w:type="spellStart"/>
      <w:r w:rsidRPr="00884AE9">
        <w:rPr>
          <w:rFonts w:ascii="Times New Roman" w:eastAsia="Times New Roman" w:hAnsi="Times New Roman" w:cs="Times New Roman"/>
          <w:color w:val="000000"/>
          <w:sz w:val="24"/>
          <w:szCs w:val="24"/>
        </w:rPr>
        <w:t>i</w:t>
      </w:r>
      <w:proofErr w:type="spellEnd"/>
      <w:r w:rsidRPr="00884AE9">
        <w:rPr>
          <w:rFonts w:ascii="Times New Roman" w:eastAsia="Times New Roman" w:hAnsi="Times New Roman" w:cs="Times New Roman"/>
          <w:color w:val="000000"/>
          <w:sz w:val="24"/>
          <w:szCs w:val="24"/>
        </w:rPr>
        <w:t>) assess whether these components meet design and operational specifications; (ii)</w:t>
      </w:r>
      <w:r w:rsidR="00D31452">
        <w:rPr>
          <w:rFonts w:ascii="Times New Roman" w:eastAsia="Times New Roman" w:hAnsi="Times New Roman" w:cs="Times New Roman"/>
          <w:color w:val="000000"/>
          <w:sz w:val="24"/>
          <w:szCs w:val="24"/>
        </w:rPr>
        <w:t xml:space="preserve"> </w:t>
      </w:r>
      <w:r w:rsidRPr="00884AE9">
        <w:rPr>
          <w:rFonts w:ascii="Times New Roman" w:eastAsia="Times New Roman" w:hAnsi="Times New Roman" w:cs="Times New Roman"/>
          <w:color w:val="000000"/>
          <w:sz w:val="24"/>
          <w:szCs w:val="24"/>
        </w:rPr>
        <w:t xml:space="preserve">establish probabilistic methodologies, combining empirical data, phenomenological modeling to estimate their reliability under representative field conditions. </w:t>
      </w:r>
    </w:p>
    <w:p w14:paraId="6811BE14" w14:textId="5530B9E8" w:rsidR="00884AE9" w:rsidRPr="00884AE9" w:rsidRDefault="00884AE9" w:rsidP="00884AE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84AE9">
        <w:rPr>
          <w:rFonts w:ascii="Times New Roman" w:eastAsia="Times New Roman" w:hAnsi="Times New Roman" w:cs="Times New Roman"/>
          <w:color w:val="000000"/>
          <w:sz w:val="24"/>
          <w:szCs w:val="24"/>
        </w:rPr>
        <w:t xml:space="preserve">In addition to valve reliability, this </w:t>
      </w:r>
      <w:r w:rsidR="0012164B">
        <w:rPr>
          <w:rFonts w:ascii="Times New Roman" w:eastAsia="Times New Roman" w:hAnsi="Times New Roman" w:cs="Times New Roman"/>
          <w:color w:val="000000"/>
          <w:sz w:val="24"/>
          <w:szCs w:val="24"/>
        </w:rPr>
        <w:t>project</w:t>
      </w:r>
      <w:r w:rsidRPr="00884AE9">
        <w:rPr>
          <w:rFonts w:ascii="Times New Roman" w:eastAsia="Times New Roman" w:hAnsi="Times New Roman" w:cs="Times New Roman"/>
          <w:color w:val="000000"/>
          <w:sz w:val="24"/>
          <w:szCs w:val="24"/>
        </w:rPr>
        <w:t xml:space="preserve"> also focuses on the reliability of the test systems themselves, ensuring that the test units operate with a level of robustness consistent with their intended use.</w:t>
      </w:r>
    </w:p>
    <w:p w14:paraId="704792BB" w14:textId="18F2CCD9" w:rsidR="00AC5AEC" w:rsidRDefault="00884AE9" w:rsidP="00AC5A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84AE9">
        <w:rPr>
          <w:rFonts w:ascii="Times New Roman" w:eastAsia="Times New Roman" w:hAnsi="Times New Roman" w:cs="Times New Roman"/>
          <w:color w:val="000000"/>
          <w:sz w:val="24"/>
          <w:szCs w:val="24"/>
        </w:rPr>
        <w:t>This paper does not aim to present empirical reliability results. Instead, it outlines the conceptual and methodological framework that will support future analyses of the performance and reliability of GLVs, CIVs, and the associated test systems. The focus is on defining the structure of the reliability study, including its failure modeling strategies, and data sources.</w:t>
      </w:r>
      <w:r w:rsidR="00CC36EA">
        <w:rPr>
          <w:rFonts w:ascii="Times New Roman" w:eastAsia="Times New Roman" w:hAnsi="Times New Roman" w:cs="Times New Roman"/>
          <w:color w:val="000000"/>
          <w:sz w:val="24"/>
          <w:szCs w:val="24"/>
        </w:rPr>
        <w:t xml:space="preserve"> </w:t>
      </w:r>
      <w:r w:rsidR="0091488E" w:rsidRPr="00CA28D1">
        <w:rPr>
          <w:rFonts w:ascii="Times New Roman" w:eastAsia="Times New Roman" w:hAnsi="Times New Roman" w:cs="Times New Roman"/>
          <w:color w:val="000000"/>
          <w:sz w:val="24"/>
          <w:szCs w:val="24"/>
        </w:rPr>
        <w:t>The structure of this work is organized as follows:</w:t>
      </w:r>
      <w:r w:rsidR="0091488E">
        <w:rPr>
          <w:rFonts w:ascii="Times New Roman" w:eastAsia="Times New Roman" w:hAnsi="Times New Roman" w:cs="Times New Roman"/>
          <w:color w:val="000000"/>
          <w:sz w:val="24"/>
          <w:szCs w:val="24"/>
        </w:rPr>
        <w:t xml:space="preserve"> Section 2 </w:t>
      </w:r>
      <w:r w:rsidR="00E5310B">
        <w:rPr>
          <w:rFonts w:ascii="Times New Roman" w:eastAsia="Times New Roman" w:hAnsi="Times New Roman" w:cs="Times New Roman"/>
          <w:color w:val="000000"/>
          <w:sz w:val="24"/>
          <w:szCs w:val="24"/>
        </w:rPr>
        <w:t>describes</w:t>
      </w:r>
      <w:r w:rsidR="0091488E">
        <w:rPr>
          <w:rFonts w:ascii="Times New Roman" w:eastAsia="Times New Roman" w:hAnsi="Times New Roman" w:cs="Times New Roman"/>
          <w:color w:val="000000"/>
          <w:sz w:val="24"/>
          <w:szCs w:val="24"/>
        </w:rPr>
        <w:t xml:space="preserve"> the general concepts of reliability</w:t>
      </w:r>
      <w:r w:rsidR="005704A9">
        <w:rPr>
          <w:rFonts w:ascii="Times New Roman" w:eastAsia="Times New Roman" w:hAnsi="Times New Roman" w:cs="Times New Roman"/>
          <w:color w:val="000000"/>
          <w:sz w:val="24"/>
          <w:szCs w:val="24"/>
        </w:rPr>
        <w:t>; Section 3</w:t>
      </w:r>
      <w:r w:rsidR="00FA6D34">
        <w:rPr>
          <w:rFonts w:ascii="Times New Roman" w:eastAsia="Times New Roman" w:hAnsi="Times New Roman" w:cs="Times New Roman"/>
          <w:color w:val="000000"/>
          <w:sz w:val="24"/>
          <w:szCs w:val="24"/>
        </w:rPr>
        <w:t xml:space="preserve"> describes the </w:t>
      </w:r>
      <w:r w:rsidR="00BB0385">
        <w:rPr>
          <w:rFonts w:ascii="Times New Roman" w:eastAsia="Times New Roman" w:hAnsi="Times New Roman" w:cs="Times New Roman"/>
          <w:color w:val="000000"/>
          <w:sz w:val="24"/>
          <w:szCs w:val="24"/>
        </w:rPr>
        <w:t xml:space="preserve">basic function of GLVs and CIVs and their associated </w:t>
      </w:r>
      <w:r w:rsidR="00A165FF">
        <w:rPr>
          <w:rFonts w:ascii="Times New Roman" w:eastAsia="Times New Roman" w:hAnsi="Times New Roman" w:cs="Times New Roman"/>
          <w:color w:val="000000"/>
          <w:sz w:val="24"/>
          <w:szCs w:val="24"/>
        </w:rPr>
        <w:t xml:space="preserve">fail modes; Section 4 describes the reliability of systems such as the ones that will be used to test </w:t>
      </w:r>
      <w:r w:rsidR="00197918">
        <w:rPr>
          <w:rFonts w:ascii="Times New Roman" w:eastAsia="Times New Roman" w:hAnsi="Times New Roman" w:cs="Times New Roman"/>
          <w:color w:val="000000"/>
          <w:sz w:val="24"/>
          <w:szCs w:val="24"/>
        </w:rPr>
        <w:t xml:space="preserve">GLVs and CIVs </w:t>
      </w:r>
      <w:r w:rsidR="00C371CB">
        <w:rPr>
          <w:rFonts w:ascii="Times New Roman" w:eastAsia="Times New Roman" w:hAnsi="Times New Roman" w:cs="Times New Roman"/>
          <w:color w:val="000000"/>
          <w:sz w:val="24"/>
          <w:szCs w:val="24"/>
        </w:rPr>
        <w:t xml:space="preserve">and </w:t>
      </w:r>
      <w:r w:rsidR="00197918">
        <w:rPr>
          <w:rFonts w:ascii="Times New Roman" w:eastAsia="Times New Roman" w:hAnsi="Times New Roman" w:cs="Times New Roman"/>
          <w:color w:val="000000"/>
          <w:sz w:val="24"/>
          <w:szCs w:val="24"/>
        </w:rPr>
        <w:t>the data that is used</w:t>
      </w:r>
      <w:r w:rsidR="00C371CB">
        <w:rPr>
          <w:rFonts w:ascii="Times New Roman" w:eastAsia="Times New Roman" w:hAnsi="Times New Roman" w:cs="Times New Roman"/>
          <w:color w:val="000000"/>
          <w:sz w:val="24"/>
          <w:szCs w:val="24"/>
        </w:rPr>
        <w:t xml:space="preserve"> in the estimation</w:t>
      </w:r>
      <w:r w:rsidR="00197918">
        <w:rPr>
          <w:rFonts w:ascii="Times New Roman" w:eastAsia="Times New Roman" w:hAnsi="Times New Roman" w:cs="Times New Roman"/>
          <w:color w:val="000000"/>
          <w:sz w:val="24"/>
          <w:szCs w:val="24"/>
        </w:rPr>
        <w:t xml:space="preserve">; Section 5 </w:t>
      </w:r>
      <w:r w:rsidR="00CB6EB9">
        <w:rPr>
          <w:rFonts w:ascii="Times New Roman" w:eastAsia="Times New Roman" w:hAnsi="Times New Roman" w:cs="Times New Roman"/>
          <w:color w:val="000000"/>
          <w:sz w:val="24"/>
          <w:szCs w:val="24"/>
        </w:rPr>
        <w:t>concludes</w:t>
      </w:r>
      <w:r w:rsidR="007D5CA8">
        <w:rPr>
          <w:rFonts w:ascii="Times New Roman" w:eastAsia="Times New Roman" w:hAnsi="Times New Roman" w:cs="Times New Roman"/>
          <w:color w:val="000000"/>
          <w:sz w:val="24"/>
          <w:szCs w:val="24"/>
        </w:rPr>
        <w:t xml:space="preserve"> </w:t>
      </w:r>
      <w:r w:rsidR="00CB6EB9" w:rsidRPr="00CA28D1">
        <w:rPr>
          <w:rFonts w:ascii="Times New Roman" w:eastAsia="Times New Roman" w:hAnsi="Times New Roman" w:cs="Times New Roman"/>
          <w:color w:val="000000"/>
          <w:sz w:val="24"/>
          <w:szCs w:val="24"/>
        </w:rPr>
        <w:t>with a discussion on implications and limitations of the current study</w:t>
      </w:r>
      <w:r w:rsidR="00054E59">
        <w:rPr>
          <w:rFonts w:ascii="Times New Roman" w:eastAsia="Times New Roman" w:hAnsi="Times New Roman" w:cs="Times New Roman"/>
          <w:color w:val="000000"/>
          <w:sz w:val="24"/>
          <w:szCs w:val="24"/>
        </w:rPr>
        <w:t>.</w:t>
      </w:r>
    </w:p>
    <w:p w14:paraId="46102FB7" w14:textId="77777777" w:rsidR="002456B7" w:rsidRDefault="002456B7" w:rsidP="00AC5AEC">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4D5165C" w14:textId="7F72BFEB" w:rsidR="00AC5AEC" w:rsidRDefault="00AC5AEC" w:rsidP="00AC5AEC">
      <w:pPr>
        <w:pBdr>
          <w:top w:val="nil"/>
          <w:left w:val="nil"/>
          <w:bottom w:val="nil"/>
          <w:right w:val="nil"/>
          <w:between w:val="nil"/>
        </w:pBdr>
        <w:spacing w:before="220" w:after="10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2.Reliability</w:t>
      </w:r>
    </w:p>
    <w:p w14:paraId="2A2F9939" w14:textId="4CFF0EF4" w:rsidR="00CA4752" w:rsidRPr="00CA4752" w:rsidRDefault="00CA4752" w:rsidP="00CA475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A4752">
        <w:rPr>
          <w:rFonts w:ascii="Times New Roman" w:eastAsia="Times New Roman" w:hAnsi="Times New Roman" w:cs="Times New Roman"/>
          <w:color w:val="000000"/>
          <w:sz w:val="24"/>
          <w:szCs w:val="24"/>
        </w:rPr>
        <w:t>Traditional engineering design often assumes that systems are fully functional, safe, and failure-</w:t>
      </w:r>
      <w:r w:rsidRPr="00CA4752">
        <w:rPr>
          <w:rFonts w:ascii="Times New Roman" w:eastAsia="Times New Roman" w:hAnsi="Times New Roman" w:cs="Times New Roman"/>
          <w:color w:val="000000"/>
          <w:sz w:val="24"/>
          <w:szCs w:val="24"/>
        </w:rPr>
        <w:lastRenderedPageBreak/>
        <w:t xml:space="preserve">free. However, this deterministic vision is idealized and frequently impractical, both technically and economically. Major industrial accidents have demonstrated the limitations of this approach. In 2010, the Deepwater Horizon platform suffered a catastrophic blowout during drilling operations at the Macondo well in the Gulf of Mexico. The failure of the Blowout Preventer (BOP) a critical safety device was identified as one of the primary causes, leading to 11 fatalities and severe environmental consequences </w:t>
      </w:r>
      <w:r w:rsidR="001A2896">
        <w:rPr>
          <w:rFonts w:ascii="Times New Roman" w:eastAsia="Times New Roman" w:hAnsi="Times New Roman" w:cs="Times New Roman"/>
          <w:color w:val="000000"/>
          <w:sz w:val="24"/>
          <w:szCs w:val="24"/>
        </w:rPr>
        <w:fldChar w:fldCharType="begin"/>
      </w:r>
      <w:r w:rsidR="001A2896">
        <w:rPr>
          <w:rFonts w:ascii="Times New Roman" w:eastAsia="Times New Roman" w:hAnsi="Times New Roman" w:cs="Times New Roman"/>
          <w:color w:val="000000"/>
          <w:sz w:val="24"/>
          <w:szCs w:val="24"/>
        </w:rPr>
        <w:instrText xml:space="preserve"> ADDIN ZOTERO_ITEM CSL_CITATION {"citationID":"bxq2VPyg","properties":{"formattedCitation":"(3)","plainCitation":"(3)","noteIndex":0},"citationItems":[{"id":73,"uris":["http://zotero.org/users/16825670/items/BVE6KMJV"],"itemData":{"id":73,"type":"report","publisher":"CSB","title":"Macondo Investigation Report","author":[{"family":"US Chemical Safety","given":""},{"family":"Hazard Investigation Board","given":""}],"issued":{"date-parts":[["2016"]]}}}],"schema":"https://github.com/citation-style-language/schema/raw/master/csl-citation.json"} </w:instrText>
      </w:r>
      <w:r w:rsidR="001A2896">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1A2896" w:rsidRPr="001A2896">
        <w:rPr>
          <w:rFonts w:ascii="Times New Roman" w:hAnsi="Times New Roman" w:cs="Times New Roman"/>
          <w:sz w:val="24"/>
        </w:rPr>
        <w:t>3</w:t>
      </w:r>
      <w:r w:rsidR="00622594">
        <w:rPr>
          <w:rFonts w:ascii="Times New Roman" w:hAnsi="Times New Roman" w:cs="Times New Roman"/>
          <w:sz w:val="24"/>
        </w:rPr>
        <w:t>]</w:t>
      </w:r>
      <w:r w:rsidR="001A2896">
        <w:rPr>
          <w:rFonts w:ascii="Times New Roman" w:eastAsia="Times New Roman" w:hAnsi="Times New Roman" w:cs="Times New Roman"/>
          <w:color w:val="000000"/>
          <w:sz w:val="24"/>
          <w:szCs w:val="24"/>
        </w:rPr>
        <w:fldChar w:fldCharType="end"/>
      </w:r>
      <w:r w:rsidRPr="00CA4752">
        <w:rPr>
          <w:rFonts w:ascii="Times New Roman" w:eastAsia="Times New Roman" w:hAnsi="Times New Roman" w:cs="Times New Roman"/>
          <w:color w:val="000000"/>
          <w:sz w:val="24"/>
          <w:szCs w:val="24"/>
        </w:rPr>
        <w:t>.</w:t>
      </w:r>
    </w:p>
    <w:p w14:paraId="04D1D28D" w14:textId="11EB9251" w:rsidR="00CA4752" w:rsidRPr="00CA4752" w:rsidRDefault="00CA4752" w:rsidP="00CA475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A4752">
        <w:rPr>
          <w:rFonts w:ascii="Times New Roman" w:eastAsia="Times New Roman" w:hAnsi="Times New Roman" w:cs="Times New Roman"/>
          <w:color w:val="000000"/>
          <w:sz w:val="24"/>
          <w:szCs w:val="24"/>
        </w:rPr>
        <w:t>Such events underscore the importance of integrating reliability principles into the design and assessment of equipment and systems. Reliability is defined across the literature as the probability that an item performs its intended function, under specified conditions, for a designated</w:t>
      </w:r>
      <w:r w:rsidR="00860CD5">
        <w:rPr>
          <w:rFonts w:ascii="Times New Roman" w:eastAsia="Times New Roman" w:hAnsi="Times New Roman" w:cs="Times New Roman"/>
          <w:color w:val="000000"/>
          <w:sz w:val="24"/>
          <w:szCs w:val="24"/>
        </w:rPr>
        <w:t xml:space="preserve"> </w:t>
      </w:r>
      <w:r w:rsidRPr="00CA4752">
        <w:rPr>
          <w:rFonts w:ascii="Times New Roman" w:eastAsia="Times New Roman" w:hAnsi="Times New Roman" w:cs="Times New Roman"/>
          <w:color w:val="000000"/>
          <w:sz w:val="24"/>
          <w:szCs w:val="24"/>
        </w:rPr>
        <w:t>period of time</w:t>
      </w:r>
      <w:r w:rsidR="00EA6BD5">
        <w:rPr>
          <w:rFonts w:ascii="Times New Roman" w:eastAsia="Times New Roman" w:hAnsi="Times New Roman" w:cs="Times New Roman"/>
          <w:color w:val="000000"/>
          <w:sz w:val="24"/>
          <w:szCs w:val="24"/>
        </w:rPr>
        <w:t xml:space="preserve"> </w:t>
      </w:r>
      <w:r w:rsidR="00EA6BD5">
        <w:rPr>
          <w:rFonts w:ascii="Times New Roman" w:eastAsia="Times New Roman" w:hAnsi="Times New Roman" w:cs="Times New Roman"/>
          <w:color w:val="000000"/>
          <w:sz w:val="24"/>
          <w:szCs w:val="24"/>
        </w:rPr>
        <w:fldChar w:fldCharType="begin"/>
      </w:r>
      <w:r w:rsidR="00EA6BD5">
        <w:rPr>
          <w:rFonts w:ascii="Times New Roman" w:eastAsia="Times New Roman" w:hAnsi="Times New Roman" w:cs="Times New Roman"/>
          <w:color w:val="000000"/>
          <w:sz w:val="24"/>
          <w:szCs w:val="24"/>
        </w:rPr>
        <w:instrText xml:space="preserve"> ADDIN ZOTERO_ITEM CSL_CITATION {"citationID":"Fe5uvWCI","properties":{"formattedCitation":"(4)","plainCitation":"(4)","noteIndex":0},"citationItems":[{"id":69,"uris":["http://zotero.org/users/16825670/items/T7D6EN6Y"],"itemData":{"id":69,"type":"book","edition":"Third edition","event-place":"Boca Raton, FL","ISBN":"978-1-4987-4587-1","language":"eng","number-of-pages":"1","publisher":"CRC Press","publisher-place":"Boca Raton, FL","source":"K10plus ISBN","title":"Reliability engineering and risk analysis: a practical guide","title-short":"Reliability engineering and risk analysis","author":[{"family":"Modarres","given":"Mohammad"},{"family":"Kaminskiy","given":"Mark"},{"family":"Krivtsov","given":"Vasiliy"}],"issued":{"date-parts":[["2017"]]}}}],"schema":"https://github.com/citation-style-language/schema/raw/master/csl-citation.json"} </w:instrText>
      </w:r>
      <w:r w:rsidR="00EA6BD5">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EA6BD5" w:rsidRPr="00EA6BD5">
        <w:rPr>
          <w:rFonts w:ascii="Times New Roman" w:hAnsi="Times New Roman" w:cs="Times New Roman"/>
          <w:sz w:val="24"/>
        </w:rPr>
        <w:t>4</w:t>
      </w:r>
      <w:r w:rsidR="00622594">
        <w:rPr>
          <w:rFonts w:ascii="Times New Roman" w:hAnsi="Times New Roman" w:cs="Times New Roman"/>
          <w:sz w:val="24"/>
        </w:rPr>
        <w:t>]</w:t>
      </w:r>
      <w:r w:rsidR="00EA6BD5">
        <w:rPr>
          <w:rFonts w:ascii="Times New Roman" w:eastAsia="Times New Roman" w:hAnsi="Times New Roman" w:cs="Times New Roman"/>
          <w:color w:val="000000"/>
          <w:sz w:val="24"/>
          <w:szCs w:val="24"/>
        </w:rPr>
        <w:fldChar w:fldCharType="end"/>
      </w:r>
      <w:r w:rsidRPr="00CA4752">
        <w:rPr>
          <w:rFonts w:ascii="Times New Roman" w:eastAsia="Times New Roman" w:hAnsi="Times New Roman" w:cs="Times New Roman"/>
          <w:color w:val="000000"/>
          <w:sz w:val="24"/>
          <w:szCs w:val="24"/>
        </w:rPr>
        <w:t xml:space="preserve">. This applies not only to physical components but also to human actions </w:t>
      </w:r>
      <w:r w:rsidR="00EA6BD5">
        <w:rPr>
          <w:rFonts w:ascii="Times New Roman" w:eastAsia="Times New Roman" w:hAnsi="Times New Roman" w:cs="Times New Roman"/>
          <w:color w:val="000000"/>
          <w:sz w:val="24"/>
          <w:szCs w:val="24"/>
        </w:rPr>
        <w:fldChar w:fldCharType="begin"/>
      </w:r>
      <w:r w:rsidR="00EA6BD5">
        <w:rPr>
          <w:rFonts w:ascii="Times New Roman" w:eastAsia="Times New Roman" w:hAnsi="Times New Roman" w:cs="Times New Roman"/>
          <w:color w:val="000000"/>
          <w:sz w:val="24"/>
          <w:szCs w:val="24"/>
        </w:rPr>
        <w:instrText xml:space="preserve"> ADDIN ZOTERO_ITEM CSL_CITATION {"citationID":"uPKNYYUg","properties":{"formattedCitation":"(5)","plainCitation":"(5)","noteIndex":0},"citationItems":[{"id":72,"uris":["http://zotero.org/users/16825670/items/QY9R4YPZ"],"itemData":{"id":72,"type":"book","title":"A Guide To Practical Human Reliability Assessment","author":[{"family":"Kirwan","given":"Barry"}],"issued":{"date-parts":[["2017"]]}}}],"schema":"https://github.com/citation-style-language/schema/raw/master/csl-citation.json"} </w:instrText>
      </w:r>
      <w:r w:rsidR="00EA6BD5">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EA6BD5" w:rsidRPr="00EA6BD5">
        <w:rPr>
          <w:rFonts w:ascii="Times New Roman" w:hAnsi="Times New Roman" w:cs="Times New Roman"/>
          <w:sz w:val="24"/>
        </w:rPr>
        <w:t>5</w:t>
      </w:r>
      <w:r w:rsidR="00622594">
        <w:rPr>
          <w:rFonts w:ascii="Times New Roman" w:hAnsi="Times New Roman" w:cs="Times New Roman"/>
          <w:sz w:val="24"/>
        </w:rPr>
        <w:t>]</w:t>
      </w:r>
      <w:r w:rsidR="00EA6BD5">
        <w:rPr>
          <w:rFonts w:ascii="Times New Roman" w:eastAsia="Times New Roman" w:hAnsi="Times New Roman" w:cs="Times New Roman"/>
          <w:color w:val="000000"/>
          <w:sz w:val="24"/>
          <w:szCs w:val="24"/>
        </w:rPr>
        <w:fldChar w:fldCharType="end"/>
      </w:r>
      <w:r w:rsidRPr="00CA4752">
        <w:rPr>
          <w:rFonts w:ascii="Times New Roman" w:eastAsia="Times New Roman" w:hAnsi="Times New Roman" w:cs="Times New Roman"/>
          <w:color w:val="000000"/>
          <w:sz w:val="24"/>
          <w:szCs w:val="24"/>
        </w:rPr>
        <w:t>. The analysis of reliability begins with understanding what constitutes a failure.</w:t>
      </w:r>
    </w:p>
    <w:p w14:paraId="58FC9E5B" w14:textId="2B91FC93" w:rsidR="00CA4752" w:rsidRDefault="00CA4752" w:rsidP="00CA475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A4752">
        <w:rPr>
          <w:rFonts w:ascii="Times New Roman" w:eastAsia="Times New Roman" w:hAnsi="Times New Roman" w:cs="Times New Roman"/>
          <w:color w:val="000000"/>
          <w:sz w:val="24"/>
          <w:szCs w:val="24"/>
        </w:rPr>
        <w:t xml:space="preserve">According to </w:t>
      </w:r>
      <w:r w:rsidR="00E66A0F">
        <w:rPr>
          <w:rFonts w:ascii="Times New Roman" w:eastAsia="Times New Roman" w:hAnsi="Times New Roman" w:cs="Times New Roman"/>
          <w:color w:val="000000"/>
          <w:sz w:val="24"/>
          <w:szCs w:val="24"/>
        </w:rPr>
        <w:fldChar w:fldCharType="begin"/>
      </w:r>
      <w:r w:rsidR="00E66A0F">
        <w:rPr>
          <w:rFonts w:ascii="Times New Roman" w:eastAsia="Times New Roman" w:hAnsi="Times New Roman" w:cs="Times New Roman"/>
          <w:color w:val="000000"/>
          <w:sz w:val="24"/>
          <w:szCs w:val="24"/>
        </w:rPr>
        <w:instrText xml:space="preserve"> ADDIN ZOTERO_ITEM CSL_CITATION {"citationID":"mk81drix","properties":{"formattedCitation":"(6)","plainCitation":"(6)","noteIndex":0},"citationItems":[{"id":12,"uris":["http://zotero.org/users/16825670/items/A7EKHMW6"],"itemData":{"id":12,"type":"book","ISBN":"978-85-07-03042-3","language":"pt-BR","publisher":"Abnt","source":"Câmara Brasileira do Livro ISBN","title":"Indústrias de Petróleo e Gás Natural - Coleta e intercâmbio de dados de confiabilidade e manutenção para equipamentos","author":[{"literal":"ABNT"}],"issued":{"date-parts":[["2011",8,15]]}}}],"schema":"https://github.com/citation-style-language/schema/raw/master/csl-citation.json"} </w:instrText>
      </w:r>
      <w:r w:rsidR="00E66A0F">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E66A0F" w:rsidRPr="00E66A0F">
        <w:rPr>
          <w:rFonts w:ascii="Times New Roman" w:hAnsi="Times New Roman" w:cs="Times New Roman"/>
          <w:sz w:val="24"/>
        </w:rPr>
        <w:t>6</w:t>
      </w:r>
      <w:r w:rsidR="00622594">
        <w:rPr>
          <w:rFonts w:ascii="Times New Roman" w:hAnsi="Times New Roman" w:cs="Times New Roman"/>
          <w:sz w:val="24"/>
        </w:rPr>
        <w:t>]</w:t>
      </w:r>
      <w:r w:rsidR="00E66A0F">
        <w:rPr>
          <w:rFonts w:ascii="Times New Roman" w:eastAsia="Times New Roman" w:hAnsi="Times New Roman" w:cs="Times New Roman"/>
          <w:color w:val="000000"/>
          <w:sz w:val="24"/>
          <w:szCs w:val="24"/>
        </w:rPr>
        <w:fldChar w:fldCharType="end"/>
      </w:r>
      <w:r w:rsidRPr="00CA4752">
        <w:rPr>
          <w:rFonts w:ascii="Times New Roman" w:eastAsia="Times New Roman" w:hAnsi="Times New Roman" w:cs="Times New Roman"/>
          <w:color w:val="000000"/>
          <w:sz w:val="24"/>
          <w:szCs w:val="24"/>
        </w:rPr>
        <w:t>, a failure is the termination of the ability of an item to perform a required function. It differs from the broader concept of a fault, which also includes delayed or degraded performance. Understanding this distinction is crucial when evaluating the safety-critical performance of industrial assets.</w:t>
      </w:r>
    </w:p>
    <w:p w14:paraId="306C2A01" w14:textId="77777777" w:rsidR="008E1C01" w:rsidRPr="00CA4752" w:rsidRDefault="008E1C01" w:rsidP="00CA475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0A362A0" w14:textId="4F51BD07" w:rsidR="00E9701F" w:rsidRDefault="00CA4752" w:rsidP="004019D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A4752">
        <w:rPr>
          <w:rFonts w:ascii="Times New Roman" w:eastAsia="Times New Roman" w:hAnsi="Times New Roman" w:cs="Times New Roman"/>
          <w:color w:val="000000"/>
          <w:sz w:val="24"/>
          <w:szCs w:val="24"/>
        </w:rPr>
        <w:t xml:space="preserve">Items transition through various states (e.g., operational, degraded, fault), and these transitions can be triggered by physical deterioration, control logic, or from external </w:t>
      </w:r>
      <w:r w:rsidRPr="00CA4752">
        <w:rPr>
          <w:rFonts w:ascii="Times New Roman" w:eastAsia="Times New Roman" w:hAnsi="Times New Roman" w:cs="Times New Roman"/>
          <w:color w:val="000000"/>
          <w:sz w:val="24"/>
          <w:szCs w:val="24"/>
        </w:rPr>
        <w:t>sources. Figure</w:t>
      </w:r>
      <w:r w:rsidR="00E66A0F">
        <w:rPr>
          <w:rFonts w:ascii="Times New Roman" w:eastAsia="Times New Roman" w:hAnsi="Times New Roman" w:cs="Times New Roman"/>
          <w:color w:val="000000"/>
          <w:sz w:val="24"/>
          <w:szCs w:val="24"/>
        </w:rPr>
        <w:t xml:space="preserve"> 1</w:t>
      </w:r>
      <w:r w:rsidRPr="00CA4752">
        <w:rPr>
          <w:rFonts w:ascii="Times New Roman" w:eastAsia="Times New Roman" w:hAnsi="Times New Roman" w:cs="Times New Roman"/>
          <w:color w:val="000000"/>
          <w:sz w:val="24"/>
          <w:szCs w:val="24"/>
        </w:rPr>
        <w:t xml:space="preserve"> illustrates the distinction between a failure event and the subsequent failed state in a performance-degrading component. When performance drops below a predefined threshold, such as due to corrosion, </w:t>
      </w:r>
      <w:proofErr w:type="gramStart"/>
      <w:r w:rsidRPr="00CA4752">
        <w:rPr>
          <w:rFonts w:ascii="Times New Roman" w:eastAsia="Times New Roman" w:hAnsi="Times New Roman" w:cs="Times New Roman"/>
          <w:color w:val="000000"/>
          <w:sz w:val="24"/>
          <w:szCs w:val="24"/>
        </w:rPr>
        <w:t xml:space="preserve">the </w:t>
      </w:r>
      <w:r w:rsidR="00BB2FE6" w:rsidRPr="00CA4752">
        <w:rPr>
          <w:rFonts w:ascii="Times New Roman" w:eastAsia="Times New Roman" w:hAnsi="Times New Roman" w:cs="Times New Roman"/>
          <w:color w:val="000000"/>
          <w:sz w:val="24"/>
          <w:szCs w:val="24"/>
        </w:rPr>
        <w:t>failure</w:t>
      </w:r>
      <w:proofErr w:type="gramEnd"/>
      <w:r w:rsidRPr="00CA4752">
        <w:rPr>
          <w:rFonts w:ascii="Times New Roman" w:eastAsia="Times New Roman" w:hAnsi="Times New Roman" w:cs="Times New Roman"/>
          <w:color w:val="000000"/>
          <w:sz w:val="24"/>
          <w:szCs w:val="24"/>
        </w:rPr>
        <w:t xml:space="preserve"> occurs. Yet the component remains in a failed state until repaired or replaced.</w:t>
      </w:r>
    </w:p>
    <w:p w14:paraId="20A0E42F" w14:textId="77777777" w:rsidR="00DA1150" w:rsidRDefault="00DA1150" w:rsidP="004019DB">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55DF2FF2" w14:textId="538A0DC3" w:rsidR="004019DB" w:rsidRDefault="004019DB" w:rsidP="004019D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Figure 1.</w:t>
      </w:r>
      <w:r>
        <w:rPr>
          <w:rFonts w:ascii="Times New Roman" w:eastAsia="Times New Roman" w:hAnsi="Times New Roman" w:cs="Times New Roman"/>
          <w:color w:val="000000"/>
          <w:sz w:val="24"/>
          <w:szCs w:val="24"/>
        </w:rPr>
        <w:t xml:space="preserve"> </w:t>
      </w:r>
      <w:r w:rsidRPr="004019DB">
        <w:rPr>
          <w:rFonts w:ascii="Times New Roman" w:eastAsia="Times New Roman" w:hAnsi="Times New Roman" w:cs="Times New Roman"/>
          <w:color w:val="000000"/>
          <w:sz w:val="24"/>
          <w:szCs w:val="24"/>
        </w:rPr>
        <w:t>Difference between failure event and failed state in a degrading item</w:t>
      </w:r>
      <w:r w:rsidR="00E66A0F">
        <w:rPr>
          <w:rFonts w:ascii="Times New Roman" w:eastAsia="Times New Roman" w:hAnsi="Times New Roman" w:cs="Times New Roman"/>
          <w:color w:val="000000"/>
          <w:sz w:val="24"/>
          <w:szCs w:val="24"/>
        </w:rPr>
        <w:t xml:space="preserve"> </w:t>
      </w:r>
      <w:r w:rsidR="00E66A0F">
        <w:rPr>
          <w:rFonts w:ascii="Times New Roman" w:eastAsia="Times New Roman" w:hAnsi="Times New Roman" w:cs="Times New Roman"/>
          <w:color w:val="000000"/>
          <w:sz w:val="24"/>
          <w:szCs w:val="24"/>
        </w:rPr>
        <w:fldChar w:fldCharType="begin"/>
      </w:r>
      <w:r w:rsidR="00E66A0F">
        <w:rPr>
          <w:rFonts w:ascii="Times New Roman" w:eastAsia="Times New Roman" w:hAnsi="Times New Roman" w:cs="Times New Roman"/>
          <w:color w:val="000000"/>
          <w:sz w:val="24"/>
          <w:szCs w:val="24"/>
        </w:rPr>
        <w:instrText xml:space="preserve"> ADDIN ZOTERO_ITEM CSL_CITATION {"citationID":"0rmmrAD0","properties":{"formattedCitation":"(7)","plainCitation":"(7)","noteIndex":0},"citationItems":[{"id":41,"uris":["http://zotero.org/users/16825670/items/543CXYPM"],"itemData":{"id":41,"type":"book","abstract":"\"Since the publication of the Second Edition of this popular textbook, new standards have changed the focus of reliability engineering, which introduced new concepts and terminology. Consequently, the Third Edition of System Reliability Theory: Models, Statistical Methods, and Applications has been thoroughly rewritten and updated to meet current standards. With an updated practical focus, incorporation of industry feedback, and many new examples based on real-world industry problems and data, this book begins with an introduction on reliability engineering and is followed by coverage on failures and failure analysis. The authors address failure models and qualitative system analysis and present new coverage on state space models. In addition, a new chapter on component reliability and availability is followed by a chapter on systems of independent components. Component importance is covered followed by a chapter on dependent failures, which now includes a discussion on causes of common cause failures, explicit versus implicit modeling, and the Beta-factor model. The authors also discuss counting processes and Markov Processes. In addition, the authors provide new sections on: maintenance assessment and optimization; advanced models failure rates; human errors; software bugs; CCFs (ICED + method in IEC 61508); generic failure rate databases; FRACAS data; application-specific data; frequency of dangerous failures (PFH); and reliability prediction. The book is supplemented with a companion website, which contains an Instructor Solutions Manual, lecture slides, reliability data sources, sample exam questions, and a terminology review\"--","collection-title":"Wiley series in probability and statistics","edition":"Third edition","event-place":"Hoboken, NJ","ISBN":"978-1-119-37352-0","language":"eng","number-of-pages":"813","publisher":"Wiley","publisher-place":"Hoboken, NJ","source":"K10plus ISBN","title":"System reliability theory: models, statistical methods, and applications","title-short":"System reliability theory","author":[{"family":"Rausand","given":"Marvin"},{"family":"Barros","given":"Anne"},{"family":"Høyland","given":"Arnljot"}],"issued":{"date-parts":[["2021"]]}}}],"schema":"https://github.com/citation-style-language/schema/raw/master/csl-citation.json"} </w:instrText>
      </w:r>
      <w:r w:rsidR="00E66A0F">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E66A0F" w:rsidRPr="00E66A0F">
        <w:rPr>
          <w:rFonts w:ascii="Times New Roman" w:hAnsi="Times New Roman" w:cs="Times New Roman"/>
          <w:sz w:val="24"/>
        </w:rPr>
        <w:t>7</w:t>
      </w:r>
      <w:r w:rsidR="00622594">
        <w:rPr>
          <w:rFonts w:ascii="Times New Roman" w:hAnsi="Times New Roman" w:cs="Times New Roman"/>
          <w:sz w:val="24"/>
        </w:rPr>
        <w:t>]</w:t>
      </w:r>
      <w:r w:rsidR="00E66A0F">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6E3F2F2D" w14:textId="77777777" w:rsidR="004019DB" w:rsidRDefault="004019DB" w:rsidP="004019DB">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114300" distR="114300" wp14:anchorId="0901D081" wp14:editId="7CAF4D5E">
            <wp:extent cx="2911775" cy="1732084"/>
            <wp:effectExtent l="0" t="0" r="3175" b="1905"/>
            <wp:docPr id="10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5.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2935958" cy="1746470"/>
                    </a:xfrm>
                    <a:prstGeom prst="rect">
                      <a:avLst/>
                    </a:prstGeom>
                    <a:ln/>
                  </pic:spPr>
                </pic:pic>
              </a:graphicData>
            </a:graphic>
          </wp:inline>
        </w:drawing>
      </w:r>
    </w:p>
    <w:p w14:paraId="4BA58A30" w14:textId="77777777" w:rsidR="000C0150" w:rsidRDefault="000C0150" w:rsidP="00CA475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2FDDFA3" w14:textId="0664E2A6" w:rsidR="00CA4752" w:rsidRPr="00CA4752" w:rsidRDefault="00CA4752" w:rsidP="00CA475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A4752">
        <w:rPr>
          <w:rFonts w:ascii="Times New Roman" w:eastAsia="Times New Roman" w:hAnsi="Times New Roman" w:cs="Times New Roman"/>
          <w:color w:val="000000"/>
          <w:sz w:val="24"/>
          <w:szCs w:val="24"/>
        </w:rPr>
        <w:t xml:space="preserve">The failure event is often difficult to pinpoint precisely, especially when degradation is gradual. In such cases, identifying the mode, mechanism, and cause of failure becomes essential for effective modeling and mitigation. Failures can be classified as incipient, degraded, or critical, depending on the severity and impact on the system's functions </w:t>
      </w:r>
      <w:r w:rsidR="00E66A0F">
        <w:rPr>
          <w:rFonts w:ascii="Times New Roman" w:eastAsia="Times New Roman" w:hAnsi="Times New Roman" w:cs="Times New Roman"/>
          <w:color w:val="000000"/>
          <w:sz w:val="24"/>
          <w:szCs w:val="24"/>
        </w:rPr>
        <w:fldChar w:fldCharType="begin"/>
      </w:r>
      <w:r w:rsidR="00E66A0F">
        <w:rPr>
          <w:rFonts w:ascii="Times New Roman" w:eastAsia="Times New Roman" w:hAnsi="Times New Roman" w:cs="Times New Roman"/>
          <w:color w:val="000000"/>
          <w:sz w:val="24"/>
          <w:szCs w:val="24"/>
        </w:rPr>
        <w:instrText xml:space="preserve"> ADDIN ZOTERO_ITEM CSL_CITATION {"citationID":"7skOnrP1","properties":{"formattedCitation":"(8)","plainCitation":"(8)","noteIndex":0},"citationItems":[{"id":40,"uris":["http://zotero.org/users/16825670/items/FR6X3ISP"],"itemData":{"id":40,"type":"report","abstract":"Safety, Maintenance and Operations are all connected since without well maintained and operated equipment an industry will not get safe/reliable performance on their critical ones. To get common metrics for critical equipment, during early 80s, some Oil &amp; Gas companies got together for a continuous JIP-Joint Industry Project named as OREDA-Offshore and Onshore Reliability Data. The main purpose of this organization project was to establish a comprehensive databank with reliability and maintenance data for exploration and production equipment from wide variety of installations, equipment types and diverse operating conditions. Offshore topside and subsea equipment units were primarily covered and some onshore were secondly considered. It is introduced the format of OREDA based on a structured database for benchmarking process to O&amp;G companies, as well as been reference to create the bases for ISO 14224, 1st Edition, on 1999. A more internal and formal part for reliability estimation of equipment units are presented for a broad understanding of its concept and applicability for equipment benchmark and system RAMS. For robust view of this application, some examples were developed.","language":"en","title":"The Concept of OREDA on Data Treatment for Equipment","author":[{"family":"Mendes","given":"Renato"}],"issued":{"date-parts":[["2017"]]}}}],"schema":"https://github.com/citation-style-language/schema/raw/master/csl-citation.json"} </w:instrText>
      </w:r>
      <w:r w:rsidR="00E66A0F">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E66A0F" w:rsidRPr="00E66A0F">
        <w:rPr>
          <w:rFonts w:ascii="Times New Roman" w:hAnsi="Times New Roman" w:cs="Times New Roman"/>
          <w:sz w:val="24"/>
        </w:rPr>
        <w:t>8</w:t>
      </w:r>
      <w:r w:rsidR="00622594">
        <w:rPr>
          <w:rFonts w:ascii="Times New Roman" w:hAnsi="Times New Roman" w:cs="Times New Roman"/>
          <w:sz w:val="24"/>
        </w:rPr>
        <w:t>]</w:t>
      </w:r>
      <w:r w:rsidR="00E66A0F">
        <w:rPr>
          <w:rFonts w:ascii="Times New Roman" w:eastAsia="Times New Roman" w:hAnsi="Times New Roman" w:cs="Times New Roman"/>
          <w:color w:val="000000"/>
          <w:sz w:val="24"/>
          <w:szCs w:val="24"/>
        </w:rPr>
        <w:fldChar w:fldCharType="end"/>
      </w:r>
      <w:r w:rsidRPr="00CA4752">
        <w:rPr>
          <w:rFonts w:ascii="Times New Roman" w:eastAsia="Times New Roman" w:hAnsi="Times New Roman" w:cs="Times New Roman"/>
          <w:color w:val="000000"/>
          <w:sz w:val="24"/>
          <w:szCs w:val="24"/>
        </w:rPr>
        <w:t>.</w:t>
      </w:r>
    </w:p>
    <w:p w14:paraId="72E61E0F" w14:textId="10797823" w:rsidR="00C91D8E" w:rsidRDefault="00CA4752" w:rsidP="00CA475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CA4752">
        <w:rPr>
          <w:rFonts w:ascii="Times New Roman" w:eastAsia="Times New Roman" w:hAnsi="Times New Roman" w:cs="Times New Roman"/>
          <w:color w:val="000000"/>
          <w:sz w:val="24"/>
          <w:szCs w:val="24"/>
        </w:rPr>
        <w:t xml:space="preserve">Despite efforts to predict all potential failure modes, the complexity of industrial systems makes complete anticipation nearly impossible. In this paper, reliability is understood as the capability of a system, subsystem, or component to perform its required function within the specified constraints. This excludes variations in usage, environmental factors, or support </w:t>
      </w:r>
      <w:r w:rsidRPr="00CA4752">
        <w:rPr>
          <w:rFonts w:ascii="Times New Roman" w:eastAsia="Times New Roman" w:hAnsi="Times New Roman" w:cs="Times New Roman"/>
          <w:color w:val="000000"/>
          <w:sz w:val="24"/>
          <w:szCs w:val="24"/>
        </w:rPr>
        <w:lastRenderedPageBreak/>
        <w:t>conditions not considered in the original specifications.</w:t>
      </w:r>
    </w:p>
    <w:p w14:paraId="4A7C4A05" w14:textId="77777777" w:rsidR="00B25F78" w:rsidRDefault="00B25F78" w:rsidP="00CA475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FEC83E6" w14:textId="7192374E" w:rsidR="008F25D2" w:rsidRPr="00B25F78" w:rsidRDefault="008F25D2">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6A07D0" w:rsidRPr="006A07D0">
        <w:rPr>
          <w:rFonts w:ascii="Times New Roman" w:eastAsia="Times New Roman" w:hAnsi="Times New Roman" w:cs="Times New Roman"/>
          <w:b/>
          <w:color w:val="000000"/>
          <w:sz w:val="24"/>
          <w:szCs w:val="24"/>
        </w:rPr>
        <w:t xml:space="preserve">Reliability of </w:t>
      </w:r>
      <w:r w:rsidR="006A07D0">
        <w:rPr>
          <w:rFonts w:ascii="Times New Roman" w:eastAsia="Times New Roman" w:hAnsi="Times New Roman" w:cs="Times New Roman"/>
          <w:b/>
          <w:color w:val="000000"/>
          <w:sz w:val="24"/>
          <w:szCs w:val="24"/>
        </w:rPr>
        <w:t>GLV</w:t>
      </w:r>
      <w:r w:rsidR="00BB6730">
        <w:rPr>
          <w:rFonts w:ascii="Times New Roman" w:eastAsia="Times New Roman" w:hAnsi="Times New Roman" w:cs="Times New Roman"/>
          <w:b/>
          <w:color w:val="000000"/>
          <w:sz w:val="24"/>
          <w:szCs w:val="24"/>
        </w:rPr>
        <w:t xml:space="preserve"> and</w:t>
      </w:r>
      <w:r w:rsidR="006A07D0">
        <w:rPr>
          <w:rFonts w:ascii="Times New Roman" w:eastAsia="Times New Roman" w:hAnsi="Times New Roman" w:cs="Times New Roman"/>
          <w:b/>
          <w:color w:val="000000"/>
          <w:sz w:val="24"/>
          <w:szCs w:val="24"/>
        </w:rPr>
        <w:t xml:space="preserve"> CIV</w:t>
      </w:r>
    </w:p>
    <w:p w14:paraId="7E77B664" w14:textId="157A25E2" w:rsidR="00B25F78" w:rsidRDefault="00B25F78" w:rsidP="00B25F7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F78">
        <w:rPr>
          <w:rFonts w:ascii="Times New Roman" w:eastAsia="Times New Roman" w:hAnsi="Times New Roman" w:cs="Times New Roman"/>
          <w:color w:val="000000"/>
          <w:sz w:val="24"/>
          <w:szCs w:val="24"/>
        </w:rPr>
        <w:t>Ensuring the reliability of subs</w:t>
      </w:r>
      <w:r w:rsidR="00BB6730">
        <w:rPr>
          <w:rFonts w:ascii="Times New Roman" w:eastAsia="Times New Roman" w:hAnsi="Times New Roman" w:cs="Times New Roman"/>
          <w:color w:val="000000"/>
          <w:sz w:val="24"/>
          <w:szCs w:val="24"/>
        </w:rPr>
        <w:t>ea</w:t>
      </w:r>
      <w:r w:rsidRPr="00B25F78">
        <w:rPr>
          <w:rFonts w:ascii="Times New Roman" w:eastAsia="Times New Roman" w:hAnsi="Times New Roman" w:cs="Times New Roman"/>
          <w:color w:val="000000"/>
          <w:sz w:val="24"/>
          <w:szCs w:val="24"/>
        </w:rPr>
        <w:t xml:space="preserve"> flow assurance components, such as GVLs and CIV, is critical in offshore production systems. These </w:t>
      </w:r>
      <w:r w:rsidR="00E05291">
        <w:rPr>
          <w:rFonts w:ascii="Times New Roman" w:eastAsia="Times New Roman" w:hAnsi="Times New Roman" w:cs="Times New Roman"/>
          <w:color w:val="000000"/>
          <w:sz w:val="24"/>
          <w:szCs w:val="24"/>
        </w:rPr>
        <w:t>components</w:t>
      </w:r>
      <w:r w:rsidRPr="00B25F78">
        <w:rPr>
          <w:rFonts w:ascii="Times New Roman" w:eastAsia="Times New Roman" w:hAnsi="Times New Roman" w:cs="Times New Roman"/>
          <w:color w:val="000000"/>
          <w:sz w:val="24"/>
          <w:szCs w:val="24"/>
        </w:rPr>
        <w:t xml:space="preserve"> are often inaccessible or too costly for maintenance, making their failure not only costly but potentially hazardous.</w:t>
      </w:r>
    </w:p>
    <w:p w14:paraId="6DCF2A56" w14:textId="77777777" w:rsidR="002456B7" w:rsidRPr="00B25F78" w:rsidRDefault="002456B7" w:rsidP="00B25F7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1AE14FD" w14:textId="6009E6FE" w:rsidR="00B25F78" w:rsidRDefault="00B25F78" w:rsidP="00B25F7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F78">
        <w:rPr>
          <w:rFonts w:ascii="Times New Roman" w:eastAsia="Times New Roman" w:hAnsi="Times New Roman" w:cs="Times New Roman"/>
          <w:color w:val="000000"/>
          <w:sz w:val="24"/>
          <w:szCs w:val="24"/>
        </w:rPr>
        <w:t xml:space="preserve">GLVs are central to artificial lift systems, enabling gas injection from the annulus into </w:t>
      </w:r>
      <w:proofErr w:type="gramStart"/>
      <w:r w:rsidRPr="00B25F78">
        <w:rPr>
          <w:rFonts w:ascii="Times New Roman" w:eastAsia="Times New Roman" w:hAnsi="Times New Roman" w:cs="Times New Roman"/>
          <w:color w:val="000000"/>
          <w:sz w:val="24"/>
          <w:szCs w:val="24"/>
        </w:rPr>
        <w:t>the production</w:t>
      </w:r>
      <w:proofErr w:type="gramEnd"/>
      <w:r w:rsidRPr="00B25F78">
        <w:rPr>
          <w:rFonts w:ascii="Times New Roman" w:eastAsia="Times New Roman" w:hAnsi="Times New Roman" w:cs="Times New Roman"/>
          <w:color w:val="000000"/>
          <w:sz w:val="24"/>
          <w:szCs w:val="24"/>
        </w:rPr>
        <w:t xml:space="preserve"> tubing to facilitate oil lifting. They are designed to operate unidirectionally, allowing gas to pass into the tubing while preventing backflow of hydrocarbons into the annulus. However, failures such as leakage through damaged check valves or malfunction due to debris, improper pressure thresholds, or corrosion can compromise safety </w:t>
      </w:r>
      <w:r w:rsidR="004C40EE">
        <w:rPr>
          <w:rFonts w:ascii="Times New Roman" w:eastAsia="Times New Roman" w:hAnsi="Times New Roman" w:cs="Times New Roman"/>
          <w:color w:val="000000"/>
          <w:sz w:val="24"/>
          <w:szCs w:val="24"/>
        </w:rPr>
        <w:fldChar w:fldCharType="begin"/>
      </w:r>
      <w:r w:rsidR="00E66A0F">
        <w:rPr>
          <w:rFonts w:ascii="Times New Roman" w:eastAsia="Times New Roman" w:hAnsi="Times New Roman" w:cs="Times New Roman"/>
          <w:color w:val="000000"/>
          <w:sz w:val="24"/>
          <w:szCs w:val="24"/>
        </w:rPr>
        <w:instrText xml:space="preserve"> ADDIN ZOTERO_ITEM CSL_CITATION {"citationID":"KF0w8qMu","properties":{"formattedCitation":"(9)","plainCitation":"(9)","noteIndex":0},"citationItems":[{"id":49,"uris":["http://zotero.org/users/16825670/items/JC83ND5K"],"itemData":{"id":49,"type":"paper-conference","abstract":"Gas-lifted oil wells are susceptible to failure through malfunction of gas lift valves. This is a growing concern as offshore wells are drilled thousands of meters below the ocean floor in extreme temperature and pressure conditions and repair and monitoring become more difficult. Gas lift valves and oil well systems have been modeled but system failure modes are not well understood. In this paper a quasi-steady-state fluid-mechanical model is constructed to study failure modes and sensitivities of a gas-lifted well system including the reservoir, two-phase flow within the tubing, and gas lift valve geometry. A set of three differential algebraic equations of the system is solved to determine the system state. Gas lift valve, two-phase flow, and reservoir models are validated with well and experimental data. Sensitivity analysis is performed on the model and sensitive parameters are identified. Failure modes of the system and parameter values that lead to failure modes are identified using Monte Carlo simulation. In particular, we find that the failure mode of backflow through the gas lift valve with a leaky check valve is sensitive to small variations in several design parameters.","DOI":"10.1115/OMAE2010-20343","event-title":"ASME 2010 29th International Conference on Ocean, Offshore and Arctic Engineering","language":"en","page":"305-314","publisher":"American Society of Mechanical Engineers Digital Collection","source":"asmedigitalcollection.asme.org","title":"Failure Mode and Sensitivity Analysis of Gas Lift Valves","URL":"https://dx.doi.org/10.1115/OMAE2010-20343","author":[{"family":"Gilbertson","given":"Eric"},{"family":"Hover","given":"Franz"},{"family":"Colina","given":"Ed"}],"accessed":{"date-parts":[["2025",1,21]]},"issued":{"date-parts":[["2010",12,22]]}}}],"schema":"https://github.com/citation-style-language/schema/raw/master/csl-citation.json"} </w:instrText>
      </w:r>
      <w:r w:rsidR="004C40EE">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E66A0F" w:rsidRPr="00E66A0F">
        <w:rPr>
          <w:rFonts w:ascii="Times New Roman" w:hAnsi="Times New Roman" w:cs="Times New Roman"/>
          <w:sz w:val="24"/>
        </w:rPr>
        <w:t>9</w:t>
      </w:r>
      <w:r w:rsidR="00622594">
        <w:rPr>
          <w:rFonts w:ascii="Times New Roman" w:hAnsi="Times New Roman" w:cs="Times New Roman"/>
          <w:sz w:val="24"/>
        </w:rPr>
        <w:t>]</w:t>
      </w:r>
      <w:r w:rsidR="004C40EE">
        <w:rPr>
          <w:rFonts w:ascii="Times New Roman" w:eastAsia="Times New Roman" w:hAnsi="Times New Roman" w:cs="Times New Roman"/>
          <w:color w:val="000000"/>
          <w:sz w:val="24"/>
          <w:szCs w:val="24"/>
        </w:rPr>
        <w:fldChar w:fldCharType="end"/>
      </w:r>
      <w:r w:rsidRPr="00B25F78">
        <w:rPr>
          <w:rFonts w:ascii="Times New Roman" w:eastAsia="Times New Roman" w:hAnsi="Times New Roman" w:cs="Times New Roman"/>
          <w:color w:val="000000"/>
          <w:sz w:val="24"/>
          <w:szCs w:val="24"/>
        </w:rPr>
        <w:t xml:space="preserve">. </w:t>
      </w:r>
    </w:p>
    <w:p w14:paraId="7CD2D6D3" w14:textId="77777777" w:rsidR="002456B7" w:rsidRPr="00B25F78" w:rsidRDefault="002456B7" w:rsidP="00B25F7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53667751" w14:textId="73BBCB76" w:rsidR="00B25F78" w:rsidRPr="00B25F78" w:rsidRDefault="00B25F78" w:rsidP="00B25F7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F78">
        <w:rPr>
          <w:rFonts w:ascii="Times New Roman" w:eastAsia="Times New Roman" w:hAnsi="Times New Roman" w:cs="Times New Roman"/>
          <w:color w:val="000000"/>
          <w:sz w:val="24"/>
          <w:szCs w:val="24"/>
        </w:rPr>
        <w:t>Gilbertson et.</w:t>
      </w:r>
      <w:r w:rsidR="00D546FC">
        <w:rPr>
          <w:rFonts w:ascii="Times New Roman" w:eastAsia="Times New Roman" w:hAnsi="Times New Roman" w:cs="Times New Roman"/>
          <w:color w:val="000000"/>
          <w:sz w:val="24"/>
          <w:szCs w:val="24"/>
        </w:rPr>
        <w:t xml:space="preserve"> </w:t>
      </w:r>
      <w:proofErr w:type="gramStart"/>
      <w:r w:rsidRPr="00B25F78">
        <w:rPr>
          <w:rFonts w:ascii="Times New Roman" w:eastAsia="Times New Roman" w:hAnsi="Times New Roman" w:cs="Times New Roman"/>
          <w:color w:val="000000"/>
          <w:sz w:val="24"/>
          <w:szCs w:val="24"/>
        </w:rPr>
        <w:t>al</w:t>
      </w:r>
      <w:proofErr w:type="gramEnd"/>
      <w:r w:rsidRPr="00B25F78">
        <w:rPr>
          <w:rFonts w:ascii="Times New Roman" w:eastAsia="Times New Roman" w:hAnsi="Times New Roman" w:cs="Times New Roman"/>
          <w:color w:val="000000"/>
          <w:sz w:val="24"/>
          <w:szCs w:val="24"/>
        </w:rPr>
        <w:t>. (2010) performed a comprehensive failure mode and sensitivity analysis of gas lift valves, revealing that valve performance is highly sensitive to design parameters such as bellows dimensions, injection gas pressure, tubing diameter, and dome volume. Using a quasi-steady-state model coupled with Monte Carlo simulations, they showed how small perturbations in these variables can trigger failure scenarios, particularly backflow of oil into the annulus, which is a major integrity concern.</w:t>
      </w:r>
    </w:p>
    <w:p w14:paraId="2E84A384" w14:textId="27BEF939" w:rsidR="009D71F2" w:rsidRPr="00B25F78" w:rsidRDefault="009D5D00" w:rsidP="00B25F7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the other hand, </w:t>
      </w:r>
      <w:r w:rsidR="00B25F78" w:rsidRPr="00B25F78">
        <w:rPr>
          <w:rFonts w:ascii="Times New Roman" w:eastAsia="Times New Roman" w:hAnsi="Times New Roman" w:cs="Times New Roman"/>
          <w:color w:val="000000"/>
          <w:sz w:val="24"/>
          <w:szCs w:val="24"/>
        </w:rPr>
        <w:t xml:space="preserve">CIV typically used to continuously inject scale inhibitors, represent another critical technology to maintain flow assurance and protect components such as the production tubing and downhole safety valve (DHSV). While CIV systems offer an elegant alternative to scale squeezing, their application introduces substantial reliability challenges </w:t>
      </w:r>
      <w:r w:rsidR="00F82F45">
        <w:rPr>
          <w:rFonts w:ascii="Times New Roman" w:eastAsia="Times New Roman" w:hAnsi="Times New Roman" w:cs="Times New Roman"/>
          <w:color w:val="000000"/>
          <w:sz w:val="24"/>
          <w:szCs w:val="24"/>
        </w:rPr>
        <w:fldChar w:fldCharType="begin"/>
      </w:r>
      <w:r w:rsidR="00F82F45">
        <w:rPr>
          <w:rFonts w:ascii="Times New Roman" w:eastAsia="Times New Roman" w:hAnsi="Times New Roman" w:cs="Times New Roman"/>
          <w:color w:val="000000"/>
          <w:sz w:val="24"/>
          <w:szCs w:val="24"/>
        </w:rPr>
        <w:instrText xml:space="preserve"> ADDIN ZOTERO_ITEM CSL_CITATION {"citationID":"CXUeNNN4","properties":{"formattedCitation":"(10)","plainCitation":"(10)","noteIndex":0},"citationItems":[{"id":35,"uris":["http://zotero.org/users/16825670/items/LIPGBEMR"],"itemData":{"id":35,"type":"paper-conference","abstract":"Statoil is operating several fields where downhole continuous injection of scale inhibitor is applied. The objective is to protect the upper tubing and safety valve from (Ba/Sr)SO4 or CaCO3 scale, in cases where scale squeezing may be difficult and costly to perform on a regular basis, e.g. tie-in of subsea fields.","container-title":"SPE International Conference on Oilfield Scale","DOI":"10.2118/154967-MS","event-place":"Aberdeen, UK","event-title":"SPE International Conference on Oilfield Scale","language":"en","page":"SPE-154967-MS","publisher":"SPE","publisher-place":"Aberdeen, UK","source":"DOI.org (Crossref)","title":"Downhole Chemical Injection Lines - Why Do They Fail? Experiences, Challenges and Application of New Test Methods","title-short":"Downhole Chemical Injection Lines - Why Do They Fail?","URL":"https://onepetro.org/SPEOSS/proceedings/12OSS/12OSS/SPE-154967-MS/158149","author":[{"family":"Hustad","given":"Britt Marie"},{"family":"Svela","given":"Odd Geir"},{"family":"Olsen","given":"John Helge"},{"family":"Ramstad","given":"Kari"},{"family":"Tjomsland","given":"Tore"}],"accessed":{"date-parts":[["2025",2,12]]},"issued":{"date-parts":[["2012",5,30]]}}}],"schema":"https://github.com/citation-style-language/schema/raw/master/csl-citation.json"} </w:instrText>
      </w:r>
      <w:r w:rsidR="00F82F45">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F82F45" w:rsidRPr="00F82F45">
        <w:rPr>
          <w:rFonts w:ascii="Times New Roman" w:hAnsi="Times New Roman" w:cs="Times New Roman"/>
          <w:sz w:val="24"/>
        </w:rPr>
        <w:t>10</w:t>
      </w:r>
      <w:r w:rsidR="00622594">
        <w:rPr>
          <w:rFonts w:ascii="Times New Roman" w:hAnsi="Times New Roman" w:cs="Times New Roman"/>
          <w:sz w:val="24"/>
        </w:rPr>
        <w:t>]</w:t>
      </w:r>
      <w:r w:rsidR="00F82F45">
        <w:rPr>
          <w:rFonts w:ascii="Times New Roman" w:eastAsia="Times New Roman" w:hAnsi="Times New Roman" w:cs="Times New Roman"/>
          <w:color w:val="000000"/>
          <w:sz w:val="24"/>
          <w:szCs w:val="24"/>
        </w:rPr>
        <w:fldChar w:fldCharType="end"/>
      </w:r>
      <w:r w:rsidR="00F82F45">
        <w:rPr>
          <w:rFonts w:ascii="Times New Roman" w:eastAsia="Times New Roman" w:hAnsi="Times New Roman" w:cs="Times New Roman"/>
          <w:color w:val="000000"/>
          <w:sz w:val="24"/>
          <w:szCs w:val="24"/>
        </w:rPr>
        <w:t>.</w:t>
      </w:r>
      <w:r w:rsidR="00B25F78" w:rsidRPr="00B25F78">
        <w:rPr>
          <w:rFonts w:ascii="Times New Roman" w:eastAsia="Times New Roman" w:hAnsi="Times New Roman" w:cs="Times New Roman"/>
          <w:color w:val="000000"/>
          <w:sz w:val="24"/>
          <w:szCs w:val="24"/>
        </w:rPr>
        <w:t xml:space="preserve"> These include chemical </w:t>
      </w:r>
      <w:proofErr w:type="spellStart"/>
      <w:r w:rsidR="00B25F78" w:rsidRPr="00B25F78">
        <w:rPr>
          <w:rFonts w:ascii="Times New Roman" w:eastAsia="Times New Roman" w:hAnsi="Times New Roman" w:cs="Times New Roman"/>
          <w:color w:val="000000"/>
          <w:sz w:val="24"/>
          <w:szCs w:val="24"/>
        </w:rPr>
        <w:t>gunking</w:t>
      </w:r>
      <w:proofErr w:type="spellEnd"/>
      <w:r w:rsidR="00B25F78" w:rsidRPr="00B25F78">
        <w:rPr>
          <w:rFonts w:ascii="Times New Roman" w:eastAsia="Times New Roman" w:hAnsi="Times New Roman" w:cs="Times New Roman"/>
          <w:color w:val="000000"/>
          <w:sz w:val="24"/>
          <w:szCs w:val="24"/>
        </w:rPr>
        <w:t>, solvent evaporation under vacuum conditions, and aggressive corrosion</w:t>
      </w:r>
      <w:r w:rsidR="005267E5">
        <w:rPr>
          <w:rFonts w:ascii="Times New Roman" w:eastAsia="Times New Roman" w:hAnsi="Times New Roman" w:cs="Times New Roman"/>
          <w:color w:val="000000"/>
          <w:sz w:val="24"/>
          <w:szCs w:val="24"/>
        </w:rPr>
        <w:t xml:space="preserve">, </w:t>
      </w:r>
      <w:r w:rsidR="00B25F78" w:rsidRPr="00B25F78">
        <w:rPr>
          <w:rFonts w:ascii="Times New Roman" w:eastAsia="Times New Roman" w:hAnsi="Times New Roman" w:cs="Times New Roman"/>
          <w:color w:val="000000"/>
          <w:sz w:val="24"/>
          <w:szCs w:val="24"/>
        </w:rPr>
        <w:t>especially in long-distance injection lines or wells with deep injection points. Case studies revealed failure events caused by improper chemical qualification for downhole temperatures, leading to severe corrosion, as well as precipitation phenomena that blocked injection valves. Notably, both material compatibility and thermochemical behavior of the injected fluid were often underestimated, leading to premature failures</w:t>
      </w:r>
      <w:r w:rsidR="009D71F2">
        <w:rPr>
          <w:rFonts w:ascii="Times New Roman" w:eastAsia="Times New Roman" w:hAnsi="Times New Roman" w:cs="Times New Roman"/>
          <w:color w:val="000000"/>
          <w:sz w:val="24"/>
          <w:szCs w:val="24"/>
        </w:rPr>
        <w:t xml:space="preserve"> </w:t>
      </w:r>
      <w:r w:rsidR="009D71F2">
        <w:rPr>
          <w:rFonts w:ascii="Times New Roman" w:eastAsia="Times New Roman" w:hAnsi="Times New Roman" w:cs="Times New Roman"/>
          <w:color w:val="000000"/>
          <w:sz w:val="24"/>
          <w:szCs w:val="24"/>
        </w:rPr>
        <w:fldChar w:fldCharType="begin"/>
      </w:r>
      <w:r w:rsidR="009D71F2">
        <w:rPr>
          <w:rFonts w:ascii="Times New Roman" w:eastAsia="Times New Roman" w:hAnsi="Times New Roman" w:cs="Times New Roman"/>
          <w:color w:val="000000"/>
          <w:sz w:val="24"/>
          <w:szCs w:val="24"/>
        </w:rPr>
        <w:instrText xml:space="preserve"> ADDIN ZOTERO_ITEM CSL_CITATION {"citationID":"twgb121q","properties":{"formattedCitation":"(10)","plainCitation":"(10)","noteIndex":0},"citationItems":[{"id":35,"uris":["http://zotero.org/users/16825670/items/LIPGBEMR"],"itemData":{"id":35,"type":"paper-conference","abstract":"Statoil is operating several fields where downhole continuous injection of scale inhibitor is applied. The objective is to protect the upper tubing and safety valve from (Ba/Sr)SO4 or CaCO3 scale, in cases where scale squeezing may be difficult and costly to perform on a regular basis, e.g. tie-in of subsea fields.","container-title":"SPE International Conference on Oilfield Scale","DOI":"10.2118/154967-MS","event-place":"Aberdeen, UK","event-title":"SPE International Conference on Oilfield Scale","language":"en","page":"SPE-154967-MS","publisher":"SPE","publisher-place":"Aberdeen, UK","source":"DOI.org (Crossref)","title":"Downhole Chemical Injection Lines - Why Do They Fail? Experiences, Challenges and Application of New Test Methods","title-short":"Downhole Chemical Injection Lines - Why Do They Fail?","URL":"https://onepetro.org/SPEOSS/proceedings/12OSS/12OSS/SPE-154967-MS/158149","author":[{"family":"Hustad","given":"Britt Marie"},{"family":"Svela","given":"Odd Geir"},{"family":"Olsen","given":"John Helge"},{"family":"Ramstad","given":"Kari"},{"family":"Tjomsland","given":"Tore"}],"accessed":{"date-parts":[["2025",2,12]]},"issued":{"date-parts":[["2012",5,30]]}}}],"schema":"https://github.com/citation-style-language/schema/raw/master/csl-citation.json"} </w:instrText>
      </w:r>
      <w:r w:rsidR="009D71F2">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9D71F2" w:rsidRPr="009D71F2">
        <w:rPr>
          <w:rFonts w:ascii="Times New Roman" w:hAnsi="Times New Roman" w:cs="Times New Roman"/>
          <w:sz w:val="24"/>
        </w:rPr>
        <w:t>10</w:t>
      </w:r>
      <w:r w:rsidR="00622594">
        <w:rPr>
          <w:rFonts w:ascii="Times New Roman" w:hAnsi="Times New Roman" w:cs="Times New Roman"/>
          <w:sz w:val="24"/>
        </w:rPr>
        <w:t>]</w:t>
      </w:r>
      <w:r w:rsidR="009D71F2">
        <w:rPr>
          <w:rFonts w:ascii="Times New Roman" w:eastAsia="Times New Roman" w:hAnsi="Times New Roman" w:cs="Times New Roman"/>
          <w:color w:val="000000"/>
          <w:sz w:val="24"/>
          <w:szCs w:val="24"/>
        </w:rPr>
        <w:fldChar w:fldCharType="end"/>
      </w:r>
      <w:r w:rsidR="00B25F78" w:rsidRPr="00B25F78">
        <w:rPr>
          <w:rFonts w:ascii="Times New Roman" w:eastAsia="Times New Roman" w:hAnsi="Times New Roman" w:cs="Times New Roman"/>
          <w:color w:val="000000"/>
          <w:sz w:val="24"/>
          <w:szCs w:val="24"/>
        </w:rPr>
        <w:t>.</w:t>
      </w:r>
      <w:r w:rsidR="009D71F2">
        <w:rPr>
          <w:rFonts w:ascii="Times New Roman" w:eastAsia="Times New Roman" w:hAnsi="Times New Roman" w:cs="Times New Roman"/>
          <w:color w:val="000000"/>
          <w:sz w:val="24"/>
          <w:szCs w:val="24"/>
        </w:rPr>
        <w:t xml:space="preserve"> </w:t>
      </w:r>
      <w:r w:rsidR="00B25F78" w:rsidRPr="00B25F78">
        <w:rPr>
          <w:rFonts w:ascii="Times New Roman" w:eastAsia="Times New Roman" w:hAnsi="Times New Roman" w:cs="Times New Roman"/>
          <w:color w:val="000000"/>
          <w:sz w:val="24"/>
          <w:szCs w:val="24"/>
        </w:rPr>
        <w:t xml:space="preserve">The evolution of test protocols, particularly for </w:t>
      </w:r>
      <w:r w:rsidR="00BC1FFB">
        <w:rPr>
          <w:rFonts w:ascii="Times New Roman" w:eastAsia="Times New Roman" w:hAnsi="Times New Roman" w:cs="Times New Roman"/>
          <w:color w:val="000000"/>
          <w:sz w:val="24"/>
          <w:szCs w:val="24"/>
        </w:rPr>
        <w:t>CIV</w:t>
      </w:r>
      <w:r w:rsidR="00B25F78" w:rsidRPr="00B25F78">
        <w:rPr>
          <w:rFonts w:ascii="Times New Roman" w:eastAsia="Times New Roman" w:hAnsi="Times New Roman" w:cs="Times New Roman"/>
          <w:color w:val="000000"/>
          <w:sz w:val="24"/>
          <w:szCs w:val="24"/>
        </w:rPr>
        <w:t xml:space="preserve">, has begun to address these needs, focusing on dynamic </w:t>
      </w:r>
      <w:proofErr w:type="spellStart"/>
      <w:r w:rsidR="00B25F78" w:rsidRPr="00B25F78">
        <w:rPr>
          <w:rFonts w:ascii="Times New Roman" w:eastAsia="Times New Roman" w:hAnsi="Times New Roman" w:cs="Times New Roman"/>
          <w:color w:val="000000"/>
          <w:sz w:val="24"/>
          <w:szCs w:val="24"/>
        </w:rPr>
        <w:t>gunking</w:t>
      </w:r>
      <w:proofErr w:type="spellEnd"/>
      <w:r w:rsidR="00B25F78" w:rsidRPr="00B25F78">
        <w:rPr>
          <w:rFonts w:ascii="Times New Roman" w:eastAsia="Times New Roman" w:hAnsi="Times New Roman" w:cs="Times New Roman"/>
          <w:color w:val="000000"/>
          <w:sz w:val="24"/>
          <w:szCs w:val="24"/>
        </w:rPr>
        <w:t xml:space="preserve"> tests, </w:t>
      </w:r>
      <w:proofErr w:type="gramStart"/>
      <w:r w:rsidR="00B25F78" w:rsidRPr="00B25F78">
        <w:rPr>
          <w:rFonts w:ascii="Times New Roman" w:eastAsia="Times New Roman" w:hAnsi="Times New Roman" w:cs="Times New Roman"/>
          <w:color w:val="000000"/>
          <w:sz w:val="24"/>
          <w:szCs w:val="24"/>
        </w:rPr>
        <w:t>high-temperature</w:t>
      </w:r>
      <w:proofErr w:type="gramEnd"/>
      <w:r w:rsidR="00B25F78" w:rsidRPr="00B25F78">
        <w:rPr>
          <w:rFonts w:ascii="Times New Roman" w:eastAsia="Times New Roman" w:hAnsi="Times New Roman" w:cs="Times New Roman"/>
          <w:color w:val="000000"/>
          <w:sz w:val="24"/>
          <w:szCs w:val="24"/>
        </w:rPr>
        <w:t xml:space="preserve"> corrosivity assays, and compatibility evaluations for multi-phase flow environments.</w:t>
      </w:r>
    </w:p>
    <w:p w14:paraId="195697DE" w14:textId="11CFA329" w:rsidR="00B25F78" w:rsidRPr="00B25F78" w:rsidRDefault="00B25F78" w:rsidP="00B25F7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F78">
        <w:rPr>
          <w:rFonts w:ascii="Times New Roman" w:eastAsia="Times New Roman" w:hAnsi="Times New Roman" w:cs="Times New Roman"/>
          <w:color w:val="000000"/>
          <w:sz w:val="24"/>
          <w:szCs w:val="24"/>
        </w:rPr>
        <w:t>Overall, the long-term reliability of GLVs and CIVs systems hinges on multidisciplinary coordination, advanced simulation tools, and rigorous qualification frameworks that consider not only operational performance but also the evolving conditions over the field’s lifetime.</w:t>
      </w:r>
    </w:p>
    <w:p w14:paraId="6F17E84D" w14:textId="29701631" w:rsidR="00B25F78" w:rsidRDefault="00B25F78" w:rsidP="00B25F7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F78">
        <w:rPr>
          <w:rFonts w:ascii="Times New Roman" w:eastAsia="Times New Roman" w:hAnsi="Times New Roman" w:cs="Times New Roman"/>
          <w:color w:val="000000"/>
          <w:sz w:val="24"/>
          <w:szCs w:val="24"/>
        </w:rPr>
        <w:t xml:space="preserve">A particularly critical component in both systems is the check valve, whose integrity is directly associated with some of the most severe failure modes. In </w:t>
      </w:r>
      <w:r w:rsidR="00BC1FFB">
        <w:rPr>
          <w:rFonts w:ascii="Times New Roman" w:eastAsia="Times New Roman" w:hAnsi="Times New Roman" w:cs="Times New Roman"/>
          <w:color w:val="000000"/>
          <w:sz w:val="24"/>
          <w:szCs w:val="24"/>
        </w:rPr>
        <w:t>GLV</w:t>
      </w:r>
      <w:r w:rsidRPr="00B25F78">
        <w:rPr>
          <w:rFonts w:ascii="Times New Roman" w:eastAsia="Times New Roman" w:hAnsi="Times New Roman" w:cs="Times New Roman"/>
          <w:color w:val="000000"/>
          <w:sz w:val="24"/>
          <w:szCs w:val="24"/>
        </w:rPr>
        <w:t xml:space="preserve">, a malfunctioning check valve </w:t>
      </w:r>
      <w:r w:rsidRPr="00B25F78">
        <w:rPr>
          <w:rFonts w:ascii="Times New Roman" w:eastAsia="Times New Roman" w:hAnsi="Times New Roman" w:cs="Times New Roman"/>
          <w:color w:val="000000"/>
          <w:sz w:val="24"/>
          <w:szCs w:val="24"/>
        </w:rPr>
        <w:lastRenderedPageBreak/>
        <w:t>may allow backflow of hydrocarbons from the tubing into the annulus, compromising well integrity and posing serious safety risks. Similarly, in downhole chemical injection systems, check valves are responsible for preventing well fluids from invading the injection capillary. When these valves fail</w:t>
      </w:r>
      <w:r w:rsidR="005267E5">
        <w:rPr>
          <w:rFonts w:ascii="Times New Roman" w:eastAsia="Times New Roman" w:hAnsi="Times New Roman" w:cs="Times New Roman"/>
          <w:color w:val="000000"/>
          <w:sz w:val="24"/>
          <w:szCs w:val="24"/>
        </w:rPr>
        <w:t xml:space="preserve">, </w:t>
      </w:r>
      <w:r w:rsidRPr="00B25F78">
        <w:rPr>
          <w:rFonts w:ascii="Times New Roman" w:eastAsia="Times New Roman" w:hAnsi="Times New Roman" w:cs="Times New Roman"/>
          <w:color w:val="000000"/>
          <w:sz w:val="24"/>
          <w:szCs w:val="24"/>
        </w:rPr>
        <w:t>either due to debris, improper material selection, or pressure imbalance</w:t>
      </w:r>
      <w:r w:rsidR="00166B42">
        <w:rPr>
          <w:rFonts w:ascii="Times New Roman" w:eastAsia="Times New Roman" w:hAnsi="Times New Roman" w:cs="Times New Roman"/>
          <w:color w:val="000000"/>
          <w:sz w:val="24"/>
          <w:szCs w:val="24"/>
        </w:rPr>
        <w:t xml:space="preserve">, </w:t>
      </w:r>
      <w:r w:rsidRPr="00B25F78">
        <w:rPr>
          <w:rFonts w:ascii="Times New Roman" w:eastAsia="Times New Roman" w:hAnsi="Times New Roman" w:cs="Times New Roman"/>
          <w:color w:val="000000"/>
          <w:sz w:val="24"/>
          <w:szCs w:val="24"/>
        </w:rPr>
        <w:t>corrosive fluids can leak, leading to localized degradation and eventual rupture of the injection line. In both cases, the check valve represents the last line of defense against reverse flow, and its failure is often the initiating mechanism of cascading system-wide reliability issues.</w:t>
      </w:r>
    </w:p>
    <w:p w14:paraId="184F8DD4" w14:textId="77777777" w:rsidR="00702821" w:rsidRDefault="00702821" w:rsidP="00B25F78">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A4FCF27" w14:textId="635612AE" w:rsidR="009D26BC" w:rsidRPr="00725330" w:rsidRDefault="00CD6257" w:rsidP="00B25F78">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009D26BC">
        <w:rPr>
          <w:rFonts w:ascii="Times New Roman" w:eastAsia="Times New Roman" w:hAnsi="Times New Roman" w:cs="Times New Roman"/>
          <w:b/>
          <w:color w:val="000000"/>
          <w:sz w:val="24"/>
          <w:szCs w:val="24"/>
        </w:rPr>
        <w:t xml:space="preserve">. </w:t>
      </w:r>
      <w:r w:rsidR="009D26BC" w:rsidRPr="006A07D0">
        <w:rPr>
          <w:rFonts w:ascii="Times New Roman" w:eastAsia="Times New Roman" w:hAnsi="Times New Roman" w:cs="Times New Roman"/>
          <w:b/>
          <w:color w:val="000000"/>
          <w:sz w:val="24"/>
          <w:szCs w:val="24"/>
        </w:rPr>
        <w:t xml:space="preserve">Reliability </w:t>
      </w:r>
      <w:r w:rsidR="00702821">
        <w:rPr>
          <w:rFonts w:ascii="Times New Roman" w:eastAsia="Times New Roman" w:hAnsi="Times New Roman" w:cs="Times New Roman"/>
          <w:b/>
          <w:color w:val="000000"/>
          <w:sz w:val="24"/>
          <w:szCs w:val="24"/>
        </w:rPr>
        <w:t>of Systems</w:t>
      </w:r>
    </w:p>
    <w:p w14:paraId="7D43E666" w14:textId="77777777" w:rsidR="008D701D" w:rsidRPr="008D701D" w:rsidRDefault="008D701D" w:rsidP="008D701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D701D">
        <w:rPr>
          <w:rFonts w:ascii="Times New Roman" w:eastAsia="Times New Roman" w:hAnsi="Times New Roman" w:cs="Times New Roman"/>
          <w:color w:val="000000"/>
          <w:sz w:val="24"/>
          <w:szCs w:val="24"/>
        </w:rPr>
        <w:t>A system consists of a set of interconnected components or elements organized to perform one or more specific functions. The reliability of such a system depends not only on the reliability of its individual components but also on the configuration that defines how these components are physically arranged and interact. The most granular level of this structure is referred to as the component. A component may itself be a complex system with several internal parts, or it may be treated as a black box when the internal failure mechanisms are not under investigation.</w:t>
      </w:r>
    </w:p>
    <w:p w14:paraId="30EACD25" w14:textId="77777777" w:rsidR="008D701D" w:rsidRPr="008D701D" w:rsidRDefault="008D701D" w:rsidP="008D701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ACCC21C" w14:textId="77777777" w:rsidR="008D701D" w:rsidRPr="008D701D" w:rsidRDefault="008D701D" w:rsidP="008D701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D701D">
        <w:rPr>
          <w:rFonts w:ascii="Times New Roman" w:eastAsia="Times New Roman" w:hAnsi="Times New Roman" w:cs="Times New Roman"/>
          <w:color w:val="000000"/>
          <w:sz w:val="24"/>
          <w:szCs w:val="24"/>
        </w:rPr>
        <w:t xml:space="preserve">In reliability studies, each item included in a system must be able to perform at least one function independently under specific environmental and operational conditions. These </w:t>
      </w:r>
      <w:r w:rsidRPr="008D701D">
        <w:rPr>
          <w:rFonts w:ascii="Times New Roman" w:eastAsia="Times New Roman" w:hAnsi="Times New Roman" w:cs="Times New Roman"/>
          <w:color w:val="000000"/>
          <w:sz w:val="24"/>
          <w:szCs w:val="24"/>
        </w:rPr>
        <w:t>studies are guided by boundary conditions that define which items are considered internal to the system and which are external. System boundaries play a critical role in delimiting the elements under evaluation and in maintaining a coherent and autonomous internal structure.</w:t>
      </w:r>
    </w:p>
    <w:p w14:paraId="5C3F7274" w14:textId="77777777" w:rsidR="008D701D" w:rsidRPr="008D701D" w:rsidRDefault="008D701D" w:rsidP="008D701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71806C4" w14:textId="7D4A6F9B" w:rsidR="008D701D" w:rsidRPr="008D701D" w:rsidRDefault="008D701D" w:rsidP="008D701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D701D">
        <w:rPr>
          <w:rFonts w:ascii="Times New Roman" w:eastAsia="Times New Roman" w:hAnsi="Times New Roman" w:cs="Times New Roman"/>
          <w:color w:val="000000"/>
          <w:sz w:val="24"/>
          <w:szCs w:val="24"/>
        </w:rPr>
        <w:t xml:space="preserve">Establishing a model that represents the structure and behavior of the system is a fundamental step in system reliability analysis. This model defines the system boundaries, the internal components, the interactions among these components, and the environmental conditions that may influence system behavior. </w:t>
      </w:r>
    </w:p>
    <w:p w14:paraId="622E90DD" w14:textId="77777777" w:rsidR="008D701D" w:rsidRDefault="008D701D" w:rsidP="008D701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8D701D">
        <w:rPr>
          <w:rFonts w:ascii="Times New Roman" w:eastAsia="Times New Roman" w:hAnsi="Times New Roman" w:cs="Times New Roman"/>
          <w:color w:val="000000"/>
          <w:sz w:val="24"/>
          <w:szCs w:val="24"/>
        </w:rPr>
        <w:t>As the complexity of the system increases, more advanced methods become necessary. Among these, Fault Tree Analysis (FTA) and Markov processes are prominent tools for evaluating reliability in systems composed of multiple interdependent components or possessing dynamic failure and repair behavior. These methodologies provide complementary perspectives: FTA offers a deductive framework for understanding how component failures contribute to a specific system failure, while Markov models describe the probabilistic evolution of system states over time.</w:t>
      </w:r>
    </w:p>
    <w:p w14:paraId="36091310" w14:textId="77777777" w:rsidR="008D701D" w:rsidRDefault="008D701D" w:rsidP="008D701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EB349F2" w14:textId="049717EF" w:rsidR="00C91D8E" w:rsidRPr="002456B7" w:rsidRDefault="00CD625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00E5607D">
        <w:rPr>
          <w:rFonts w:ascii="Times New Roman" w:eastAsia="Times New Roman" w:hAnsi="Times New Roman" w:cs="Times New Roman"/>
          <w:b/>
          <w:color w:val="000000"/>
          <w:sz w:val="24"/>
          <w:szCs w:val="24"/>
        </w:rPr>
        <w:t xml:space="preserve">.1. </w:t>
      </w:r>
      <w:bookmarkStart w:id="0" w:name="bookmark=id.jzibztj6aquc" w:colFirst="0" w:colLast="0"/>
      <w:bookmarkEnd w:id="0"/>
      <w:r w:rsidR="00BD2171" w:rsidRPr="00BD2171">
        <w:rPr>
          <w:rFonts w:ascii="Times New Roman" w:eastAsia="Times New Roman" w:hAnsi="Times New Roman" w:cs="Times New Roman"/>
          <w:b/>
          <w:color w:val="000000"/>
          <w:sz w:val="24"/>
          <w:szCs w:val="24"/>
        </w:rPr>
        <w:t>Fault Tree Analysis</w:t>
      </w:r>
    </w:p>
    <w:p w14:paraId="231FB4BF" w14:textId="7C7F3470" w:rsidR="00BD2171" w:rsidRPr="00BD2171" w:rsidRDefault="00BD2171" w:rsidP="00BD217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D2171">
        <w:rPr>
          <w:rFonts w:ascii="Times New Roman" w:eastAsia="Times New Roman" w:hAnsi="Times New Roman" w:cs="Times New Roman"/>
          <w:color w:val="000000"/>
          <w:sz w:val="24"/>
          <w:szCs w:val="24"/>
        </w:rPr>
        <w:t xml:space="preserve">Fault Tree Analysis is a deductive, top-down method for identifying the causes of an undesired event, referred to as the top event </w:t>
      </w:r>
      <w:r w:rsidR="00275C19">
        <w:rPr>
          <w:rFonts w:ascii="Times New Roman" w:eastAsia="Times New Roman" w:hAnsi="Times New Roman" w:cs="Times New Roman"/>
          <w:color w:val="000000"/>
          <w:sz w:val="24"/>
          <w:szCs w:val="24"/>
        </w:rPr>
        <w:fldChar w:fldCharType="begin"/>
      </w:r>
      <w:r w:rsidR="00275C19">
        <w:rPr>
          <w:rFonts w:ascii="Times New Roman" w:eastAsia="Times New Roman" w:hAnsi="Times New Roman" w:cs="Times New Roman"/>
          <w:color w:val="000000"/>
          <w:sz w:val="24"/>
          <w:szCs w:val="24"/>
        </w:rPr>
        <w:instrText xml:space="preserve"> ADDIN ZOTERO_ITEM CSL_CITATION {"citationID":"279MCD5v","properties":{"formattedCitation":"(11)","plainCitation":"(11)","noteIndex":0},"citationItems":[{"id":13,"uris":["http://zotero.org/users/16825670/items/UIS8ITQL"],"itemData":{"id":13,"type":"book","archive_location":"Washington DC","collection-title":"NASA","title":"Fault Tree Handbook with Aerospace Applications","author":[{"family":"Stamatelatos","given":"Michael"},{"family":"Vesely","given":"William"},{"family":"Dugan","given":"Joanne"},{"family":"Fragola","given":"Joseph"},{"family":"Minarick","given":"Joseph"}],"issued":{"date-parts":[["2002"]]}}}],"schema":"https://github.com/citation-style-language/schema/raw/master/csl-citation.json"} </w:instrText>
      </w:r>
      <w:r w:rsidR="00275C19">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275C19" w:rsidRPr="00275C19">
        <w:rPr>
          <w:rFonts w:ascii="Times New Roman" w:hAnsi="Times New Roman" w:cs="Times New Roman"/>
          <w:sz w:val="24"/>
        </w:rPr>
        <w:t>11</w:t>
      </w:r>
      <w:r w:rsidR="00622594">
        <w:rPr>
          <w:rFonts w:ascii="Times New Roman" w:hAnsi="Times New Roman" w:cs="Times New Roman"/>
          <w:sz w:val="24"/>
        </w:rPr>
        <w:t>]</w:t>
      </w:r>
      <w:r w:rsidR="00275C19">
        <w:rPr>
          <w:rFonts w:ascii="Times New Roman" w:eastAsia="Times New Roman" w:hAnsi="Times New Roman" w:cs="Times New Roman"/>
          <w:color w:val="000000"/>
          <w:sz w:val="24"/>
          <w:szCs w:val="24"/>
        </w:rPr>
        <w:fldChar w:fldCharType="end"/>
      </w:r>
      <w:r w:rsidRPr="00BD2171">
        <w:rPr>
          <w:rFonts w:ascii="Times New Roman" w:eastAsia="Times New Roman" w:hAnsi="Times New Roman" w:cs="Times New Roman"/>
          <w:color w:val="000000"/>
          <w:sz w:val="24"/>
          <w:szCs w:val="24"/>
        </w:rPr>
        <w:t xml:space="preserve">. This technique constructs a logical tree structure that links the top event to intermediate and basic </w:t>
      </w:r>
      <w:r w:rsidRPr="00BD2171">
        <w:rPr>
          <w:rFonts w:ascii="Times New Roman" w:eastAsia="Times New Roman" w:hAnsi="Times New Roman" w:cs="Times New Roman"/>
          <w:color w:val="000000"/>
          <w:sz w:val="24"/>
          <w:szCs w:val="24"/>
        </w:rPr>
        <w:lastRenderedPageBreak/>
        <w:t xml:space="preserve">events through well-defined logical relationships, typically represented by </w:t>
      </w:r>
      <w:r w:rsidR="001E56CC">
        <w:rPr>
          <w:rFonts w:ascii="Times New Roman" w:eastAsia="Times New Roman" w:hAnsi="Times New Roman" w:cs="Times New Roman"/>
          <w:color w:val="000000"/>
          <w:sz w:val="24"/>
          <w:szCs w:val="24"/>
        </w:rPr>
        <w:t>“</w:t>
      </w:r>
      <w:r w:rsidRPr="00BD2171">
        <w:rPr>
          <w:rFonts w:ascii="Times New Roman" w:eastAsia="Times New Roman" w:hAnsi="Times New Roman" w:cs="Times New Roman"/>
          <w:color w:val="000000"/>
          <w:sz w:val="24"/>
          <w:szCs w:val="24"/>
        </w:rPr>
        <w:t>AND</w:t>
      </w:r>
      <w:r w:rsidR="001E56CC">
        <w:rPr>
          <w:rFonts w:ascii="Times New Roman" w:eastAsia="Times New Roman" w:hAnsi="Times New Roman" w:cs="Times New Roman"/>
          <w:color w:val="000000"/>
          <w:sz w:val="24"/>
          <w:szCs w:val="24"/>
        </w:rPr>
        <w:t>”</w:t>
      </w:r>
      <w:r w:rsidRPr="00BD2171">
        <w:rPr>
          <w:rFonts w:ascii="Times New Roman" w:eastAsia="Times New Roman" w:hAnsi="Times New Roman" w:cs="Times New Roman"/>
          <w:color w:val="000000"/>
          <w:sz w:val="24"/>
          <w:szCs w:val="24"/>
        </w:rPr>
        <w:t xml:space="preserve"> and </w:t>
      </w:r>
      <w:r w:rsidR="001E56CC">
        <w:rPr>
          <w:rFonts w:ascii="Times New Roman" w:eastAsia="Times New Roman" w:hAnsi="Times New Roman" w:cs="Times New Roman"/>
          <w:color w:val="000000"/>
          <w:sz w:val="24"/>
          <w:szCs w:val="24"/>
        </w:rPr>
        <w:t>“</w:t>
      </w:r>
      <w:r w:rsidRPr="00BD2171">
        <w:rPr>
          <w:rFonts w:ascii="Times New Roman" w:eastAsia="Times New Roman" w:hAnsi="Times New Roman" w:cs="Times New Roman"/>
          <w:color w:val="000000"/>
          <w:sz w:val="24"/>
          <w:szCs w:val="24"/>
        </w:rPr>
        <w:t>OR</w:t>
      </w:r>
      <w:r w:rsidR="001E56CC">
        <w:rPr>
          <w:rFonts w:ascii="Times New Roman" w:eastAsia="Times New Roman" w:hAnsi="Times New Roman" w:cs="Times New Roman"/>
          <w:color w:val="000000"/>
          <w:sz w:val="24"/>
          <w:szCs w:val="24"/>
        </w:rPr>
        <w:t>”</w:t>
      </w:r>
      <w:r w:rsidRPr="00BD2171">
        <w:rPr>
          <w:rFonts w:ascii="Times New Roman" w:eastAsia="Times New Roman" w:hAnsi="Times New Roman" w:cs="Times New Roman"/>
          <w:color w:val="000000"/>
          <w:sz w:val="24"/>
          <w:szCs w:val="24"/>
        </w:rPr>
        <w:t xml:space="preserve"> gates.</w:t>
      </w:r>
    </w:p>
    <w:p w14:paraId="1265B7B1" w14:textId="77777777" w:rsidR="00BD2171" w:rsidRPr="00BD2171" w:rsidRDefault="00BD2171" w:rsidP="00BD217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344AC88" w14:textId="73726577" w:rsidR="00BD2171" w:rsidRPr="00BD2171" w:rsidRDefault="00BD2171" w:rsidP="00BD217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D2171">
        <w:rPr>
          <w:rFonts w:ascii="Times New Roman" w:eastAsia="Times New Roman" w:hAnsi="Times New Roman" w:cs="Times New Roman"/>
          <w:color w:val="000000"/>
          <w:sz w:val="24"/>
          <w:szCs w:val="24"/>
        </w:rPr>
        <w:t xml:space="preserve">The top event </w:t>
      </w:r>
      <w:r w:rsidR="000B42E4">
        <w:rPr>
          <w:rFonts w:ascii="Times New Roman" w:eastAsia="Times New Roman" w:hAnsi="Times New Roman" w:cs="Times New Roman"/>
          <w:color w:val="000000"/>
          <w:sz w:val="24"/>
          <w:szCs w:val="24"/>
        </w:rPr>
        <w:t>may be</w:t>
      </w:r>
      <w:r w:rsidRPr="00BD2171">
        <w:rPr>
          <w:rFonts w:ascii="Times New Roman" w:eastAsia="Times New Roman" w:hAnsi="Times New Roman" w:cs="Times New Roman"/>
          <w:color w:val="000000"/>
          <w:sz w:val="24"/>
          <w:szCs w:val="24"/>
        </w:rPr>
        <w:t xml:space="preserve"> defined as a system failure. From this point, the analysis proceeds downward by identifying combinations of events that can trigger the undesired outcome</w:t>
      </w:r>
      <w:r w:rsidR="000B42E4">
        <w:rPr>
          <w:rFonts w:ascii="Times New Roman" w:eastAsia="Times New Roman" w:hAnsi="Times New Roman" w:cs="Times New Roman"/>
          <w:color w:val="000000"/>
          <w:sz w:val="24"/>
          <w:szCs w:val="24"/>
        </w:rPr>
        <w:t>, such are called cut</w:t>
      </w:r>
      <w:r w:rsidR="00B72A3F">
        <w:rPr>
          <w:rFonts w:ascii="Times New Roman" w:eastAsia="Times New Roman" w:hAnsi="Times New Roman" w:cs="Times New Roman"/>
          <w:color w:val="000000"/>
          <w:sz w:val="24"/>
          <w:szCs w:val="24"/>
        </w:rPr>
        <w:t xml:space="preserve"> </w:t>
      </w:r>
      <w:r w:rsidR="000B42E4">
        <w:rPr>
          <w:rFonts w:ascii="Times New Roman" w:eastAsia="Times New Roman" w:hAnsi="Times New Roman" w:cs="Times New Roman"/>
          <w:color w:val="000000"/>
          <w:sz w:val="24"/>
          <w:szCs w:val="24"/>
        </w:rPr>
        <w:t>sets</w:t>
      </w:r>
      <w:r w:rsidRPr="00BD2171">
        <w:rPr>
          <w:rFonts w:ascii="Times New Roman" w:eastAsia="Times New Roman" w:hAnsi="Times New Roman" w:cs="Times New Roman"/>
          <w:color w:val="000000"/>
          <w:sz w:val="24"/>
          <w:szCs w:val="24"/>
        </w:rPr>
        <w:t>. The process continues until basic events are reached</w:t>
      </w:r>
      <w:r w:rsidR="00F56FFC">
        <w:rPr>
          <w:rFonts w:ascii="Times New Roman" w:eastAsia="Times New Roman" w:hAnsi="Times New Roman" w:cs="Times New Roman"/>
          <w:color w:val="000000"/>
          <w:sz w:val="24"/>
          <w:szCs w:val="24"/>
        </w:rPr>
        <w:t>, that is</w:t>
      </w:r>
      <w:r w:rsidR="00DD3C50">
        <w:rPr>
          <w:rFonts w:ascii="Times New Roman" w:eastAsia="Times New Roman" w:hAnsi="Times New Roman" w:cs="Times New Roman"/>
          <w:color w:val="000000"/>
          <w:sz w:val="24"/>
          <w:szCs w:val="24"/>
        </w:rPr>
        <w:t xml:space="preserve"> </w:t>
      </w:r>
      <w:r w:rsidRPr="00BD2171">
        <w:rPr>
          <w:rFonts w:ascii="Times New Roman" w:eastAsia="Times New Roman" w:hAnsi="Times New Roman" w:cs="Times New Roman"/>
          <w:color w:val="000000"/>
          <w:sz w:val="24"/>
          <w:szCs w:val="24"/>
        </w:rPr>
        <w:t>events that are not further decomposed. FTA can be developed both qualitatively, by identifying minimal cut sets, and quantitatively, by calculating the probability of the top event based on the probabilities of the basic events.</w:t>
      </w:r>
    </w:p>
    <w:p w14:paraId="5C9BD630" w14:textId="77777777" w:rsidR="00BD2171" w:rsidRPr="00BD2171" w:rsidRDefault="00BD2171" w:rsidP="00BD217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174E825" w14:textId="071CAC66" w:rsidR="00BD2171" w:rsidRPr="00BD2171" w:rsidRDefault="00BD2171" w:rsidP="00BD217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D2171">
        <w:rPr>
          <w:rFonts w:ascii="Times New Roman" w:eastAsia="Times New Roman" w:hAnsi="Times New Roman" w:cs="Times New Roman"/>
          <w:color w:val="000000"/>
          <w:sz w:val="24"/>
          <w:szCs w:val="24"/>
        </w:rPr>
        <w:t>One advantage of FTA is its flexibility to incorporate a wide range of probability distributions for basic events, allowing for more accurate modeling of real phenomena. Additionally, its logical structure enhances clarity and facilitates communication among engineers and stakeholders. However, this method does not account for the chronological sequence of failures and is generally limited to binary-state modeling. The representation of dependencies between events is also non-trivial and may require hybrid approaches, such as the integration of</w:t>
      </w:r>
      <w:r w:rsidR="008557B6">
        <w:rPr>
          <w:rFonts w:ascii="Times New Roman" w:eastAsia="Times New Roman" w:hAnsi="Times New Roman" w:cs="Times New Roman"/>
          <w:color w:val="000000"/>
          <w:sz w:val="24"/>
          <w:szCs w:val="24"/>
        </w:rPr>
        <w:t xml:space="preserve"> methods</w:t>
      </w:r>
      <w:r w:rsidR="0072782D">
        <w:rPr>
          <w:rFonts w:ascii="Times New Roman" w:eastAsia="Times New Roman" w:hAnsi="Times New Roman" w:cs="Times New Roman"/>
          <w:color w:val="000000"/>
          <w:sz w:val="24"/>
          <w:szCs w:val="24"/>
        </w:rPr>
        <w:t xml:space="preserve"> such</w:t>
      </w:r>
      <w:r w:rsidRPr="00BD2171">
        <w:rPr>
          <w:rFonts w:ascii="Times New Roman" w:eastAsia="Times New Roman" w:hAnsi="Times New Roman" w:cs="Times New Roman"/>
          <w:color w:val="000000"/>
          <w:sz w:val="24"/>
          <w:szCs w:val="24"/>
        </w:rPr>
        <w:t xml:space="preserve"> Bayesian networks</w:t>
      </w:r>
      <w:r w:rsidR="0072782D">
        <w:rPr>
          <w:rFonts w:ascii="Times New Roman" w:eastAsia="Times New Roman" w:hAnsi="Times New Roman" w:cs="Times New Roman"/>
          <w:color w:val="000000"/>
          <w:sz w:val="24"/>
          <w:szCs w:val="24"/>
        </w:rPr>
        <w:t xml:space="preserve"> </w:t>
      </w:r>
      <w:r w:rsidR="0072782D">
        <w:rPr>
          <w:rFonts w:ascii="Times New Roman" w:eastAsia="Times New Roman" w:hAnsi="Times New Roman" w:cs="Times New Roman"/>
          <w:color w:val="000000"/>
          <w:sz w:val="24"/>
          <w:szCs w:val="24"/>
        </w:rPr>
        <w:fldChar w:fldCharType="begin"/>
      </w:r>
      <w:r w:rsidR="0072782D">
        <w:rPr>
          <w:rFonts w:ascii="Times New Roman" w:eastAsia="Times New Roman" w:hAnsi="Times New Roman" w:cs="Times New Roman"/>
          <w:color w:val="000000"/>
          <w:sz w:val="24"/>
          <w:szCs w:val="24"/>
        </w:rPr>
        <w:instrText xml:space="preserve"> ADDIN ZOTERO_ITEM CSL_CITATION {"citationID":"xDZ626xl","properties":{"formattedCitation":"(12)","plainCitation":"(12)","noteIndex":0},"citationItems":[{"id":37,"uris":["http://zotero.org/users/16825670/items/Z85HGSQ8"],"itemData":{"id":37,"type":"article-journal","abstract":"This paper presents a data-driven methodology for fault detection and diagnosis (FDD) by integrating the principal component analysis (PCA) with the Bayesian network (BN). Though the integration of PCA-BN for FDD purposes has been studied in the past, the present work makes two contributions for process systems. First, the application of correlation dimension (CD) to select principal components (PCs) automatically. Second, the use of Kullback-Leibler divergence (KLD) and copula theory to develop a data-based BN learning technique. The proposed method uses a combination of vine copula and Bayes’ theorem (BT) to capture nonlinear dependence of high-dimensional process data which eliminates the need for discretization of continuous data. The data-driven integrated PCA-BN framework has been applied to two processing systems. Performance of the proposed methodology is compared with the independent component analysis (ICA), kernel principal component analysis (KPCA), kernel independent component analysis (KICA), and their integrated frameworks with the BN. The comparative study suggests that the proposed framework provides superior performance.","container-title":"Process Safety and Environmental Protection","DOI":"10.1016/j.psep.2021.04.004","ISSN":"0957-5820","journalAbbreviation":"Process Safety and Environmental Protection","page":"110-122","source":"ScienceDirect","title":"A data-driven Bayesian network learning method for process fault diagnosis","volume":"150","author":[{"family":"Amin","given":"Md. Tanjin"},{"family":"Khan","given":"Faisal"},{"family":"Ahmed","given":"Salim"},{"family":"Imtiaz","given":"Syed"}],"issued":{"date-parts":[["2021",6,1]]}}}],"schema":"https://github.com/citation-style-language/schema/raw/master/csl-citation.json"} </w:instrText>
      </w:r>
      <w:r w:rsidR="0072782D">
        <w:rPr>
          <w:rFonts w:ascii="Times New Roman" w:eastAsia="Times New Roman" w:hAnsi="Times New Roman" w:cs="Times New Roman"/>
          <w:color w:val="000000"/>
          <w:sz w:val="24"/>
          <w:szCs w:val="24"/>
        </w:rPr>
        <w:fldChar w:fldCharType="separate"/>
      </w:r>
      <w:r w:rsidR="00622594">
        <w:rPr>
          <w:rFonts w:ascii="Times New Roman" w:hAnsi="Times New Roman" w:cs="Times New Roman"/>
          <w:sz w:val="24"/>
        </w:rPr>
        <w:t>[</w:t>
      </w:r>
      <w:r w:rsidR="0072782D" w:rsidRPr="0072782D">
        <w:rPr>
          <w:rFonts w:ascii="Times New Roman" w:hAnsi="Times New Roman" w:cs="Times New Roman"/>
          <w:sz w:val="24"/>
        </w:rPr>
        <w:t>12</w:t>
      </w:r>
      <w:r w:rsidR="00622594">
        <w:rPr>
          <w:rFonts w:ascii="Times New Roman" w:hAnsi="Times New Roman" w:cs="Times New Roman"/>
          <w:sz w:val="24"/>
        </w:rPr>
        <w:t>]</w:t>
      </w:r>
      <w:r w:rsidR="0072782D">
        <w:rPr>
          <w:rFonts w:ascii="Times New Roman" w:eastAsia="Times New Roman" w:hAnsi="Times New Roman" w:cs="Times New Roman"/>
          <w:color w:val="000000"/>
          <w:sz w:val="24"/>
          <w:szCs w:val="24"/>
        </w:rPr>
        <w:fldChar w:fldCharType="end"/>
      </w:r>
      <w:r w:rsidRPr="00BD2171">
        <w:rPr>
          <w:rFonts w:ascii="Times New Roman" w:eastAsia="Times New Roman" w:hAnsi="Times New Roman" w:cs="Times New Roman"/>
          <w:color w:val="000000"/>
          <w:sz w:val="24"/>
          <w:szCs w:val="24"/>
        </w:rPr>
        <w:t>.</w:t>
      </w:r>
    </w:p>
    <w:p w14:paraId="5CFAC52E" w14:textId="77777777" w:rsidR="00BD2171" w:rsidRPr="00BD2171" w:rsidRDefault="00BD2171" w:rsidP="00BD217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1075DE2" w14:textId="10A74F3D" w:rsidR="00C91D8E" w:rsidRDefault="00BD2171" w:rsidP="00BD217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D2171">
        <w:rPr>
          <w:rFonts w:ascii="Times New Roman" w:eastAsia="Times New Roman" w:hAnsi="Times New Roman" w:cs="Times New Roman"/>
          <w:color w:val="000000"/>
          <w:sz w:val="24"/>
          <w:szCs w:val="24"/>
        </w:rPr>
        <w:t xml:space="preserve">Despite its limitations, FTA remains a widely used and effective tool, particularly in industries with high safety and reliability requirements. The method can be enhanced through combinations </w:t>
      </w:r>
      <w:r w:rsidRPr="00BD2171">
        <w:rPr>
          <w:rFonts w:ascii="Times New Roman" w:eastAsia="Times New Roman" w:hAnsi="Times New Roman" w:cs="Times New Roman"/>
          <w:color w:val="000000"/>
          <w:sz w:val="24"/>
          <w:szCs w:val="24"/>
        </w:rPr>
        <w:t>with simulation-based approaches, such as Monte Carlo methods, or with probabilistic updates based on real-time data.</w:t>
      </w:r>
    </w:p>
    <w:p w14:paraId="2617F05D" w14:textId="77777777" w:rsidR="00BD2171" w:rsidRDefault="00BD2171" w:rsidP="00BD217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6FC6A10D" w14:textId="4254F411" w:rsidR="00C91D8E" w:rsidRPr="00837EA3" w:rsidRDefault="00CD6257">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00965271">
        <w:rPr>
          <w:rFonts w:ascii="Times New Roman" w:eastAsia="Times New Roman" w:hAnsi="Times New Roman" w:cs="Times New Roman"/>
          <w:b/>
          <w:color w:val="000000"/>
          <w:sz w:val="24"/>
          <w:szCs w:val="24"/>
        </w:rPr>
        <w:t xml:space="preserve">.2. </w:t>
      </w:r>
      <w:r w:rsidR="00B575EC" w:rsidRPr="00B575EC">
        <w:rPr>
          <w:rFonts w:ascii="Times New Roman" w:eastAsia="Times New Roman" w:hAnsi="Times New Roman" w:cs="Times New Roman"/>
          <w:b/>
          <w:color w:val="000000"/>
          <w:sz w:val="24"/>
          <w:szCs w:val="24"/>
        </w:rPr>
        <w:t>Markovian Reliability Models</w:t>
      </w:r>
    </w:p>
    <w:p w14:paraId="268578ED" w14:textId="62BD239A" w:rsidR="0033020A" w:rsidRPr="0033020A" w:rsidRDefault="0033020A" w:rsidP="0033020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3020A">
        <w:rPr>
          <w:rFonts w:ascii="Times New Roman" w:eastAsia="Times New Roman" w:hAnsi="Times New Roman" w:cs="Times New Roman"/>
          <w:color w:val="000000"/>
          <w:sz w:val="24"/>
          <w:szCs w:val="24"/>
        </w:rPr>
        <w:t xml:space="preserve">Markov processes are stochastic models used to represent transitions between different system states over time. In </w:t>
      </w:r>
      <w:r w:rsidR="001E56CC" w:rsidRPr="0033020A">
        <w:rPr>
          <w:rFonts w:ascii="Times New Roman" w:eastAsia="Times New Roman" w:hAnsi="Times New Roman" w:cs="Times New Roman"/>
          <w:color w:val="000000"/>
          <w:sz w:val="24"/>
          <w:szCs w:val="24"/>
        </w:rPr>
        <w:t>the Markov</w:t>
      </w:r>
      <w:r w:rsidRPr="0033020A">
        <w:rPr>
          <w:rFonts w:ascii="Times New Roman" w:eastAsia="Times New Roman" w:hAnsi="Times New Roman" w:cs="Times New Roman"/>
          <w:color w:val="000000"/>
          <w:sz w:val="24"/>
          <w:szCs w:val="24"/>
        </w:rPr>
        <w:t xml:space="preserve"> process, the probability of transitioning to a future state depends solely on the current state, satisfying the memoryless property. This characteristic makes Markov models suitable for analyzing repairable systems and systems with multiple failure modes or degradation levels.</w:t>
      </w:r>
    </w:p>
    <w:p w14:paraId="697CE9F2" w14:textId="77777777" w:rsidR="0033020A" w:rsidRPr="0033020A" w:rsidRDefault="0033020A" w:rsidP="0033020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827DE8C" w14:textId="25A53FF9" w:rsidR="0033020A" w:rsidRPr="0033020A" w:rsidRDefault="0033020A" w:rsidP="0033020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3020A">
        <w:rPr>
          <w:rFonts w:ascii="Times New Roman" w:eastAsia="Times New Roman" w:hAnsi="Times New Roman" w:cs="Times New Roman"/>
          <w:color w:val="000000"/>
          <w:sz w:val="24"/>
          <w:szCs w:val="24"/>
        </w:rPr>
        <w:t xml:space="preserve">Markov Chains (MCs) are particularly relevant for modeling system reliability. These models are governed by two central mathematical constructs: the transition probability matrix and the transition rate matrix (also known as the generator matrix). The transition probability matrix defines the likelihood of moving from one state to another over a time interval, while the transition rate matrix characterizes the instantaneous rates of these transitions. </w:t>
      </w:r>
    </w:p>
    <w:p w14:paraId="2C91A7CF" w14:textId="77777777" w:rsidR="0033020A" w:rsidRPr="0033020A" w:rsidRDefault="0033020A" w:rsidP="0033020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ADF68EB" w14:textId="424FED66" w:rsidR="0033020A" w:rsidRPr="004E32A6" w:rsidRDefault="0033020A" w:rsidP="0033020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33020A">
        <w:rPr>
          <w:rFonts w:ascii="Times New Roman" w:eastAsia="Times New Roman" w:hAnsi="Times New Roman" w:cs="Times New Roman"/>
          <w:color w:val="000000"/>
          <w:sz w:val="24"/>
          <w:szCs w:val="24"/>
        </w:rPr>
        <w:t xml:space="preserve">As a simple illustrative example, consider a parallel system composed of two identical and independent components, each with a failure rate </w:t>
      </w:r>
      <m:oMath>
        <m:r>
          <m:rPr>
            <m:sty m:val="p"/>
          </m:rPr>
          <w:rPr>
            <w:rFonts w:ascii="Cambria Math" w:eastAsia="Times New Roman" w:hAnsi="Cambria Math" w:cs="Times New Roman"/>
            <w:color w:val="000000"/>
            <w:sz w:val="24"/>
            <w:szCs w:val="24"/>
          </w:rPr>
          <m:t>γ</m:t>
        </m:r>
      </m:oMath>
      <w:r w:rsidRPr="0033020A">
        <w:rPr>
          <w:rFonts w:ascii="Times New Roman" w:eastAsia="Times New Roman" w:hAnsi="Times New Roman" w:cs="Times New Roman"/>
          <w:color w:val="000000"/>
          <w:sz w:val="24"/>
          <w:szCs w:val="24"/>
        </w:rPr>
        <w:t xml:space="preserve"> and a repair rate</w:t>
      </w:r>
      <w:r w:rsidR="004E32A6">
        <w:rPr>
          <w:rFonts w:ascii="Times New Roman" w:eastAsia="Times New Roman" w:hAnsi="Times New Roman" w:cs="Times New Roman"/>
          <w:color w:val="000000"/>
          <w:sz w:val="24"/>
          <w:szCs w:val="24"/>
        </w:rPr>
        <w:t xml:space="preserve"> </w:t>
      </w:r>
      <m:oMath>
        <m:r>
          <m:rPr>
            <m:sty m:val="p"/>
          </m:rPr>
          <w:rPr>
            <w:rFonts w:ascii="Cambria Math" w:eastAsia="Times New Roman" w:hAnsi="Cambria Math" w:cs="Times New Roman"/>
            <w:color w:val="000000"/>
            <w:sz w:val="24"/>
            <w:szCs w:val="24"/>
          </w:rPr>
          <m:t>μ</m:t>
        </m:r>
      </m:oMath>
      <w:r w:rsidRPr="0033020A">
        <w:rPr>
          <w:rFonts w:ascii="Times New Roman" w:eastAsia="Times New Roman" w:hAnsi="Times New Roman" w:cs="Times New Roman"/>
          <w:color w:val="000000"/>
          <w:sz w:val="24"/>
          <w:szCs w:val="24"/>
        </w:rPr>
        <w:t xml:space="preserve">. The system can exist in one of three states: both components operational (state 2), one component failed (state 1), or both failed (state 0). Assuming that only one component can be repaired at a time, the system </w:t>
      </w:r>
      <w:r w:rsidRPr="0033020A">
        <w:rPr>
          <w:rFonts w:ascii="Times New Roman" w:eastAsia="Times New Roman" w:hAnsi="Times New Roman" w:cs="Times New Roman"/>
          <w:color w:val="000000"/>
          <w:sz w:val="24"/>
          <w:szCs w:val="24"/>
        </w:rPr>
        <w:lastRenderedPageBreak/>
        <w:t>transitions between these states at rates derived from the failure and repair parameters. The associated transition rate matrix allows for the evaluation of metrics such as availability and mean time to failure.</w:t>
      </w:r>
      <w:r w:rsidR="003B45BA">
        <w:rPr>
          <w:rFonts w:ascii="Times New Roman" w:eastAsia="Times New Roman" w:hAnsi="Times New Roman" w:cs="Times New Roman"/>
          <w:color w:val="000000"/>
          <w:sz w:val="24"/>
          <w:szCs w:val="24"/>
        </w:rPr>
        <w:t xml:space="preserve"> These methods</w:t>
      </w:r>
      <w:r w:rsidR="00290ED2">
        <w:rPr>
          <w:rFonts w:ascii="Times New Roman" w:eastAsia="Times New Roman" w:hAnsi="Times New Roman" w:cs="Times New Roman"/>
          <w:color w:val="000000"/>
          <w:sz w:val="24"/>
          <w:szCs w:val="24"/>
        </w:rPr>
        <w:t xml:space="preserve"> can be </w:t>
      </w:r>
      <w:r w:rsidR="0005228B">
        <w:rPr>
          <w:rFonts w:ascii="Times New Roman" w:eastAsia="Times New Roman" w:hAnsi="Times New Roman" w:cs="Times New Roman"/>
          <w:color w:val="000000"/>
          <w:sz w:val="24"/>
          <w:szCs w:val="24"/>
        </w:rPr>
        <w:t>implemented</w:t>
      </w:r>
      <w:r w:rsidR="00290ED2">
        <w:rPr>
          <w:rFonts w:ascii="Times New Roman" w:eastAsia="Times New Roman" w:hAnsi="Times New Roman" w:cs="Times New Roman"/>
          <w:color w:val="000000"/>
          <w:sz w:val="24"/>
          <w:szCs w:val="24"/>
        </w:rPr>
        <w:t xml:space="preserve"> to estimate the reliability for the </w:t>
      </w:r>
      <w:r w:rsidR="001C430F">
        <w:rPr>
          <w:rFonts w:ascii="Times New Roman" w:eastAsia="Times New Roman" w:hAnsi="Times New Roman" w:cs="Times New Roman"/>
          <w:color w:val="000000"/>
          <w:sz w:val="24"/>
          <w:szCs w:val="24"/>
        </w:rPr>
        <w:t xml:space="preserve">tests unites of </w:t>
      </w:r>
      <w:r w:rsidR="00216588">
        <w:rPr>
          <w:rFonts w:ascii="Times New Roman" w:eastAsia="Times New Roman" w:hAnsi="Times New Roman" w:cs="Times New Roman"/>
          <w:color w:val="000000"/>
          <w:sz w:val="24"/>
          <w:szCs w:val="24"/>
        </w:rPr>
        <w:t>UTEE</w:t>
      </w:r>
      <w:r w:rsidR="001C430F">
        <w:rPr>
          <w:rFonts w:ascii="Times New Roman" w:eastAsia="Times New Roman" w:hAnsi="Times New Roman" w:cs="Times New Roman"/>
          <w:color w:val="000000"/>
          <w:sz w:val="24"/>
          <w:szCs w:val="24"/>
        </w:rPr>
        <w:t>.</w:t>
      </w:r>
    </w:p>
    <w:p w14:paraId="0F724DE8" w14:textId="77777777" w:rsidR="0033020A" w:rsidRDefault="0033020A" w:rsidP="0033020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4749BC1" w14:textId="1A92C8FD" w:rsidR="00837EA3" w:rsidRPr="00837EA3" w:rsidRDefault="009502AE" w:rsidP="0033020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w:t>
      </w:r>
      <w:r w:rsidR="00837EA3">
        <w:rPr>
          <w:rFonts w:ascii="Times New Roman" w:eastAsia="Times New Roman" w:hAnsi="Times New Roman" w:cs="Times New Roman"/>
          <w:b/>
          <w:color w:val="000000"/>
          <w:sz w:val="24"/>
          <w:szCs w:val="24"/>
        </w:rPr>
        <w:t xml:space="preserve"> </w:t>
      </w:r>
      <w:r w:rsidR="00837EA3" w:rsidRPr="00B575EC">
        <w:rPr>
          <w:rFonts w:ascii="Times New Roman" w:eastAsia="Times New Roman" w:hAnsi="Times New Roman" w:cs="Times New Roman"/>
          <w:b/>
          <w:color w:val="000000"/>
          <w:sz w:val="24"/>
          <w:szCs w:val="24"/>
        </w:rPr>
        <w:t>Reliability</w:t>
      </w:r>
      <w:r w:rsidR="00837EA3">
        <w:rPr>
          <w:rFonts w:ascii="Times New Roman" w:eastAsia="Times New Roman" w:hAnsi="Times New Roman" w:cs="Times New Roman"/>
          <w:b/>
          <w:color w:val="000000"/>
          <w:sz w:val="24"/>
          <w:szCs w:val="24"/>
        </w:rPr>
        <w:t xml:space="preserve"> Data</w:t>
      </w:r>
    </w:p>
    <w:p w14:paraId="0E38EFDA" w14:textId="3AE3B5F1" w:rsidR="009C3276" w:rsidRPr="009C3276" w:rsidRDefault="009C3276" w:rsidP="003066B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C3276">
        <w:rPr>
          <w:rFonts w:ascii="Times New Roman" w:eastAsia="Times New Roman" w:hAnsi="Times New Roman" w:cs="Times New Roman"/>
          <w:color w:val="000000"/>
          <w:sz w:val="24"/>
          <w:szCs w:val="24"/>
        </w:rPr>
        <w:t>Reliability databases are structured repositories that aggregate information about failures, performance, and the service life of components and equipment across various industrial sectors. These databases are essential tools for reliability engineers, enabling statistical analysis of failure patterns, risk assessment, and the estimation of useful life for equipment and systems. Data can originate from field observations or laboratory testing, and support the development of predictive models, the optimization of preventive and corrective maintenance strategies, and compliance with safety and performance standards.</w:t>
      </w:r>
    </w:p>
    <w:p w14:paraId="3956471A" w14:textId="77777777" w:rsidR="009C3276" w:rsidRPr="009C3276" w:rsidRDefault="009C3276" w:rsidP="009C327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9749866" w14:textId="4599112D" w:rsidR="00C054F5" w:rsidRDefault="009C3276" w:rsidP="009C327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C3276">
        <w:rPr>
          <w:rFonts w:ascii="Times New Roman" w:eastAsia="Times New Roman" w:hAnsi="Times New Roman" w:cs="Times New Roman"/>
          <w:color w:val="000000"/>
          <w:sz w:val="24"/>
          <w:szCs w:val="24"/>
        </w:rPr>
        <w:t xml:space="preserve">The primary contribution of OREDA lies in enhancing the safety, cost-efficiency, and operational effectiveness of oil and gas production units. This is achieved by enabling shared access to reliability and maintenance data among participating companies. As of today, the OREDA database includes data from over 300 installations, covering more than 18,000 equipment units, 43,000 failure events, and 80,000 maintenance records. For subsea </w:t>
      </w:r>
      <w:r w:rsidRPr="009C3276">
        <w:rPr>
          <w:rFonts w:ascii="Times New Roman" w:eastAsia="Times New Roman" w:hAnsi="Times New Roman" w:cs="Times New Roman"/>
          <w:color w:val="000000"/>
          <w:sz w:val="24"/>
          <w:szCs w:val="24"/>
        </w:rPr>
        <w:t>equipment, it contains data from 170 installations, 3,000 equipment units, 63,000 components, and over 3,000 failure records.</w:t>
      </w:r>
    </w:p>
    <w:p w14:paraId="172FD2F9" w14:textId="19C52CF2" w:rsidR="00C054F5" w:rsidRDefault="009502AE" w:rsidP="00C054F5">
      <w:pPr>
        <w:pBdr>
          <w:top w:val="nil"/>
          <w:left w:val="nil"/>
          <w:bottom w:val="nil"/>
          <w:right w:val="nil"/>
          <w:between w:val="nil"/>
        </w:pBdr>
        <w:spacing w:before="220" w:after="10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sidR="00C054F5">
        <w:rPr>
          <w:rFonts w:ascii="Times New Roman" w:eastAsia="Times New Roman" w:hAnsi="Times New Roman" w:cs="Times New Roman"/>
          <w:b/>
          <w:color w:val="000000"/>
          <w:sz w:val="24"/>
          <w:szCs w:val="24"/>
        </w:rPr>
        <w:t>.</w:t>
      </w:r>
      <w:r w:rsidR="002F35F5">
        <w:rPr>
          <w:rFonts w:ascii="Times New Roman" w:eastAsia="Times New Roman" w:hAnsi="Times New Roman" w:cs="Times New Roman"/>
          <w:b/>
          <w:color w:val="000000"/>
          <w:sz w:val="24"/>
          <w:szCs w:val="24"/>
        </w:rPr>
        <w:t xml:space="preserve"> </w:t>
      </w:r>
      <w:r w:rsidR="00C054F5">
        <w:rPr>
          <w:rFonts w:ascii="Times New Roman" w:eastAsia="Times New Roman" w:hAnsi="Times New Roman" w:cs="Times New Roman"/>
          <w:b/>
          <w:color w:val="000000"/>
          <w:sz w:val="24"/>
          <w:szCs w:val="24"/>
        </w:rPr>
        <w:t>Discussion</w:t>
      </w:r>
    </w:p>
    <w:p w14:paraId="7CDCA71D" w14:textId="75A5C37C" w:rsidR="00067349" w:rsidRPr="00067349" w:rsidRDefault="00067349" w:rsidP="0006734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067349">
        <w:rPr>
          <w:rFonts w:ascii="Times New Roman" w:eastAsia="Times New Roman" w:hAnsi="Times New Roman" w:cs="Times New Roman"/>
          <w:color w:val="000000"/>
          <w:sz w:val="24"/>
          <w:szCs w:val="24"/>
        </w:rPr>
        <w:t xml:space="preserve">This study outlines a structured approach for investigating the reliability of </w:t>
      </w:r>
      <w:r w:rsidR="003066B7">
        <w:rPr>
          <w:rFonts w:ascii="Times New Roman" w:eastAsia="Times New Roman" w:hAnsi="Times New Roman" w:cs="Times New Roman"/>
          <w:color w:val="000000"/>
          <w:sz w:val="24"/>
          <w:szCs w:val="24"/>
        </w:rPr>
        <w:t>GLV and CIV</w:t>
      </w:r>
      <w:r w:rsidRPr="00067349">
        <w:rPr>
          <w:rFonts w:ascii="Times New Roman" w:eastAsia="Times New Roman" w:hAnsi="Times New Roman" w:cs="Times New Roman"/>
          <w:color w:val="000000"/>
          <w:sz w:val="24"/>
          <w:szCs w:val="24"/>
        </w:rPr>
        <w:t xml:space="preserve">, with particular attention to the influence of test units used during qualification and operation. While the analyses have not yet been conducted, the conceptual framework proposed integrates foundational reliability engineering principles, failure mode characterization, and system-level modeling through techniques such as </w:t>
      </w:r>
      <w:r w:rsidR="003066B7">
        <w:rPr>
          <w:rFonts w:ascii="Times New Roman" w:eastAsia="Times New Roman" w:hAnsi="Times New Roman" w:cs="Times New Roman"/>
          <w:color w:val="000000"/>
          <w:sz w:val="24"/>
          <w:szCs w:val="24"/>
        </w:rPr>
        <w:t>FTA</w:t>
      </w:r>
      <w:r w:rsidRPr="00067349">
        <w:rPr>
          <w:rFonts w:ascii="Times New Roman" w:eastAsia="Times New Roman" w:hAnsi="Times New Roman" w:cs="Times New Roman"/>
          <w:color w:val="000000"/>
          <w:sz w:val="24"/>
          <w:szCs w:val="24"/>
        </w:rPr>
        <w:t xml:space="preserve"> and Markov processes. By bridging component-level behavior with system-level performance, this work emphasizes the importance of understanding how testing procedures and auxiliary systems affect the perceived and actual reliability of subsea valves.</w:t>
      </w:r>
    </w:p>
    <w:p w14:paraId="2BA9E170" w14:textId="77777777" w:rsidR="00C91D8E" w:rsidRDefault="00C91D8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4970CF70" w14:textId="5A54B32D" w:rsidR="00C91D8E" w:rsidRDefault="00000000" w:rsidP="00345CF3">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5A9ACF6B" w14:textId="77777777" w:rsidR="00345CF3" w:rsidRPr="00345CF3" w:rsidRDefault="00345CF3" w:rsidP="00345CF3">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p>
    <w:p w14:paraId="56E6E9C4" w14:textId="77777777" w:rsidR="0072782D" w:rsidRPr="0072782D" w:rsidRDefault="004C40EE" w:rsidP="008626C5">
      <w:pPr>
        <w:pStyle w:val="Bibliografia"/>
        <w:jc w:val="both"/>
        <w:rPr>
          <w:rFonts w:ascii="Times New Roman" w:hAnsi="Times New Roman" w:cs="Times New Roman"/>
          <w:sz w:val="20"/>
        </w:rPr>
      </w:pPr>
      <w:r w:rsidRPr="007C6EBC">
        <w:rPr>
          <w:rFonts w:eastAsia="Times New Roman"/>
          <w:color w:val="000000"/>
          <w:sz w:val="20"/>
          <w:szCs w:val="20"/>
        </w:rPr>
        <w:fldChar w:fldCharType="begin"/>
      </w:r>
      <w:r w:rsidRPr="007C6EBC">
        <w:rPr>
          <w:rFonts w:eastAsia="Times New Roman"/>
          <w:color w:val="000000"/>
          <w:sz w:val="20"/>
          <w:szCs w:val="20"/>
        </w:rPr>
        <w:instrText xml:space="preserve"> ADDIN ZOTERO_BIBL {"uncited":[],"omitted":[],"custom":[]} CSL_BIBLIOGRAPHY </w:instrText>
      </w:r>
      <w:r w:rsidRPr="007C6EBC">
        <w:rPr>
          <w:rFonts w:eastAsia="Times New Roman"/>
          <w:color w:val="000000"/>
          <w:sz w:val="20"/>
          <w:szCs w:val="20"/>
        </w:rPr>
        <w:fldChar w:fldCharType="separate"/>
      </w:r>
      <w:r w:rsidR="0072782D" w:rsidRPr="0072782D">
        <w:rPr>
          <w:rFonts w:ascii="Times New Roman" w:hAnsi="Times New Roman" w:cs="Times New Roman"/>
          <w:sz w:val="20"/>
        </w:rPr>
        <w:t>1.</w:t>
      </w:r>
      <w:r w:rsidR="0072782D" w:rsidRPr="0072782D">
        <w:rPr>
          <w:rFonts w:ascii="Times New Roman" w:hAnsi="Times New Roman" w:cs="Times New Roman"/>
          <w:sz w:val="20"/>
        </w:rPr>
        <w:tab/>
        <w:t xml:space="preserve">Agência Nacional do Petróleo, Gás Natural e Biocombustíveis. </w:t>
      </w:r>
      <w:r w:rsidR="0072782D" w:rsidRPr="00906729">
        <w:rPr>
          <w:rFonts w:ascii="Times New Roman" w:hAnsi="Times New Roman" w:cs="Times New Roman"/>
          <w:i/>
          <w:iCs/>
          <w:sz w:val="20"/>
        </w:rPr>
        <w:t>Dados Abertos</w:t>
      </w:r>
      <w:r w:rsidR="0072782D" w:rsidRPr="0072782D">
        <w:rPr>
          <w:rFonts w:ascii="Times New Roman" w:hAnsi="Times New Roman" w:cs="Times New Roman"/>
          <w:sz w:val="20"/>
        </w:rPr>
        <w:t xml:space="preserve"> [Internet]. 2025. Available from: https://www.gov.br/anp/pt-br/centrais-de-conteudo/dados-abertos</w:t>
      </w:r>
    </w:p>
    <w:p w14:paraId="73A2EA67" w14:textId="77777777" w:rsidR="0072782D" w:rsidRPr="0072782D" w:rsidRDefault="0072782D" w:rsidP="008626C5">
      <w:pPr>
        <w:pStyle w:val="Bibliografia"/>
        <w:jc w:val="both"/>
        <w:rPr>
          <w:rFonts w:ascii="Times New Roman" w:hAnsi="Times New Roman" w:cs="Times New Roman"/>
          <w:sz w:val="20"/>
        </w:rPr>
      </w:pPr>
      <w:r w:rsidRPr="0072782D">
        <w:rPr>
          <w:rFonts w:ascii="Times New Roman" w:hAnsi="Times New Roman" w:cs="Times New Roman"/>
          <w:sz w:val="20"/>
        </w:rPr>
        <w:t>2.</w:t>
      </w:r>
      <w:r w:rsidRPr="0072782D">
        <w:rPr>
          <w:rFonts w:ascii="Times New Roman" w:hAnsi="Times New Roman" w:cs="Times New Roman"/>
          <w:sz w:val="20"/>
        </w:rPr>
        <w:tab/>
        <w:t xml:space="preserve">Takács G. </w:t>
      </w:r>
      <w:r w:rsidRPr="00906729">
        <w:rPr>
          <w:rFonts w:ascii="Times New Roman" w:hAnsi="Times New Roman" w:cs="Times New Roman"/>
          <w:i/>
          <w:iCs/>
          <w:sz w:val="20"/>
        </w:rPr>
        <w:t>Gas lift manual</w:t>
      </w:r>
      <w:r w:rsidRPr="0072782D">
        <w:rPr>
          <w:rFonts w:ascii="Times New Roman" w:hAnsi="Times New Roman" w:cs="Times New Roman"/>
          <w:sz w:val="20"/>
        </w:rPr>
        <w:t xml:space="preserve">. Tulsa, Okla: PennWell; 2005. 478 p. </w:t>
      </w:r>
    </w:p>
    <w:p w14:paraId="4C0773CB" w14:textId="77777777" w:rsidR="0072782D" w:rsidRPr="0072782D" w:rsidRDefault="0072782D" w:rsidP="008626C5">
      <w:pPr>
        <w:pStyle w:val="Bibliografia"/>
        <w:jc w:val="both"/>
        <w:rPr>
          <w:rFonts w:ascii="Times New Roman" w:hAnsi="Times New Roman" w:cs="Times New Roman"/>
          <w:sz w:val="20"/>
        </w:rPr>
      </w:pPr>
      <w:r w:rsidRPr="0072782D">
        <w:rPr>
          <w:rFonts w:ascii="Times New Roman" w:hAnsi="Times New Roman" w:cs="Times New Roman"/>
          <w:sz w:val="20"/>
        </w:rPr>
        <w:t>3.</w:t>
      </w:r>
      <w:r w:rsidRPr="0072782D">
        <w:rPr>
          <w:rFonts w:ascii="Times New Roman" w:hAnsi="Times New Roman" w:cs="Times New Roman"/>
          <w:sz w:val="20"/>
        </w:rPr>
        <w:tab/>
        <w:t>US Chemical Safety,</w:t>
      </w:r>
      <w:r w:rsidRPr="00906729">
        <w:rPr>
          <w:rFonts w:ascii="Times New Roman" w:hAnsi="Times New Roman" w:cs="Times New Roman"/>
          <w:i/>
          <w:iCs/>
          <w:sz w:val="20"/>
        </w:rPr>
        <w:t xml:space="preserve"> Hazard Investigation Board. Macondo Investigation Report</w:t>
      </w:r>
      <w:r w:rsidRPr="0072782D">
        <w:rPr>
          <w:rFonts w:ascii="Times New Roman" w:hAnsi="Times New Roman" w:cs="Times New Roman"/>
          <w:sz w:val="20"/>
        </w:rPr>
        <w:t xml:space="preserve">. CSB; 2016. </w:t>
      </w:r>
    </w:p>
    <w:p w14:paraId="54F20EAF" w14:textId="77777777" w:rsidR="0072782D" w:rsidRPr="0072782D" w:rsidRDefault="0072782D" w:rsidP="008626C5">
      <w:pPr>
        <w:pStyle w:val="Bibliografia"/>
        <w:jc w:val="both"/>
        <w:rPr>
          <w:rFonts w:ascii="Times New Roman" w:hAnsi="Times New Roman" w:cs="Times New Roman"/>
          <w:sz w:val="20"/>
        </w:rPr>
      </w:pPr>
      <w:r w:rsidRPr="0072782D">
        <w:rPr>
          <w:rFonts w:ascii="Times New Roman" w:hAnsi="Times New Roman" w:cs="Times New Roman"/>
          <w:sz w:val="20"/>
        </w:rPr>
        <w:t>4.</w:t>
      </w:r>
      <w:r w:rsidRPr="0072782D">
        <w:rPr>
          <w:rFonts w:ascii="Times New Roman" w:hAnsi="Times New Roman" w:cs="Times New Roman"/>
          <w:sz w:val="20"/>
        </w:rPr>
        <w:tab/>
        <w:t>Modarres M, Kaminskiy M, Krivtsov V.</w:t>
      </w:r>
      <w:r w:rsidRPr="00906729">
        <w:rPr>
          <w:rFonts w:ascii="Times New Roman" w:hAnsi="Times New Roman" w:cs="Times New Roman"/>
          <w:i/>
          <w:iCs/>
          <w:sz w:val="20"/>
        </w:rPr>
        <w:t xml:space="preserve"> Reliability engineering and risk analysis: a practical guide. Third edition</w:t>
      </w:r>
      <w:r w:rsidRPr="0072782D">
        <w:rPr>
          <w:rFonts w:ascii="Times New Roman" w:hAnsi="Times New Roman" w:cs="Times New Roman"/>
          <w:sz w:val="20"/>
        </w:rPr>
        <w:t xml:space="preserve">. Boca Raton, FL: CRC Press; 2017. 1 p. </w:t>
      </w:r>
    </w:p>
    <w:p w14:paraId="652A248A" w14:textId="77777777" w:rsidR="0072782D" w:rsidRPr="0072782D" w:rsidRDefault="0072782D" w:rsidP="008626C5">
      <w:pPr>
        <w:pStyle w:val="Bibliografia"/>
        <w:jc w:val="both"/>
        <w:rPr>
          <w:rFonts w:ascii="Times New Roman" w:hAnsi="Times New Roman" w:cs="Times New Roman"/>
          <w:sz w:val="20"/>
        </w:rPr>
      </w:pPr>
      <w:r w:rsidRPr="0072782D">
        <w:rPr>
          <w:rFonts w:ascii="Times New Roman" w:hAnsi="Times New Roman" w:cs="Times New Roman"/>
          <w:sz w:val="20"/>
        </w:rPr>
        <w:t>5.</w:t>
      </w:r>
      <w:r w:rsidRPr="0072782D">
        <w:rPr>
          <w:rFonts w:ascii="Times New Roman" w:hAnsi="Times New Roman" w:cs="Times New Roman"/>
          <w:sz w:val="20"/>
        </w:rPr>
        <w:tab/>
        <w:t xml:space="preserve">Kirwan B. </w:t>
      </w:r>
      <w:r w:rsidRPr="00906729">
        <w:rPr>
          <w:rFonts w:ascii="Times New Roman" w:hAnsi="Times New Roman" w:cs="Times New Roman"/>
          <w:i/>
          <w:iCs/>
          <w:sz w:val="20"/>
        </w:rPr>
        <w:t>A Guide To Practical Human Reliability Assessment</w:t>
      </w:r>
      <w:r w:rsidRPr="0072782D">
        <w:rPr>
          <w:rFonts w:ascii="Times New Roman" w:hAnsi="Times New Roman" w:cs="Times New Roman"/>
          <w:sz w:val="20"/>
        </w:rPr>
        <w:t xml:space="preserve">. 2017. </w:t>
      </w:r>
    </w:p>
    <w:p w14:paraId="1CC8C197" w14:textId="77777777" w:rsidR="0072782D" w:rsidRPr="0072782D" w:rsidRDefault="0072782D" w:rsidP="008626C5">
      <w:pPr>
        <w:pStyle w:val="Bibliografia"/>
        <w:jc w:val="both"/>
        <w:rPr>
          <w:rFonts w:ascii="Times New Roman" w:hAnsi="Times New Roman" w:cs="Times New Roman"/>
          <w:sz w:val="20"/>
        </w:rPr>
      </w:pPr>
      <w:r w:rsidRPr="0072782D">
        <w:rPr>
          <w:rFonts w:ascii="Times New Roman" w:hAnsi="Times New Roman" w:cs="Times New Roman"/>
          <w:sz w:val="20"/>
        </w:rPr>
        <w:lastRenderedPageBreak/>
        <w:t>6.</w:t>
      </w:r>
      <w:r w:rsidRPr="0072782D">
        <w:rPr>
          <w:rFonts w:ascii="Times New Roman" w:hAnsi="Times New Roman" w:cs="Times New Roman"/>
          <w:sz w:val="20"/>
        </w:rPr>
        <w:tab/>
        <w:t>ABNT.</w:t>
      </w:r>
      <w:r w:rsidRPr="00906729">
        <w:rPr>
          <w:rFonts w:ascii="Times New Roman" w:hAnsi="Times New Roman" w:cs="Times New Roman"/>
          <w:i/>
          <w:iCs/>
          <w:sz w:val="20"/>
        </w:rPr>
        <w:t xml:space="preserve"> Indústrias de Petróleo e Gás Natural - Coleta e intercâmbio de dados de confiabilidade e manutenção para equipamentos</w:t>
      </w:r>
      <w:r w:rsidRPr="0072782D">
        <w:rPr>
          <w:rFonts w:ascii="Times New Roman" w:hAnsi="Times New Roman" w:cs="Times New Roman"/>
          <w:sz w:val="20"/>
        </w:rPr>
        <w:t xml:space="preserve">. Abnt; 2011. </w:t>
      </w:r>
    </w:p>
    <w:p w14:paraId="5CB77035" w14:textId="77777777" w:rsidR="0072782D" w:rsidRPr="0072782D" w:rsidRDefault="0072782D" w:rsidP="008626C5">
      <w:pPr>
        <w:pStyle w:val="Bibliografia"/>
        <w:jc w:val="both"/>
        <w:rPr>
          <w:rFonts w:ascii="Times New Roman" w:hAnsi="Times New Roman" w:cs="Times New Roman"/>
          <w:sz w:val="20"/>
        </w:rPr>
      </w:pPr>
      <w:r w:rsidRPr="0072782D">
        <w:rPr>
          <w:rFonts w:ascii="Times New Roman" w:hAnsi="Times New Roman" w:cs="Times New Roman"/>
          <w:sz w:val="20"/>
        </w:rPr>
        <w:t>7.</w:t>
      </w:r>
      <w:r w:rsidRPr="0072782D">
        <w:rPr>
          <w:rFonts w:ascii="Times New Roman" w:hAnsi="Times New Roman" w:cs="Times New Roman"/>
          <w:sz w:val="20"/>
        </w:rPr>
        <w:tab/>
        <w:t xml:space="preserve">Rausand M, Barros A, Høyland A. </w:t>
      </w:r>
      <w:r w:rsidRPr="00906729">
        <w:rPr>
          <w:rFonts w:ascii="Times New Roman" w:hAnsi="Times New Roman" w:cs="Times New Roman"/>
          <w:i/>
          <w:iCs/>
          <w:sz w:val="20"/>
        </w:rPr>
        <w:t>System reliability theory: models, statistical methods, and applications</w:t>
      </w:r>
      <w:r w:rsidRPr="0072782D">
        <w:rPr>
          <w:rFonts w:ascii="Times New Roman" w:hAnsi="Times New Roman" w:cs="Times New Roman"/>
          <w:sz w:val="20"/>
        </w:rPr>
        <w:t xml:space="preserve">. Third edition. Hoboken, NJ: Wiley; 2021. 813 p. (Wiley series in probability and statistics). </w:t>
      </w:r>
    </w:p>
    <w:p w14:paraId="04587D7F" w14:textId="77777777" w:rsidR="0072782D" w:rsidRPr="0072782D" w:rsidRDefault="0072782D" w:rsidP="008626C5">
      <w:pPr>
        <w:pStyle w:val="Bibliografia"/>
        <w:jc w:val="both"/>
        <w:rPr>
          <w:rFonts w:ascii="Times New Roman" w:hAnsi="Times New Roman" w:cs="Times New Roman"/>
          <w:sz w:val="20"/>
        </w:rPr>
      </w:pPr>
      <w:r w:rsidRPr="0072782D">
        <w:rPr>
          <w:rFonts w:ascii="Times New Roman" w:hAnsi="Times New Roman" w:cs="Times New Roman"/>
          <w:sz w:val="20"/>
        </w:rPr>
        <w:t>8.</w:t>
      </w:r>
      <w:r w:rsidRPr="0072782D">
        <w:rPr>
          <w:rFonts w:ascii="Times New Roman" w:hAnsi="Times New Roman" w:cs="Times New Roman"/>
          <w:sz w:val="20"/>
        </w:rPr>
        <w:tab/>
        <w:t xml:space="preserve">Mendes R. </w:t>
      </w:r>
      <w:r w:rsidRPr="00906729">
        <w:rPr>
          <w:rFonts w:ascii="Times New Roman" w:hAnsi="Times New Roman" w:cs="Times New Roman"/>
          <w:i/>
          <w:iCs/>
          <w:sz w:val="20"/>
        </w:rPr>
        <w:t>The Concept of OREDA on Data Treatment for Equipment</w:t>
      </w:r>
      <w:r w:rsidRPr="0072782D">
        <w:rPr>
          <w:rFonts w:ascii="Times New Roman" w:hAnsi="Times New Roman" w:cs="Times New Roman"/>
          <w:sz w:val="20"/>
        </w:rPr>
        <w:t xml:space="preserve">. 2017. </w:t>
      </w:r>
    </w:p>
    <w:p w14:paraId="51D31540" w14:textId="77777777" w:rsidR="0072782D" w:rsidRPr="0072782D" w:rsidRDefault="0072782D" w:rsidP="008626C5">
      <w:pPr>
        <w:pStyle w:val="Bibliografia"/>
        <w:jc w:val="both"/>
        <w:rPr>
          <w:rFonts w:ascii="Times New Roman" w:hAnsi="Times New Roman" w:cs="Times New Roman"/>
          <w:sz w:val="20"/>
        </w:rPr>
      </w:pPr>
      <w:r w:rsidRPr="0072782D">
        <w:rPr>
          <w:rFonts w:ascii="Times New Roman" w:hAnsi="Times New Roman" w:cs="Times New Roman"/>
          <w:sz w:val="20"/>
        </w:rPr>
        <w:t>9.</w:t>
      </w:r>
      <w:r w:rsidRPr="0072782D">
        <w:rPr>
          <w:rFonts w:ascii="Times New Roman" w:hAnsi="Times New Roman" w:cs="Times New Roman"/>
          <w:sz w:val="20"/>
        </w:rPr>
        <w:tab/>
        <w:t xml:space="preserve">Gilbertson E, Hover F, Colina E. </w:t>
      </w:r>
      <w:r w:rsidRPr="00906729">
        <w:rPr>
          <w:rFonts w:ascii="Times New Roman" w:hAnsi="Times New Roman" w:cs="Times New Roman"/>
          <w:i/>
          <w:iCs/>
          <w:sz w:val="20"/>
        </w:rPr>
        <w:t>Failure Mode and Sensitivity Analysis of Gas Lift Valves</w:t>
      </w:r>
      <w:r w:rsidRPr="0072782D">
        <w:rPr>
          <w:rFonts w:ascii="Times New Roman" w:hAnsi="Times New Roman" w:cs="Times New Roman"/>
          <w:sz w:val="20"/>
        </w:rPr>
        <w:t>. In American Society of Mechanical Engineers Digital Collection; 2010 [cited 2025 Jan 21]. p. 305–14. Available from: https://dx.doi.org/10.1115/OMAE2010-20343</w:t>
      </w:r>
    </w:p>
    <w:p w14:paraId="29E32738" w14:textId="77777777" w:rsidR="0072782D" w:rsidRPr="0072782D" w:rsidRDefault="0072782D" w:rsidP="008626C5">
      <w:pPr>
        <w:pStyle w:val="Bibliografia"/>
        <w:jc w:val="both"/>
        <w:rPr>
          <w:rFonts w:ascii="Times New Roman" w:hAnsi="Times New Roman" w:cs="Times New Roman"/>
          <w:sz w:val="20"/>
        </w:rPr>
      </w:pPr>
      <w:r w:rsidRPr="0072782D">
        <w:rPr>
          <w:rFonts w:ascii="Times New Roman" w:hAnsi="Times New Roman" w:cs="Times New Roman"/>
          <w:sz w:val="20"/>
        </w:rPr>
        <w:t>10.</w:t>
      </w:r>
      <w:r w:rsidRPr="0072782D">
        <w:rPr>
          <w:rFonts w:ascii="Times New Roman" w:hAnsi="Times New Roman" w:cs="Times New Roman"/>
          <w:sz w:val="20"/>
        </w:rPr>
        <w:tab/>
        <w:t xml:space="preserve">Hustad BM, Svela OG, Olsen JH, Ramstad K, Tjomsland T. </w:t>
      </w:r>
      <w:r w:rsidRPr="00906729">
        <w:rPr>
          <w:rFonts w:ascii="Times New Roman" w:hAnsi="Times New Roman" w:cs="Times New Roman"/>
          <w:i/>
          <w:iCs/>
          <w:sz w:val="20"/>
        </w:rPr>
        <w:t>Downhole Chemical Injection Lines - Why Do They Fail? Experiences, Challenges and Application of New Test Methods</w:t>
      </w:r>
      <w:r w:rsidRPr="0072782D">
        <w:rPr>
          <w:rFonts w:ascii="Times New Roman" w:hAnsi="Times New Roman" w:cs="Times New Roman"/>
          <w:sz w:val="20"/>
        </w:rPr>
        <w:t>. In: SPE International Conference on Oilfield Scale [Internet]. Aberdeen, UK: SPE; 2012 [cited 2025 Feb 12]. p. SPE-154967-MS. Available from: https://onepetro.org/SPEOSS/proceedings/12OSS/12OSS/SPE-154967-MS/158149</w:t>
      </w:r>
    </w:p>
    <w:p w14:paraId="0A646990" w14:textId="77777777" w:rsidR="0072782D" w:rsidRPr="0072782D" w:rsidRDefault="0072782D" w:rsidP="008626C5">
      <w:pPr>
        <w:pStyle w:val="Bibliografia"/>
        <w:jc w:val="both"/>
        <w:rPr>
          <w:rFonts w:ascii="Times New Roman" w:hAnsi="Times New Roman" w:cs="Times New Roman"/>
          <w:sz w:val="20"/>
        </w:rPr>
      </w:pPr>
      <w:r w:rsidRPr="0072782D">
        <w:rPr>
          <w:rFonts w:ascii="Times New Roman" w:hAnsi="Times New Roman" w:cs="Times New Roman"/>
          <w:sz w:val="20"/>
        </w:rPr>
        <w:t>11.</w:t>
      </w:r>
      <w:r w:rsidRPr="0072782D">
        <w:rPr>
          <w:rFonts w:ascii="Times New Roman" w:hAnsi="Times New Roman" w:cs="Times New Roman"/>
          <w:sz w:val="20"/>
        </w:rPr>
        <w:tab/>
        <w:t xml:space="preserve">Stamatelatos M, Vesely W, Dugan J, Fragola J, Minarick J. </w:t>
      </w:r>
      <w:r w:rsidRPr="00345CF3">
        <w:rPr>
          <w:rFonts w:ascii="Times New Roman" w:hAnsi="Times New Roman" w:cs="Times New Roman"/>
          <w:i/>
          <w:iCs/>
          <w:sz w:val="20"/>
        </w:rPr>
        <w:t>Fault Tree Handbook with Aerospace Applications</w:t>
      </w:r>
      <w:r w:rsidRPr="0072782D">
        <w:rPr>
          <w:rFonts w:ascii="Times New Roman" w:hAnsi="Times New Roman" w:cs="Times New Roman"/>
          <w:sz w:val="20"/>
        </w:rPr>
        <w:t xml:space="preserve">. 2002. (NASA). </w:t>
      </w:r>
    </w:p>
    <w:p w14:paraId="49326119" w14:textId="77777777" w:rsidR="0072782D" w:rsidRPr="0072782D" w:rsidRDefault="0072782D" w:rsidP="008626C5">
      <w:pPr>
        <w:pStyle w:val="Bibliografia"/>
        <w:jc w:val="both"/>
        <w:rPr>
          <w:rFonts w:ascii="Times New Roman" w:hAnsi="Times New Roman" w:cs="Times New Roman"/>
          <w:sz w:val="20"/>
        </w:rPr>
      </w:pPr>
      <w:r w:rsidRPr="0072782D">
        <w:rPr>
          <w:rFonts w:ascii="Times New Roman" w:hAnsi="Times New Roman" w:cs="Times New Roman"/>
          <w:sz w:val="20"/>
        </w:rPr>
        <w:t>12.</w:t>
      </w:r>
      <w:r w:rsidRPr="0072782D">
        <w:rPr>
          <w:rFonts w:ascii="Times New Roman" w:hAnsi="Times New Roman" w:cs="Times New Roman"/>
          <w:sz w:val="20"/>
        </w:rPr>
        <w:tab/>
        <w:t xml:space="preserve">Amin MdT, Khan F, Ahmed S, Imtiaz S. </w:t>
      </w:r>
      <w:r w:rsidRPr="00345CF3">
        <w:rPr>
          <w:rFonts w:ascii="Times New Roman" w:hAnsi="Times New Roman" w:cs="Times New Roman"/>
          <w:i/>
          <w:iCs/>
          <w:sz w:val="20"/>
        </w:rPr>
        <w:t>A data-driven Bayesian network learning method for process fault diagnosis</w:t>
      </w:r>
      <w:r w:rsidRPr="0072782D">
        <w:rPr>
          <w:rFonts w:ascii="Times New Roman" w:hAnsi="Times New Roman" w:cs="Times New Roman"/>
          <w:sz w:val="20"/>
        </w:rPr>
        <w:t xml:space="preserve">. Process Saf Environ Prot. 2021 June 1;150:110–22. </w:t>
      </w:r>
    </w:p>
    <w:p w14:paraId="07D2E75D" w14:textId="49244BEA" w:rsidR="00C91D8E" w:rsidRDefault="004C40EE" w:rsidP="00B248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7C6EBC">
        <w:rPr>
          <w:rFonts w:ascii="Times New Roman" w:eastAsia="Times New Roman" w:hAnsi="Times New Roman" w:cs="Times New Roman"/>
          <w:color w:val="000000"/>
          <w:sz w:val="20"/>
          <w:szCs w:val="20"/>
        </w:rPr>
        <w:fldChar w:fldCharType="end"/>
      </w:r>
    </w:p>
    <w:p w14:paraId="41028EEF" w14:textId="77777777" w:rsidR="00C91D8E" w:rsidRDefault="00C91D8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1A3250DA" w14:textId="77777777" w:rsidR="00C91D8E" w:rsidRDefault="00C91D8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sectPr w:rsidR="00C91D8E">
      <w:type w:val="continuous"/>
      <w:pgSz w:w="11907" w:h="16839"/>
      <w:pgMar w:top="1453" w:right="992" w:bottom="851" w:left="1134" w:header="720" w:footer="720" w:gutter="0"/>
      <w:cols w:num="2" w:space="720" w:equalWidth="0">
        <w:col w:w="4710" w:space="360"/>
        <w:col w:w="47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36E6" w14:textId="77777777" w:rsidR="00E34EBC" w:rsidRDefault="00E34EBC">
      <w:pPr>
        <w:spacing w:after="0"/>
      </w:pPr>
      <w:r>
        <w:separator/>
      </w:r>
    </w:p>
  </w:endnote>
  <w:endnote w:type="continuationSeparator" w:id="0">
    <w:p w14:paraId="7683F905" w14:textId="77777777" w:rsidR="00E34EBC" w:rsidRDefault="00E34E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dvOT9cb306be.B">
    <w:panose1 w:val="00000000000000000000"/>
    <w:charset w:val="00"/>
    <w:family w:val="roman"/>
    <w:notTrueType/>
    <w:pitch w:val="default"/>
  </w:font>
  <w:font w:name="AdvOT8910dd71">
    <w:panose1 w:val="00000000000000000000"/>
    <w:charset w:val="00"/>
    <w:family w:val="roman"/>
    <w:notTrueType/>
    <w:pitch w:val="default"/>
  </w:font>
  <w:font w:name="ヒラギノ角ゴ Pro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BA74" w14:textId="77777777" w:rsidR="00C91D8E" w:rsidRDefault="00000000">
    <w:pPr>
      <w:spacing w:after="0"/>
      <w:rPr>
        <w:color w:val="808080"/>
        <w:sz w:val="20"/>
        <w:szCs w:val="20"/>
      </w:rPr>
    </w:pPr>
    <w:r>
      <w:rPr>
        <w:color w:val="808080"/>
        <w:sz w:val="20"/>
        <w:szCs w:val="20"/>
      </w:rPr>
      <w:t>ISSN: 2357-7592</w:t>
    </w:r>
    <w:r>
      <w:rPr>
        <w:b/>
        <w:color w:val="808080"/>
        <w:sz w:val="20"/>
        <w:szCs w:val="20"/>
      </w:rPr>
      <w:tab/>
    </w:r>
    <w:r>
      <w:rPr>
        <w:b/>
        <w:color w:val="808080"/>
        <w:sz w:val="20"/>
        <w:szCs w:val="20"/>
      </w:rPr>
      <w:tab/>
    </w:r>
    <w:r>
      <w:rPr>
        <w:b/>
        <w:color w:val="808080"/>
        <w:sz w:val="20"/>
        <w:szCs w:val="20"/>
      </w:rPr>
      <w:tab/>
    </w:r>
    <w:r>
      <w:rPr>
        <w:b/>
        <w:color w:val="808080"/>
        <w:sz w:val="20"/>
        <w:szCs w:val="20"/>
      </w:rPr>
      <w:tab/>
    </w:r>
    <w:r>
      <w:rPr>
        <w:b/>
        <w:color w:val="808080"/>
        <w:sz w:val="20"/>
        <w:szCs w:val="20"/>
      </w:rPr>
      <w:tab/>
    </w:r>
    <w:r>
      <w:rPr>
        <w:b/>
        <w:color w:val="808080"/>
        <w:sz w:val="20"/>
        <w:szCs w:val="20"/>
      </w:rPr>
      <w:tab/>
    </w:r>
  </w:p>
  <w:p w14:paraId="72D394BB" w14:textId="77777777" w:rsidR="00C91D8E" w:rsidRDefault="00000000">
    <w:pPr>
      <w:spacing w:after="0"/>
      <w:rPr>
        <w:color w:val="808080"/>
        <w:sz w:val="18"/>
        <w:szCs w:val="18"/>
      </w:rPr>
    </w:pPr>
    <w:r>
      <w:rPr>
        <w:b/>
        <w:i/>
        <w:color w:val="808080"/>
        <w:sz w:val="18"/>
        <w:szCs w:val="18"/>
      </w:rPr>
      <w:t>XI INTERNATIONAL SYMPOSIUM ON INNOVATION AND TECHNOLOGY</w:t>
    </w:r>
  </w:p>
  <w:p w14:paraId="39FDCAAA" w14:textId="77777777" w:rsidR="00C91D8E" w:rsidRDefault="00000000">
    <w:pPr>
      <w:spacing w:after="0"/>
      <w:rPr>
        <w:color w:val="808080"/>
        <w:sz w:val="18"/>
        <w:szCs w:val="18"/>
      </w:rPr>
    </w:pPr>
    <w:r>
      <w:rPr>
        <w:i/>
        <w:color w:val="0E101A"/>
        <w:sz w:val="18"/>
        <w:szCs w:val="18"/>
      </w:rPr>
      <w:t xml:space="preserve">Quantum Technologies: The information revolution that will change the future </w:t>
    </w:r>
    <w:r>
      <w:rPr>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3C763" w14:textId="77777777" w:rsidR="00E34EBC" w:rsidRDefault="00E34EBC">
      <w:pPr>
        <w:spacing w:after="0"/>
      </w:pPr>
      <w:r>
        <w:separator/>
      </w:r>
    </w:p>
  </w:footnote>
  <w:footnote w:type="continuationSeparator" w:id="0">
    <w:p w14:paraId="53513F25" w14:textId="77777777" w:rsidR="00E34EBC" w:rsidRDefault="00E34E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5E49" w14:textId="77777777" w:rsidR="00C91D8E" w:rsidRDefault="00000000">
    <w:pPr>
      <w:spacing w:after="0"/>
      <w:ind w:left="7200"/>
      <w:jc w:val="center"/>
    </w:pPr>
    <w:r>
      <w:t xml:space="preserve">           </w:t>
    </w:r>
    <w:r>
      <w:rPr>
        <w:noProof/>
      </w:rPr>
      <w:drawing>
        <wp:anchor distT="0" distB="0" distL="114300" distR="114300" simplePos="0" relativeHeight="251658240" behindDoc="0" locked="0" layoutInCell="1" hidden="0" allowOverlap="1" wp14:anchorId="40B41E07" wp14:editId="58F0CC4E">
          <wp:simplePos x="0" y="0"/>
          <wp:positionH relativeFrom="column">
            <wp:posOffset>-714374</wp:posOffset>
          </wp:positionH>
          <wp:positionV relativeFrom="paragraph">
            <wp:posOffset>-476249</wp:posOffset>
          </wp:positionV>
          <wp:extent cx="7550785" cy="840105"/>
          <wp:effectExtent l="0" t="0" r="0" b="0"/>
          <wp:wrapNone/>
          <wp:docPr id="19047371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50785" cy="840105"/>
                  </a:xfrm>
                  <a:prstGeom prst="rect">
                    <a:avLst/>
                  </a:prstGeom>
                  <a:ln/>
                </pic:spPr>
              </pic:pic>
            </a:graphicData>
          </a:graphic>
        </wp:anchor>
      </w:drawing>
    </w:r>
  </w:p>
  <w:p w14:paraId="7B14E737" w14:textId="77777777" w:rsidR="00C91D8E" w:rsidRDefault="00C91D8E">
    <w:pPr>
      <w:spacing w:after="0"/>
      <w:jc w:val="right"/>
      <w:rPr>
        <w:color w:val="323E4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A309F"/>
    <w:multiLevelType w:val="multilevel"/>
    <w:tmpl w:val="682845F2"/>
    <w:lvl w:ilvl="0">
      <w:start w:val="1"/>
      <w:numFmt w:val="decimal"/>
      <w:lvlText w:val="[%1]"/>
      <w:lvlJc w:val="left"/>
      <w:pPr>
        <w:ind w:left="420" w:hanging="420"/>
      </w:pPr>
      <w:rPr>
        <w:rFonts w:ascii="Times New Roman" w:eastAsia="Times New Roman" w:hAnsi="Times New Roman" w:cs="Times New Roman"/>
        <w:sz w:val="18"/>
        <w:szCs w:val="18"/>
        <w:vertAlign w:val="baseline"/>
      </w:rPr>
    </w:lvl>
    <w:lvl w:ilvl="1">
      <w:start w:val="1"/>
      <w:numFmt w:val="lowerLetter"/>
      <w:lvlText w:val="%2)"/>
      <w:lvlJc w:val="left"/>
      <w:pPr>
        <w:ind w:left="840" w:hanging="420"/>
      </w:pPr>
      <w:rPr>
        <w:vertAlign w:val="baseline"/>
      </w:rPr>
    </w:lvl>
    <w:lvl w:ilvl="2">
      <w:start w:val="1"/>
      <w:numFmt w:val="lowerRoman"/>
      <w:lvlText w:val="%3."/>
      <w:lvlJc w:val="right"/>
      <w:pPr>
        <w:ind w:left="1260" w:hanging="420"/>
      </w:pPr>
      <w:rPr>
        <w:vertAlign w:val="baseline"/>
      </w:rPr>
    </w:lvl>
    <w:lvl w:ilvl="3">
      <w:start w:val="1"/>
      <w:numFmt w:val="decimal"/>
      <w:lvlText w:val="%4."/>
      <w:lvlJc w:val="left"/>
      <w:pPr>
        <w:ind w:left="1680" w:hanging="420"/>
      </w:pPr>
      <w:rPr>
        <w:vertAlign w:val="baseline"/>
      </w:rPr>
    </w:lvl>
    <w:lvl w:ilvl="4">
      <w:start w:val="1"/>
      <w:numFmt w:val="lowerLetter"/>
      <w:lvlText w:val="%5)"/>
      <w:lvlJc w:val="left"/>
      <w:pPr>
        <w:ind w:left="2100" w:hanging="420"/>
      </w:pPr>
      <w:rPr>
        <w:vertAlign w:val="baseline"/>
      </w:rPr>
    </w:lvl>
    <w:lvl w:ilvl="5">
      <w:start w:val="1"/>
      <w:numFmt w:val="lowerRoman"/>
      <w:lvlText w:val="%6."/>
      <w:lvlJc w:val="right"/>
      <w:pPr>
        <w:ind w:left="2520" w:hanging="420"/>
      </w:pPr>
      <w:rPr>
        <w:vertAlign w:val="baseline"/>
      </w:rPr>
    </w:lvl>
    <w:lvl w:ilvl="6">
      <w:start w:val="1"/>
      <w:numFmt w:val="decimal"/>
      <w:lvlText w:val="%7."/>
      <w:lvlJc w:val="left"/>
      <w:pPr>
        <w:ind w:left="2940" w:hanging="420"/>
      </w:pPr>
      <w:rPr>
        <w:vertAlign w:val="baseline"/>
      </w:rPr>
    </w:lvl>
    <w:lvl w:ilvl="7">
      <w:start w:val="1"/>
      <w:numFmt w:val="lowerLetter"/>
      <w:lvlText w:val="%8)"/>
      <w:lvlJc w:val="left"/>
      <w:pPr>
        <w:ind w:left="3360" w:hanging="420"/>
      </w:pPr>
      <w:rPr>
        <w:vertAlign w:val="baseline"/>
      </w:rPr>
    </w:lvl>
    <w:lvl w:ilvl="8">
      <w:start w:val="1"/>
      <w:numFmt w:val="lowerRoman"/>
      <w:lvlText w:val="%9."/>
      <w:lvlJc w:val="right"/>
      <w:pPr>
        <w:ind w:left="3780" w:hanging="420"/>
      </w:pPr>
      <w:rPr>
        <w:vertAlign w:val="baseline"/>
      </w:rPr>
    </w:lvl>
  </w:abstractNum>
  <w:abstractNum w:abstractNumId="1" w15:restartNumberingAfterBreak="0">
    <w:nsid w:val="5B8B314F"/>
    <w:multiLevelType w:val="multilevel"/>
    <w:tmpl w:val="DF78C29A"/>
    <w:lvl w:ilvl="0">
      <w:start w:val="1"/>
      <w:numFmt w:val="decimal"/>
      <w:pStyle w:val="13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5852817">
    <w:abstractNumId w:val="0"/>
  </w:num>
  <w:num w:numId="2" w16cid:durableId="21133308">
    <w:abstractNumId w:val="1"/>
  </w:num>
  <w:num w:numId="3" w16cid:durableId="1263760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D8E"/>
    <w:rsid w:val="00034101"/>
    <w:rsid w:val="0005228B"/>
    <w:rsid w:val="00054E59"/>
    <w:rsid w:val="00055E99"/>
    <w:rsid w:val="00067349"/>
    <w:rsid w:val="000A64C8"/>
    <w:rsid w:val="000B42E4"/>
    <w:rsid w:val="000C0150"/>
    <w:rsid w:val="000C61F8"/>
    <w:rsid w:val="00114D2F"/>
    <w:rsid w:val="0012164B"/>
    <w:rsid w:val="00147F9A"/>
    <w:rsid w:val="0015714A"/>
    <w:rsid w:val="00166B42"/>
    <w:rsid w:val="00197918"/>
    <w:rsid w:val="001A2896"/>
    <w:rsid w:val="001A5D57"/>
    <w:rsid w:val="001C430F"/>
    <w:rsid w:val="001E56CC"/>
    <w:rsid w:val="001F5BE1"/>
    <w:rsid w:val="00216588"/>
    <w:rsid w:val="0024444C"/>
    <w:rsid w:val="002456B7"/>
    <w:rsid w:val="00275C19"/>
    <w:rsid w:val="00282EAE"/>
    <w:rsid w:val="00290ED2"/>
    <w:rsid w:val="002A1040"/>
    <w:rsid w:val="002C4424"/>
    <w:rsid w:val="002D1F8C"/>
    <w:rsid w:val="002F01A2"/>
    <w:rsid w:val="002F35F5"/>
    <w:rsid w:val="003066B7"/>
    <w:rsid w:val="0033020A"/>
    <w:rsid w:val="00336C4C"/>
    <w:rsid w:val="00345CF3"/>
    <w:rsid w:val="003473D4"/>
    <w:rsid w:val="00370F46"/>
    <w:rsid w:val="00377B51"/>
    <w:rsid w:val="0038347D"/>
    <w:rsid w:val="003B45BA"/>
    <w:rsid w:val="003C0D88"/>
    <w:rsid w:val="003C44E6"/>
    <w:rsid w:val="003D1B8A"/>
    <w:rsid w:val="00401629"/>
    <w:rsid w:val="004019DB"/>
    <w:rsid w:val="00405229"/>
    <w:rsid w:val="004125D0"/>
    <w:rsid w:val="0045054E"/>
    <w:rsid w:val="0047203C"/>
    <w:rsid w:val="00496F68"/>
    <w:rsid w:val="004A5869"/>
    <w:rsid w:val="004C40EE"/>
    <w:rsid w:val="004E32A6"/>
    <w:rsid w:val="00520D60"/>
    <w:rsid w:val="005267E5"/>
    <w:rsid w:val="005274E9"/>
    <w:rsid w:val="005515A7"/>
    <w:rsid w:val="00561F77"/>
    <w:rsid w:val="005704A9"/>
    <w:rsid w:val="00573540"/>
    <w:rsid w:val="005B2F60"/>
    <w:rsid w:val="005D16AD"/>
    <w:rsid w:val="005D2BB6"/>
    <w:rsid w:val="005F0CBA"/>
    <w:rsid w:val="00622594"/>
    <w:rsid w:val="00635321"/>
    <w:rsid w:val="006A07D0"/>
    <w:rsid w:val="006D5CCC"/>
    <w:rsid w:val="006E0482"/>
    <w:rsid w:val="006E4C58"/>
    <w:rsid w:val="006F7840"/>
    <w:rsid w:val="00700DBD"/>
    <w:rsid w:val="00702821"/>
    <w:rsid w:val="00705EB8"/>
    <w:rsid w:val="00725330"/>
    <w:rsid w:val="0072782D"/>
    <w:rsid w:val="0076395E"/>
    <w:rsid w:val="0076654E"/>
    <w:rsid w:val="00767EA7"/>
    <w:rsid w:val="00782EE0"/>
    <w:rsid w:val="00795A60"/>
    <w:rsid w:val="007A2DA7"/>
    <w:rsid w:val="007A53BC"/>
    <w:rsid w:val="007A5E3E"/>
    <w:rsid w:val="007A72CA"/>
    <w:rsid w:val="007C2E7B"/>
    <w:rsid w:val="007C6EBC"/>
    <w:rsid w:val="007D447F"/>
    <w:rsid w:val="007D5CA8"/>
    <w:rsid w:val="0080082A"/>
    <w:rsid w:val="00801824"/>
    <w:rsid w:val="008369ED"/>
    <w:rsid w:val="00837EA3"/>
    <w:rsid w:val="00844C4A"/>
    <w:rsid w:val="008557B6"/>
    <w:rsid w:val="00860CD5"/>
    <w:rsid w:val="008626C5"/>
    <w:rsid w:val="00884AE9"/>
    <w:rsid w:val="00897954"/>
    <w:rsid w:val="008B0458"/>
    <w:rsid w:val="008C7D02"/>
    <w:rsid w:val="008C7D50"/>
    <w:rsid w:val="008D701D"/>
    <w:rsid w:val="008E1C01"/>
    <w:rsid w:val="008F25D2"/>
    <w:rsid w:val="0090225F"/>
    <w:rsid w:val="00906729"/>
    <w:rsid w:val="0091394C"/>
    <w:rsid w:val="0091488E"/>
    <w:rsid w:val="00917F0E"/>
    <w:rsid w:val="009502AE"/>
    <w:rsid w:val="009567CD"/>
    <w:rsid w:val="00965271"/>
    <w:rsid w:val="009874AA"/>
    <w:rsid w:val="009B4667"/>
    <w:rsid w:val="009C3276"/>
    <w:rsid w:val="009D26BC"/>
    <w:rsid w:val="009D5D00"/>
    <w:rsid w:val="009D71F2"/>
    <w:rsid w:val="00A0739E"/>
    <w:rsid w:val="00A07522"/>
    <w:rsid w:val="00A165FF"/>
    <w:rsid w:val="00A16832"/>
    <w:rsid w:val="00AA17C3"/>
    <w:rsid w:val="00AC5AEC"/>
    <w:rsid w:val="00B04C5C"/>
    <w:rsid w:val="00B2487E"/>
    <w:rsid w:val="00B25F78"/>
    <w:rsid w:val="00B575EC"/>
    <w:rsid w:val="00B7230E"/>
    <w:rsid w:val="00B72A3F"/>
    <w:rsid w:val="00B957B9"/>
    <w:rsid w:val="00BB0385"/>
    <w:rsid w:val="00BB2FE6"/>
    <w:rsid w:val="00BB44C9"/>
    <w:rsid w:val="00BB6730"/>
    <w:rsid w:val="00BC1FFB"/>
    <w:rsid w:val="00BD2171"/>
    <w:rsid w:val="00BF1AC1"/>
    <w:rsid w:val="00C054F5"/>
    <w:rsid w:val="00C371CB"/>
    <w:rsid w:val="00C55362"/>
    <w:rsid w:val="00C71104"/>
    <w:rsid w:val="00C91D8E"/>
    <w:rsid w:val="00CA4752"/>
    <w:rsid w:val="00CB6EB9"/>
    <w:rsid w:val="00CC36EA"/>
    <w:rsid w:val="00CD134E"/>
    <w:rsid w:val="00CD6257"/>
    <w:rsid w:val="00D31452"/>
    <w:rsid w:val="00D40EB6"/>
    <w:rsid w:val="00D440D7"/>
    <w:rsid w:val="00D546FC"/>
    <w:rsid w:val="00D70064"/>
    <w:rsid w:val="00D740BA"/>
    <w:rsid w:val="00D8311A"/>
    <w:rsid w:val="00D8463D"/>
    <w:rsid w:val="00DA1150"/>
    <w:rsid w:val="00DD3C50"/>
    <w:rsid w:val="00DD4F68"/>
    <w:rsid w:val="00DF3F40"/>
    <w:rsid w:val="00E05291"/>
    <w:rsid w:val="00E34EBC"/>
    <w:rsid w:val="00E37DBC"/>
    <w:rsid w:val="00E5310B"/>
    <w:rsid w:val="00E556F7"/>
    <w:rsid w:val="00E5607D"/>
    <w:rsid w:val="00E66A0F"/>
    <w:rsid w:val="00E8656F"/>
    <w:rsid w:val="00E9701F"/>
    <w:rsid w:val="00EA6BD5"/>
    <w:rsid w:val="00EB0020"/>
    <w:rsid w:val="00EF0277"/>
    <w:rsid w:val="00F22BD3"/>
    <w:rsid w:val="00F4271B"/>
    <w:rsid w:val="00F47C35"/>
    <w:rsid w:val="00F56FFC"/>
    <w:rsid w:val="00F82F45"/>
    <w:rsid w:val="00F845E8"/>
    <w:rsid w:val="00FA654D"/>
    <w:rsid w:val="00FA6D34"/>
    <w:rsid w:val="00FB0DC3"/>
    <w:rsid w:val="00FB6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A0F5ED"/>
  <w15:docId w15:val="{4BB8B137-0E8D-434F-A1FB-98228412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spacing w:after="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uiPriority w:val="9"/>
    <w:semiHidden/>
    <w:unhideWhenUsed/>
    <w:qFormat/>
    <w:pPr>
      <w:suppressAutoHyphens/>
      <w:spacing w:before="100" w:beforeAutospacing="1" w:after="100" w:afterAutospacing="1" w:line="1" w:lineRule="atLeast"/>
      <w:ind w:leftChars="-1" w:left="-1" w:hangingChars="1" w:hanging="1"/>
      <w:textDirection w:val="btLr"/>
      <w:textAlignment w:val="top"/>
      <w:outlineLvl w:val="2"/>
    </w:pPr>
    <w:rPr>
      <w:rFonts w:ascii="Times New Roman" w:eastAsia="Times New Roman" w:hAnsi="Times New Roman"/>
      <w:b/>
      <w:bCs/>
      <w:position w:val="-1"/>
      <w:sz w:val="27"/>
      <w:szCs w:val="27"/>
      <w:lang w:val="pt-BR"/>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01Title">
    <w:name w:val="01 Title"/>
    <w:basedOn w:val="Normal"/>
    <w:next w:val="02Author"/>
    <w:pPr>
      <w:suppressAutoHyphens/>
      <w:spacing w:before="520" w:after="460" w:line="500" w:lineRule="atLeast"/>
      <w:ind w:leftChars="-1" w:left="-1" w:hangingChars="1" w:hanging="1"/>
      <w:jc w:val="center"/>
      <w:textDirection w:val="btLr"/>
      <w:textAlignment w:val="top"/>
      <w:outlineLvl w:val="0"/>
    </w:pPr>
    <w:rPr>
      <w:rFonts w:ascii="Times New Roman" w:hAnsi="Times New Roman"/>
      <w:b/>
      <w:position w:val="-1"/>
      <w:sz w:val="40"/>
      <w:lang w:val="en-US" w:eastAsia="en-US"/>
    </w:rPr>
  </w:style>
  <w:style w:type="paragraph" w:customStyle="1" w:styleId="02Author">
    <w:name w:val="02 Author"/>
    <w:basedOn w:val="Normal"/>
    <w:next w:val="03AuthorAffiliation"/>
    <w:pPr>
      <w:suppressAutoHyphens/>
      <w:spacing w:before="360" w:after="200" w:line="1" w:lineRule="atLeast"/>
      <w:ind w:leftChars="-1" w:left="-1" w:hangingChars="1" w:hanging="1"/>
      <w:jc w:val="center"/>
      <w:textDirection w:val="btLr"/>
      <w:textAlignment w:val="top"/>
      <w:outlineLvl w:val="0"/>
    </w:pPr>
    <w:rPr>
      <w:rFonts w:ascii="Times New Roman" w:hAnsi="Times New Roman"/>
      <w:b/>
      <w:position w:val="-1"/>
      <w:sz w:val="20"/>
      <w:lang w:val="en-US" w:eastAsia="en-US"/>
    </w:rPr>
  </w:style>
  <w:style w:type="paragraph" w:customStyle="1" w:styleId="03AuthorAffiliation">
    <w:name w:val="03 Author Affiliation"/>
    <w:basedOn w:val="02Author"/>
    <w:pPr>
      <w:spacing w:before="0" w:after="0" w:line="220" w:lineRule="atLeast"/>
    </w:pPr>
    <w:rPr>
      <w:b w:val="0"/>
      <w:sz w:val="18"/>
    </w:rPr>
  </w:style>
  <w:style w:type="character" w:styleId="TextodoEspaoReservado">
    <w:name w:val="Placeholder Text"/>
    <w:rPr>
      <w:color w:val="808080"/>
      <w:w w:val="100"/>
      <w:position w:val="-1"/>
      <w:effect w:val="none"/>
      <w:vertAlign w:val="baseline"/>
      <w:cs w:val="0"/>
      <w:em w:val="none"/>
    </w:rPr>
  </w:style>
  <w:style w:type="paragraph" w:styleId="Textodebalo">
    <w:name w:val="Balloon Text"/>
    <w:basedOn w:val="Normal"/>
    <w:qFormat/>
    <w:pPr>
      <w:suppressAutoHyphens/>
      <w:spacing w:line="1" w:lineRule="atLeast"/>
      <w:ind w:leftChars="-1" w:left="-1" w:hangingChars="1" w:hanging="1"/>
      <w:textDirection w:val="btLr"/>
      <w:textAlignment w:val="top"/>
      <w:outlineLvl w:val="0"/>
    </w:pPr>
    <w:rPr>
      <w:rFonts w:ascii="Tahoma" w:hAnsi="Tahoma"/>
      <w:position w:val="-1"/>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customStyle="1" w:styleId="04CorrespondingAuthorEmail">
    <w:name w:val="04 Corresponding Author Email"/>
    <w:basedOn w:val="03AuthorAffiliation"/>
    <w:next w:val="05ReceivedLine"/>
    <w:pPr>
      <w:spacing w:after="156"/>
    </w:pPr>
  </w:style>
  <w:style w:type="paragraph" w:customStyle="1" w:styleId="05ReceivedLine">
    <w:name w:val="05 Received Line"/>
    <w:basedOn w:val="04CorrespondingAuthorEmail"/>
    <w:next w:val="06Abstract"/>
    <w:pPr>
      <w:spacing w:after="120" w:line="200" w:lineRule="atLeast"/>
    </w:pPr>
    <w:rPr>
      <w:i/>
      <w:sz w:val="20"/>
    </w:rPr>
  </w:style>
  <w:style w:type="paragraph" w:customStyle="1" w:styleId="06Abstract">
    <w:name w:val="06 Abstract"/>
    <w:basedOn w:val="05ReceivedLine"/>
    <w:next w:val="07KeyWords"/>
    <w:pPr>
      <w:spacing w:after="0" w:line="240" w:lineRule="atLeast"/>
      <w:ind w:left="318" w:right="318"/>
      <w:jc w:val="both"/>
    </w:pPr>
    <w:rPr>
      <w:i w:val="0"/>
      <w:spacing w:val="-2"/>
    </w:rPr>
  </w:style>
  <w:style w:type="paragraph" w:customStyle="1" w:styleId="07KeyWords">
    <w:name w:val="07 Key Words"/>
    <w:basedOn w:val="06Abstract"/>
    <w:next w:val="08Body"/>
    <w:pPr>
      <w:spacing w:before="320" w:after="240" w:line="240" w:lineRule="auto"/>
    </w:pPr>
    <w:rPr>
      <w:i/>
    </w:rPr>
  </w:style>
  <w:style w:type="paragraph" w:customStyle="1" w:styleId="08Body">
    <w:name w:val="08 Body"/>
    <w:basedOn w:val="Normal"/>
    <w:next w:val="09BodyIndent"/>
    <w:pPr>
      <w:suppressAutoHyphens/>
      <w:spacing w:after="0" w:line="1" w:lineRule="atLeast"/>
      <w:ind w:leftChars="-1" w:left="-1" w:hangingChars="1" w:hanging="1"/>
      <w:jc w:val="both"/>
      <w:textDirection w:val="btLr"/>
      <w:textAlignment w:val="top"/>
      <w:outlineLvl w:val="0"/>
    </w:pPr>
    <w:rPr>
      <w:rFonts w:ascii="Times New Roman" w:hAnsi="Times New Roman"/>
      <w:spacing w:val="-8"/>
      <w:position w:val="-1"/>
      <w:sz w:val="20"/>
    </w:rPr>
  </w:style>
  <w:style w:type="paragraph" w:customStyle="1" w:styleId="09BodyIndent">
    <w:name w:val="09 Body Indent"/>
    <w:basedOn w:val="08Body"/>
    <w:pPr>
      <w:autoSpaceDE w:val="0"/>
      <w:autoSpaceDN w:val="0"/>
      <w:adjustRightInd w:val="0"/>
      <w:spacing w:line="360" w:lineRule="auto"/>
    </w:pPr>
    <w:rPr>
      <w:rFonts w:eastAsia="Malgun Gothic"/>
      <w:spacing w:val="0"/>
      <w:sz w:val="24"/>
      <w:szCs w:val="24"/>
    </w:rPr>
  </w:style>
  <w:style w:type="paragraph" w:customStyle="1" w:styleId="10Acknowledgments">
    <w:name w:val="10 Acknowledgments"/>
    <w:basedOn w:val="09BodyIndent"/>
    <w:pPr>
      <w:spacing w:before="120"/>
    </w:pPr>
    <w:rPr>
      <w:rFonts w:cs="AdvOTdbe06fba"/>
      <w:color w:val="000000"/>
      <w:szCs w:val="20"/>
    </w:rPr>
  </w:style>
  <w:style w:type="paragraph" w:customStyle="1" w:styleId="12ReferenceHeader">
    <w:name w:val="12 Reference Header"/>
    <w:basedOn w:val="Normal"/>
    <w:pPr>
      <w:suppressAutoHyphens/>
      <w:autoSpaceDE w:val="0"/>
      <w:autoSpaceDN w:val="0"/>
      <w:adjustRightInd w:val="0"/>
      <w:spacing w:before="480" w:after="120" w:line="1" w:lineRule="atLeast"/>
      <w:ind w:leftChars="-1" w:left="-1" w:hangingChars="1" w:hanging="1"/>
      <w:jc w:val="both"/>
      <w:textDirection w:val="btLr"/>
      <w:textAlignment w:val="top"/>
      <w:outlineLvl w:val="0"/>
    </w:pPr>
    <w:rPr>
      <w:rFonts w:ascii="Century" w:hAnsi="Century" w:cs="AdvOT9cb306be.B"/>
      <w:b/>
      <w:position w:val="-1"/>
      <w:sz w:val="18"/>
      <w:szCs w:val="18"/>
      <w:lang w:val="en-US" w:eastAsia="en-US"/>
    </w:rPr>
  </w:style>
  <w:style w:type="numbering" w:customStyle="1" w:styleId="12Refereces">
    <w:name w:val="12 Refereces"/>
    <w:basedOn w:val="Semlista"/>
  </w:style>
  <w:style w:type="numbering" w:customStyle="1" w:styleId="12References">
    <w:name w:val="12 References"/>
    <w:basedOn w:val="Semlista"/>
  </w:style>
  <w:style w:type="paragraph" w:customStyle="1" w:styleId="17Figure">
    <w:name w:val="17 Figure"/>
    <w:basedOn w:val="Normal"/>
    <w:next w:val="19FigureMulti-LinesCaption"/>
    <w:pPr>
      <w:suppressAutoHyphens/>
      <w:spacing w:line="1" w:lineRule="atLeast"/>
      <w:ind w:leftChars="-1" w:left="-1" w:hangingChars="1" w:hanging="1"/>
      <w:jc w:val="center"/>
      <w:textDirection w:val="btLr"/>
      <w:textAlignment w:val="top"/>
      <w:outlineLvl w:val="0"/>
    </w:pPr>
    <w:rPr>
      <w:position w:val="-1"/>
      <w:szCs w:val="14"/>
      <w:u w:val="single"/>
      <w:lang w:val="en-US" w:eastAsia="en-US"/>
    </w:rPr>
  </w:style>
  <w:style w:type="paragraph" w:customStyle="1" w:styleId="19FigureMulti-LinesCaption">
    <w:name w:val="19 Figure Multi-Lines Caption"/>
    <w:basedOn w:val="17Figure"/>
    <w:next w:val="08Body"/>
    <w:pPr>
      <w:spacing w:after="0" w:line="360" w:lineRule="auto"/>
      <w:jc w:val="both"/>
    </w:pPr>
    <w:rPr>
      <w:rFonts w:ascii="Times New Roman" w:hAnsi="Times New Roman" w:cs="AdvOT8910dd71"/>
      <w:sz w:val="24"/>
      <w:szCs w:val="24"/>
      <w:u w:val="none"/>
    </w:rPr>
  </w:style>
  <w:style w:type="paragraph" w:customStyle="1" w:styleId="13Reference">
    <w:name w:val="13 Reference"/>
    <w:basedOn w:val="12ReferenceHeader"/>
    <w:pPr>
      <w:numPr>
        <w:numId w:val="3"/>
      </w:numPr>
      <w:spacing w:before="0" w:after="0"/>
      <w:ind w:left="-1" w:hanging="1"/>
    </w:pPr>
    <w:rPr>
      <w:rFonts w:ascii="Times New Roman" w:hAnsi="Times New Roman"/>
      <w:b w:val="0"/>
      <w:sz w:val="16"/>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pPr>
      <w:spacing w:before="240"/>
      <w:ind w:firstLine="0"/>
      <w:jc w:val="center"/>
    </w:pPr>
    <w:rPr>
      <w:b/>
      <w:sz w:val="16"/>
      <w:szCs w:val="18"/>
    </w:rPr>
  </w:style>
  <w:style w:type="paragraph" w:customStyle="1" w:styleId="15TableHeading">
    <w:name w:val="15 Table Heading"/>
    <w:basedOn w:val="09BodyIndent"/>
    <w:pPr>
      <w:ind w:firstLine="0"/>
      <w:jc w:val="center"/>
    </w:pPr>
    <w:rPr>
      <w:sz w:val="16"/>
      <w:szCs w:val="18"/>
    </w:rPr>
  </w:style>
  <w:style w:type="paragraph" w:customStyle="1" w:styleId="16TableBody">
    <w:name w:val="16 Table Body"/>
    <w:basedOn w:val="09BodyIndent"/>
    <w:pPr>
      <w:ind w:firstLine="0"/>
      <w:jc w:val="center"/>
    </w:pPr>
    <w:rPr>
      <w:sz w:val="16"/>
      <w:szCs w:val="18"/>
    </w:rPr>
  </w:style>
  <w:style w:type="paragraph" w:customStyle="1" w:styleId="MTDisplayEquation">
    <w:name w:val="MTDisplayEquation"/>
    <w:basedOn w:val="09BodyIndent"/>
    <w:next w:val="Normal"/>
    <w:pPr>
      <w:tabs>
        <w:tab w:val="center" w:pos="2480"/>
        <w:tab w:val="right" w:pos="4940"/>
      </w:tabs>
      <w:spacing w:before="240" w:after="120"/>
      <w:ind w:firstLine="0"/>
    </w:pPr>
  </w:style>
  <w:style w:type="character" w:customStyle="1" w:styleId="08BodyChar">
    <w:name w:val="08 Body Char"/>
    <w:rPr>
      <w:rFonts w:ascii="Times New Roman" w:hAnsi="Times New Roman"/>
      <w:spacing w:val="-8"/>
      <w:w w:val="100"/>
      <w:position w:val="-1"/>
      <w:szCs w:val="22"/>
      <w:effect w:val="none"/>
      <w:vertAlign w:val="baseline"/>
      <w:cs w:val="0"/>
      <w:em w:val="none"/>
    </w:rPr>
  </w:style>
  <w:style w:type="character" w:customStyle="1" w:styleId="09BodyIndentChar">
    <w:name w:val="09 Body Indent Char"/>
    <w:rPr>
      <w:rFonts w:ascii="Times New Roman" w:eastAsia="Malgun Gothic" w:hAnsi="Times New Roman"/>
      <w:w w:val="100"/>
      <w:position w:val="-1"/>
      <w:sz w:val="24"/>
      <w:szCs w:val="24"/>
      <w:effect w:val="none"/>
      <w:vertAlign w:val="baseline"/>
      <w:cs w:val="0"/>
      <w:em w:val="none"/>
    </w:rPr>
  </w:style>
  <w:style w:type="character" w:customStyle="1" w:styleId="MTDisplayEquationChar">
    <w:name w:val="MTDisplayEquation Char"/>
    <w:basedOn w:val="09BodyIndentChar"/>
    <w:rPr>
      <w:rFonts w:ascii="Times New Roman" w:eastAsia="Malgun Gothic" w:hAnsi="Times New Roman"/>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11Equations">
    <w:name w:val="11 Equations"/>
    <w:pPr>
      <w:suppressAutoHyphens/>
      <w:spacing w:before="100" w:after="100" w:line="1" w:lineRule="atLeast"/>
      <w:ind w:leftChars="-1" w:left="-1" w:hangingChars="1" w:hanging="1"/>
      <w:jc w:val="both"/>
      <w:textDirection w:val="btLr"/>
      <w:textAlignment w:val="top"/>
      <w:outlineLvl w:val="0"/>
    </w:pPr>
    <w:rPr>
      <w:rFonts w:ascii="Century" w:hAnsi="Century"/>
      <w:position w:val="-1"/>
      <w:lang w:val="en-US" w:eastAsia="en-US"/>
    </w:rPr>
  </w:style>
  <w:style w:type="character" w:styleId="MenoPendente">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val="pt-BR"/>
    </w:rPr>
  </w:style>
  <w:style w:type="character" w:customStyle="1" w:styleId="Ttulo3Char">
    <w:name w:val="Título 3 Char"/>
    <w:rPr>
      <w:rFonts w:ascii="Times New Roman" w:eastAsia="Times New Roman" w:hAnsi="Times New Roman"/>
      <w:b/>
      <w:bCs/>
      <w:w w:val="100"/>
      <w:position w:val="-1"/>
      <w:sz w:val="27"/>
      <w:szCs w:val="27"/>
      <w:effect w:val="none"/>
      <w:vertAlign w:val="baseline"/>
      <w:cs w:val="0"/>
      <w:em w:val="none"/>
    </w:rPr>
  </w:style>
  <w:style w:type="paragraph" w:styleId="Cabealho">
    <w:name w:val="head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rPr>
      <w:w w:val="100"/>
      <w:position w:val="-1"/>
      <w:sz w:val="22"/>
      <w:szCs w:val="22"/>
      <w:effect w:val="none"/>
      <w:vertAlign w:val="baseline"/>
      <w:cs w:val="0"/>
      <w:em w:val="none"/>
    </w:rPr>
  </w:style>
  <w:style w:type="paragraph" w:styleId="Rodap">
    <w:name w:val="foot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rPr>
      <w:w w:val="100"/>
      <w:position w:val="-1"/>
      <w:sz w:val="22"/>
      <w:szCs w:val="22"/>
      <w:effect w:val="none"/>
      <w:vertAlign w:val="baseline"/>
      <w:cs w:val="0"/>
      <w:em w:val="none"/>
    </w:rPr>
  </w:style>
  <w:style w:type="paragraph" w:customStyle="1" w:styleId="21Heading2">
    <w:name w:val="21 Heading 2"/>
    <w:basedOn w:val="09BodyIndent"/>
    <w:pPr>
      <w:spacing w:before="220" w:after="100"/>
      <w:ind w:firstLine="0"/>
    </w:pPr>
    <w:rPr>
      <w:b/>
    </w:rPr>
  </w:style>
  <w:style w:type="paragraph" w:customStyle="1" w:styleId="20Heading1">
    <w:name w:val="20 Heading 1"/>
    <w:basedOn w:val="08Body"/>
    <w:rPr>
      <w:b/>
      <w:sz w:val="24"/>
      <w:szCs w:val="24"/>
    </w:rPr>
  </w:style>
  <w:style w:type="paragraph" w:customStyle="1" w:styleId="22Heading3">
    <w:name w:val="22 Heading 3"/>
    <w:basedOn w:val="09BodyIndent"/>
    <w:pPr>
      <w:spacing w:before="200" w:after="80" w:line="220" w:lineRule="atLeast"/>
      <w:ind w:firstLine="0"/>
    </w:pPr>
    <w:rPr>
      <w:b/>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pPr>
      <w:suppressAutoHyphens/>
      <w:spacing w:after="0" w:line="1" w:lineRule="atLeast"/>
      <w:ind w:leftChars="-1" w:left="-1" w:hangingChars="1" w:hanging="1"/>
      <w:textDirection w:val="btLr"/>
      <w:textAlignment w:val="top"/>
      <w:outlineLvl w:val="0"/>
    </w:pPr>
    <w:rPr>
      <w:position w:val="-1"/>
      <w:sz w:val="20"/>
      <w:szCs w:val="20"/>
    </w:rPr>
  </w:style>
  <w:style w:type="character" w:customStyle="1" w:styleId="TextodecomentrioChar">
    <w:name w:val="Texto de comentário Char"/>
    <w:rPr>
      <w:w w:val="100"/>
      <w:position w:val="-1"/>
      <w:effect w:val="none"/>
      <w:vertAlign w:val="baseline"/>
      <w:cs w:val="0"/>
      <w:em w:val="none"/>
    </w:rPr>
  </w:style>
  <w:style w:type="character" w:styleId="Forte">
    <w:name w:val="Strong"/>
    <w:rPr>
      <w:b/>
      <w:bCs/>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paragraph" w:customStyle="1" w:styleId="figure">
    <w:name w:val="figure"/>
    <w:basedOn w:val="Normal"/>
    <w:pPr>
      <w:suppressAutoHyphens/>
      <w:spacing w:beforeLines="50" w:before="120" w:after="0" w:line="360" w:lineRule="auto"/>
      <w:ind w:leftChars="-1" w:left="-1" w:hangingChars="1" w:hanging="1"/>
      <w:jc w:val="center"/>
      <w:textDirection w:val="btLr"/>
      <w:textAlignment w:val="top"/>
      <w:outlineLvl w:val="0"/>
    </w:pPr>
    <w:rPr>
      <w:rFonts w:ascii="Times New Roman" w:hAnsi="Times New Roman"/>
      <w:position w:val="-1"/>
      <w:sz w:val="20"/>
      <w:szCs w:val="20"/>
    </w:rPr>
  </w:style>
  <w:style w:type="character" w:customStyle="1" w:styleId="figure0">
    <w:name w:val="figure 字元"/>
    <w:rPr>
      <w:rFonts w:ascii="Times New Roman" w:hAnsi="Times New Roman"/>
      <w:w w:val="100"/>
      <w:position w:val="-1"/>
      <w:effect w:val="none"/>
      <w:vertAlign w:val="baseline"/>
      <w:cs w:val="0"/>
      <w:em w:val="none"/>
    </w:rPr>
  </w:style>
  <w:style w:type="paragraph" w:styleId="Corpodetexto">
    <w:name w:val="Body Text"/>
    <w:pPr>
      <w:suppressAutoHyphens/>
      <w:spacing w:after="120" w:line="228" w:lineRule="auto"/>
      <w:ind w:leftChars="-1" w:left="-1" w:hangingChars="1" w:hanging="1"/>
      <w:jc w:val="both"/>
      <w:textDirection w:val="btLr"/>
      <w:textAlignment w:val="top"/>
      <w:outlineLvl w:val="0"/>
    </w:pPr>
    <w:rPr>
      <w:rFonts w:ascii="Times New Roman" w:eastAsia="ヒラギノ角ゴ Pro W3" w:hAnsi="Times New Roman"/>
      <w:color w:val="000000"/>
      <w:position w:val="-1"/>
      <w:lang w:val="en-US" w:eastAsia="zh-CN"/>
    </w:rPr>
  </w:style>
  <w:style w:type="paragraph" w:customStyle="1" w:styleId="18FigureCaptionSingleLine">
    <w:name w:val="18 Figure Caption Single Line"/>
    <w:basedOn w:val="19FigureMulti-LinesCaption"/>
    <w:next w:val="17Figure"/>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argrafodaLista">
    <w:name w:val="List Paragraph"/>
    <w:basedOn w:val="Normal"/>
    <w:uiPriority w:val="34"/>
    <w:qFormat/>
    <w:rsid w:val="00AC5AEC"/>
    <w:pPr>
      <w:ind w:left="720"/>
      <w:contextualSpacing/>
    </w:pPr>
  </w:style>
  <w:style w:type="paragraph" w:styleId="Bibliografia">
    <w:name w:val="Bibliography"/>
    <w:basedOn w:val="Normal"/>
    <w:next w:val="Normal"/>
    <w:uiPriority w:val="37"/>
    <w:unhideWhenUsed/>
    <w:rsid w:val="004C40EE"/>
    <w:pPr>
      <w:tabs>
        <w:tab w:val="left" w:pos="264"/>
      </w:tabs>
      <w:spacing w:after="240"/>
      <w:ind w:left="264" w:hanging="264"/>
    </w:pPr>
  </w:style>
  <w:style w:type="paragraph" w:styleId="Legenda">
    <w:name w:val="caption"/>
    <w:basedOn w:val="Normal"/>
    <w:next w:val="Normal"/>
    <w:uiPriority w:val="35"/>
    <w:unhideWhenUsed/>
    <w:qFormat/>
    <w:rsid w:val="00E9701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P91otBlQmK/NwVB3498CND27lg==">CgMxLjAyD2lkLmp6aWJ6dGo2YXF1YzIPaWQucmV5MGVsb3VzYXcyOAByITFObjJmSUJqNUlGVnNmQlFwLWNBclBud0ZPM1ZWWnVTaA==</go:docsCustomData>
</go:gDocsCustomXmlDataStorage>
</file>

<file path=customXml/itemProps1.xml><?xml version="1.0" encoding="utf-8"?>
<ds:datastoreItem xmlns:ds="http://schemas.openxmlformats.org/officeDocument/2006/customXml" ds:itemID="{3A3A5B4C-4DB7-4296-ABDE-73D9895BFE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5923</Words>
  <Characters>31987</Characters>
  <Application>Microsoft Office Word</Application>
  <DocSecurity>0</DocSecurity>
  <Lines>266</Lines>
  <Paragraphs>75</Paragraphs>
  <ScaleCrop>false</ScaleCrop>
  <Company/>
  <LinksUpToDate>false</LinksUpToDate>
  <CharactersWithSpaces>37835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SciEP Productions</dc:creator>
  <cp:lastModifiedBy>Arthur Rios de Azevedo</cp:lastModifiedBy>
  <cp:revision>2</cp:revision>
  <dcterms:created xsi:type="dcterms:W3CDTF">2025-09-15T10:27:00Z</dcterms:created>
  <dcterms:modified xsi:type="dcterms:W3CDTF">2025-09-15T10:27:00Z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ZOTERO_PREF_1">
    <vt:lpwstr>&lt;data data-version="3" zotero-version="7.0.24"&gt;&lt;session id="YkJ9xDNi"/&gt;&lt;style id="http://www.zotero.org/styles/vancouver" locale="en-US" hasBibliography="1" bibliographyStyleHasBeenSet="1"/&gt;&lt;prefs&gt;&lt;pref name="fieldType" value="Field"/&gt;&lt;pref name="automati</vt:lpwstr>
  </property>
  <property fmtid="{D5CDD505-2E9C-101B-9397-08002B2CF9AE}" pid="6" name="ZOTERO_PREF_2">
    <vt:lpwstr>cJournalAbbreviations" value="true"/&gt;&lt;/prefs&gt;&lt;/data&gt;</vt:lpwstr>
  </property>
</Properties>
</file>