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5D8BB" w14:textId="77777777" w:rsidR="006636C9" w:rsidRPr="006636C9" w:rsidRDefault="006636C9" w:rsidP="006636C9">
      <w:pPr>
        <w:spacing w:line="360" w:lineRule="auto"/>
        <w:ind w:firstLine="709"/>
        <w:jc w:val="right"/>
        <w:rPr>
          <w:rFonts w:ascii="Times New Roman" w:hAnsi="Times New Roman" w:cs="Times New Roman"/>
          <w:bCs/>
          <w:color w:val="000000"/>
          <w:sz w:val="24"/>
          <w:szCs w:val="24"/>
        </w:rPr>
      </w:pPr>
      <w:r w:rsidRPr="006636C9">
        <w:rPr>
          <w:rFonts w:ascii="Times New Roman" w:hAnsi="Times New Roman" w:cs="Times New Roman"/>
          <w:bCs/>
          <w:sz w:val="24"/>
          <w:szCs w:val="24"/>
        </w:rPr>
        <w:t>Trilha 1: Teorias e Desenvolvimento</w:t>
      </w:r>
    </w:p>
    <w:p w14:paraId="6EBCBD64" w14:textId="77777777" w:rsidR="00D8471E" w:rsidRDefault="00D8471E" w:rsidP="006636C9">
      <w:pPr>
        <w:spacing w:line="240" w:lineRule="auto"/>
        <w:jc w:val="right"/>
        <w:rPr>
          <w:rFonts w:ascii="Times New Roman" w:eastAsia="Times New Roman" w:hAnsi="Times New Roman" w:cs="Times New Roman"/>
          <w:b/>
          <w:sz w:val="24"/>
          <w:szCs w:val="24"/>
        </w:rPr>
      </w:pPr>
    </w:p>
    <w:p w14:paraId="349FDB32" w14:textId="00A29646" w:rsidR="007D5801" w:rsidRPr="006636C9" w:rsidRDefault="006636C9" w:rsidP="006636C9">
      <w:pPr>
        <w:pStyle w:val="p1"/>
        <w:jc w:val="center"/>
        <w:rPr>
          <w:sz w:val="28"/>
          <w:szCs w:val="28"/>
        </w:rPr>
      </w:pPr>
      <w:r w:rsidRPr="007D5801">
        <w:rPr>
          <w:b/>
          <w:bCs/>
          <w:sz w:val="28"/>
          <w:szCs w:val="28"/>
        </w:rPr>
        <w:t>DIRETRIZES PARA A INOVAÇÃO SEGURA: EQUILIBRANDO GESTÃO DO</w:t>
      </w:r>
      <w:r>
        <w:rPr>
          <w:sz w:val="28"/>
          <w:szCs w:val="28"/>
        </w:rPr>
        <w:t xml:space="preserve"> </w:t>
      </w:r>
      <w:r w:rsidRPr="007D5801">
        <w:rPr>
          <w:b/>
          <w:bCs/>
          <w:sz w:val="28"/>
          <w:szCs w:val="28"/>
        </w:rPr>
        <w:t>CONHECIMENTO E CIBERSEGURANÇA</w:t>
      </w:r>
    </w:p>
    <w:p w14:paraId="77B20DF4" w14:textId="77777777" w:rsidR="009E5BAC" w:rsidRPr="007D5801" w:rsidRDefault="009E5BAC" w:rsidP="007D5801">
      <w:pPr>
        <w:pStyle w:val="p1"/>
        <w:jc w:val="center"/>
        <w:rPr>
          <w:sz w:val="28"/>
          <w:szCs w:val="28"/>
        </w:rPr>
      </w:pPr>
    </w:p>
    <w:p w14:paraId="3017D588" w14:textId="7063B757" w:rsidR="007D5801" w:rsidRPr="007D5801" w:rsidRDefault="006636C9" w:rsidP="006636C9">
      <w:pPr>
        <w:pStyle w:val="p1"/>
        <w:jc w:val="center"/>
        <w:rPr>
          <w:sz w:val="28"/>
          <w:szCs w:val="28"/>
        </w:rPr>
      </w:pPr>
      <w:r w:rsidRPr="007D5801">
        <w:rPr>
          <w:i/>
          <w:iCs/>
          <w:sz w:val="28"/>
          <w:szCs w:val="28"/>
        </w:rPr>
        <w:t>GUIDELINES FOR SECURE INNOVATION: BALANCING KNOWLEDGE MANAGEMENT AND</w:t>
      </w:r>
      <w:r>
        <w:rPr>
          <w:sz w:val="28"/>
          <w:szCs w:val="28"/>
        </w:rPr>
        <w:t xml:space="preserve"> </w:t>
      </w:r>
      <w:r w:rsidRPr="007D5801">
        <w:rPr>
          <w:i/>
          <w:iCs/>
          <w:sz w:val="28"/>
          <w:szCs w:val="28"/>
        </w:rPr>
        <w:t>CYBERSECURITY</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24A54A04" w14:textId="56C1CAB4" w:rsidR="009E5BAC" w:rsidRPr="009E5BAC" w:rsidRDefault="009E5BAC" w:rsidP="006F452E">
      <w:pPr>
        <w:spacing w:line="240" w:lineRule="auto"/>
        <w:jc w:val="right"/>
        <w:rPr>
          <w:rFonts w:ascii="Times New Roman" w:eastAsia="Times New Roman" w:hAnsi="Times New Roman" w:cs="Times New Roman"/>
          <w:b/>
          <w:bCs/>
          <w:sz w:val="24"/>
          <w:szCs w:val="24"/>
        </w:rPr>
      </w:pPr>
      <w:r w:rsidRPr="009E5BAC">
        <w:rPr>
          <w:rFonts w:ascii="Times New Roman" w:hAnsi="Times New Roman" w:cs="Times New Roman"/>
          <w:b/>
          <w:bCs/>
          <w:sz w:val="24"/>
          <w:szCs w:val="24"/>
        </w:rPr>
        <w:t>Philipp Valim</w:t>
      </w:r>
      <w:r w:rsidRPr="009E5BAC">
        <w:rPr>
          <w:rFonts w:ascii="Times New Roman" w:eastAsia="Times New Roman" w:hAnsi="Times New Roman" w:cs="Times New Roman"/>
          <w:b/>
          <w:bCs/>
          <w:sz w:val="24"/>
          <w:szCs w:val="24"/>
        </w:rPr>
        <w:t xml:space="preserve"> </w:t>
      </w:r>
    </w:p>
    <w:p w14:paraId="21E450E1" w14:textId="591F776A" w:rsidR="006F452E" w:rsidRPr="007D5801" w:rsidRDefault="009E5BA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Mestrando</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Universidade Nove de Julho</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UNINOVE</w:t>
      </w:r>
      <w:r w:rsidR="006F452E" w:rsidRPr="007D580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Brasil</w:t>
      </w:r>
      <w:r w:rsidR="006F452E" w:rsidRPr="007D5801">
        <w:rPr>
          <w:rFonts w:ascii="Times New Roman" w:eastAsia="Times New Roman" w:hAnsi="Times New Roman" w:cs="Times New Roman"/>
          <w:sz w:val="24"/>
          <w:szCs w:val="24"/>
        </w:rPr>
        <w:t xml:space="preserve">. </w:t>
      </w:r>
    </w:p>
    <w:p w14:paraId="5D195253" w14:textId="74D43B8A" w:rsidR="006F452E" w:rsidRDefault="009E5BAC" w:rsidP="006F452E">
      <w:pPr>
        <w:spacing w:line="240" w:lineRule="auto"/>
        <w:jc w:val="right"/>
        <w:rPr>
          <w:rFonts w:ascii="Times New Roman" w:eastAsia="Times New Roman" w:hAnsi="Times New Roman" w:cs="Times New Roman"/>
          <w:sz w:val="24"/>
          <w:szCs w:val="24"/>
        </w:rPr>
      </w:pPr>
      <w:hyperlink r:id="rId9" w:history="1">
        <w:r w:rsidRPr="008546EA">
          <w:rPr>
            <w:rStyle w:val="Hyperlink"/>
            <w:rFonts w:ascii="Times New Roman" w:eastAsia="Times New Roman" w:hAnsi="Times New Roman" w:cs="Times New Roman"/>
            <w:sz w:val="24"/>
            <w:szCs w:val="24"/>
          </w:rPr>
          <w:t>philippvalim@gmail.com</w:t>
        </w:r>
      </w:hyperlink>
      <w:r w:rsidR="006F452E" w:rsidRPr="007D5801">
        <w:rPr>
          <w:rFonts w:ascii="Times New Roman" w:eastAsia="Times New Roman" w:hAnsi="Times New Roman" w:cs="Times New Roman"/>
          <w:sz w:val="24"/>
          <w:szCs w:val="24"/>
        </w:rPr>
        <w:t>.</w:t>
      </w:r>
    </w:p>
    <w:p w14:paraId="78FD7BDF" w14:textId="77777777" w:rsidR="009E5BAC" w:rsidRPr="007D5801" w:rsidRDefault="009E5BAC" w:rsidP="006F452E">
      <w:pPr>
        <w:spacing w:line="240" w:lineRule="auto"/>
        <w:jc w:val="right"/>
        <w:rPr>
          <w:rFonts w:ascii="Times New Roman" w:eastAsia="Times New Roman" w:hAnsi="Times New Roman" w:cs="Times New Roman"/>
          <w:sz w:val="24"/>
          <w:szCs w:val="24"/>
        </w:rPr>
      </w:pPr>
    </w:p>
    <w:p w14:paraId="05E6004F" w14:textId="34DE572D" w:rsidR="006F452E" w:rsidRPr="007D5801" w:rsidRDefault="009E5BAC" w:rsidP="006F452E">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Ivanir Costa</w:t>
      </w:r>
    </w:p>
    <w:p w14:paraId="63A67B30" w14:textId="74B40B4C" w:rsidR="006F452E" w:rsidRPr="007D5801" w:rsidRDefault="009E5BA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Doutor</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Universidade Nove de Julho</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UNINOVE</w:t>
      </w:r>
      <w:r w:rsidR="006F452E" w:rsidRPr="007D580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Brasil</w:t>
      </w:r>
      <w:r w:rsidR="006F452E" w:rsidRPr="007D5801">
        <w:rPr>
          <w:rFonts w:ascii="Times New Roman" w:eastAsia="Times New Roman" w:hAnsi="Times New Roman" w:cs="Times New Roman"/>
          <w:sz w:val="24"/>
          <w:szCs w:val="24"/>
        </w:rPr>
        <w:t xml:space="preserve">. </w:t>
      </w:r>
    </w:p>
    <w:p w14:paraId="04D0CBE3" w14:textId="31F87D30" w:rsidR="006F452E" w:rsidRDefault="009E5BAC" w:rsidP="006F452E">
      <w:pPr>
        <w:spacing w:line="240" w:lineRule="auto"/>
        <w:jc w:val="right"/>
        <w:rPr>
          <w:rFonts w:ascii="Times New Roman" w:eastAsia="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"mailto:</w:instrText>
      </w:r>
      <w:r w:rsidRPr="009E5BAC">
        <w:rPr>
          <w:rFonts w:ascii="Times New Roman" w:hAnsi="Times New Roman" w:cs="Times New Roman"/>
          <w:sz w:val="24"/>
          <w:szCs w:val="24"/>
        </w:rPr>
        <w:instrText>icosta11@live.com</w:instrText>
      </w:r>
      <w:r>
        <w:rPr>
          <w:rFonts w:ascii="Times New Roman" w:hAnsi="Times New Roman" w:cs="Times New Roman"/>
          <w:sz w:val="24"/>
          <w:szCs w:val="24"/>
        </w:rPr>
        <w:instrText>"</w:instrText>
      </w:r>
      <w:r>
        <w:rPr>
          <w:rFonts w:ascii="Times New Roman" w:hAnsi="Times New Roman" w:cs="Times New Roman"/>
          <w:sz w:val="24"/>
          <w:szCs w:val="24"/>
        </w:rPr>
        <w:fldChar w:fldCharType="separate"/>
      </w:r>
      <w:r w:rsidRPr="008546EA">
        <w:rPr>
          <w:rStyle w:val="Hyperlink"/>
          <w:rFonts w:ascii="Times New Roman" w:hAnsi="Times New Roman" w:cs="Times New Roman"/>
          <w:sz w:val="24"/>
          <w:szCs w:val="24"/>
        </w:rPr>
        <w:t>icosta11@live.com</w:t>
      </w:r>
      <w:r>
        <w:rPr>
          <w:rFonts w:ascii="Times New Roman" w:hAnsi="Times New Roman" w:cs="Times New Roman"/>
          <w:sz w:val="24"/>
          <w:szCs w:val="24"/>
        </w:rPr>
        <w:fldChar w:fldCharType="end"/>
      </w:r>
      <w:r w:rsidR="006F452E" w:rsidRPr="007D5801">
        <w:rPr>
          <w:rFonts w:ascii="Times New Roman" w:eastAsia="Times New Roman" w:hAnsi="Times New Roman" w:cs="Times New Roman"/>
          <w:sz w:val="24"/>
          <w:szCs w:val="24"/>
        </w:rPr>
        <w:t>.</w:t>
      </w:r>
    </w:p>
    <w:p w14:paraId="0A0B54B8" w14:textId="77777777" w:rsidR="009E5BAC" w:rsidRPr="007D5801" w:rsidRDefault="009E5BAC" w:rsidP="006F452E">
      <w:pPr>
        <w:spacing w:line="240" w:lineRule="auto"/>
        <w:jc w:val="right"/>
        <w:rPr>
          <w:rFonts w:ascii="Times New Roman" w:eastAsia="Times New Roman" w:hAnsi="Times New Roman" w:cs="Times New Roman"/>
          <w:sz w:val="24"/>
          <w:szCs w:val="24"/>
        </w:rPr>
      </w:pPr>
    </w:p>
    <w:p w14:paraId="3485F7C0" w14:textId="15E6AADC" w:rsidR="006F452E" w:rsidRPr="007D5801" w:rsidRDefault="009E5BAC" w:rsidP="006F452E">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Marco </w:t>
      </w:r>
      <w:proofErr w:type="spellStart"/>
      <w:r>
        <w:rPr>
          <w:rFonts w:ascii="Times New Roman" w:eastAsia="Times New Roman" w:hAnsi="Times New Roman" w:cs="Times New Roman"/>
          <w:b/>
          <w:bCs/>
          <w:sz w:val="24"/>
          <w:szCs w:val="24"/>
        </w:rPr>
        <w:t>Antonio</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Norbiato</w:t>
      </w:r>
      <w:proofErr w:type="spellEnd"/>
    </w:p>
    <w:p w14:paraId="127E4D7B" w14:textId="1541239C" w:rsidR="006F452E" w:rsidRPr="007D5801" w:rsidRDefault="009E5BA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Mestrando</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Universidade Nove de Julho</w:t>
      </w:r>
      <w:r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UNINOVE</w:t>
      </w:r>
      <w:r w:rsidRPr="007D580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Brasil</w:t>
      </w:r>
      <w:r w:rsidR="006F452E" w:rsidRPr="007D5801">
        <w:rPr>
          <w:rFonts w:ascii="Times New Roman" w:eastAsia="Times New Roman" w:hAnsi="Times New Roman" w:cs="Times New Roman"/>
          <w:sz w:val="24"/>
          <w:szCs w:val="24"/>
        </w:rPr>
        <w:t xml:space="preserve">. </w:t>
      </w:r>
    </w:p>
    <w:p w14:paraId="126F1B2A" w14:textId="39C066CB" w:rsidR="006F452E" w:rsidRDefault="009E5BAC" w:rsidP="006F452E">
      <w:pPr>
        <w:spacing w:line="240" w:lineRule="auto"/>
        <w:jc w:val="right"/>
        <w:rPr>
          <w:rFonts w:ascii="Times New Roman" w:eastAsia="Times New Roman" w:hAnsi="Times New Roman" w:cs="Times New Roman"/>
          <w:sz w:val="24"/>
          <w:szCs w:val="24"/>
        </w:rPr>
      </w:pPr>
      <w:hyperlink r:id="rId10" w:history="1">
        <w:r w:rsidRPr="008546EA">
          <w:rPr>
            <w:rStyle w:val="Hyperlink"/>
            <w:rFonts w:ascii="Times New Roman" w:eastAsia="Times New Roman" w:hAnsi="Times New Roman" w:cs="Times New Roman"/>
            <w:sz w:val="24"/>
            <w:szCs w:val="24"/>
          </w:rPr>
          <w:t>norbiato@msn.com</w:t>
        </w:r>
      </w:hyperlink>
      <w:r w:rsidR="006F452E" w:rsidRPr="007D5801">
        <w:rPr>
          <w:rFonts w:ascii="Times New Roman" w:eastAsia="Times New Roman" w:hAnsi="Times New Roman" w:cs="Times New Roman"/>
          <w:sz w:val="24"/>
          <w:szCs w:val="24"/>
        </w:rPr>
        <w:t>.</w:t>
      </w:r>
    </w:p>
    <w:p w14:paraId="046D97E1" w14:textId="77777777" w:rsidR="009E5BAC" w:rsidRPr="007D5801" w:rsidRDefault="009E5BAC" w:rsidP="006F452E">
      <w:pPr>
        <w:spacing w:line="240" w:lineRule="auto"/>
        <w:jc w:val="right"/>
        <w:rPr>
          <w:rFonts w:ascii="Times New Roman" w:eastAsia="Times New Roman" w:hAnsi="Times New Roman" w:cs="Times New Roman"/>
          <w:sz w:val="24"/>
          <w:szCs w:val="24"/>
        </w:rPr>
      </w:pPr>
    </w:p>
    <w:p w14:paraId="4E5BCB66" w14:textId="07EB57E9" w:rsidR="006F452E" w:rsidRPr="007D5801" w:rsidRDefault="009E5BAC" w:rsidP="006F452E">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Ricardo Castilho</w:t>
      </w:r>
    </w:p>
    <w:p w14:paraId="3296FA2C" w14:textId="2EFCE5F6" w:rsidR="006F452E" w:rsidRPr="007D5801" w:rsidRDefault="009E5BA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Mestrando</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Universidade Federal do ABC</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UFABC</w:t>
      </w:r>
      <w:r w:rsidR="006F452E" w:rsidRPr="007D580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Brasil</w:t>
      </w:r>
      <w:r w:rsidR="006F452E" w:rsidRPr="007D5801">
        <w:rPr>
          <w:rFonts w:ascii="Times New Roman" w:eastAsia="Times New Roman" w:hAnsi="Times New Roman" w:cs="Times New Roman"/>
          <w:sz w:val="24"/>
          <w:szCs w:val="24"/>
        </w:rPr>
        <w:t xml:space="preserve">. </w:t>
      </w:r>
    </w:p>
    <w:p w14:paraId="650835F6" w14:textId="0498F572" w:rsidR="006F452E" w:rsidRDefault="009E5BAC" w:rsidP="006F452E">
      <w:pPr>
        <w:spacing w:line="240" w:lineRule="auto"/>
        <w:jc w:val="right"/>
        <w:rPr>
          <w:rFonts w:ascii="Times New Roman" w:eastAsia="Times New Roman" w:hAnsi="Times New Roman" w:cs="Times New Roman"/>
          <w:sz w:val="24"/>
          <w:szCs w:val="24"/>
        </w:rPr>
      </w:pPr>
      <w:hyperlink r:id="rId11" w:history="1">
        <w:r w:rsidRPr="008546EA">
          <w:rPr>
            <w:rStyle w:val="Hyperlink"/>
            <w:rFonts w:ascii="Times New Roman" w:eastAsia="Times New Roman" w:hAnsi="Times New Roman" w:cs="Times New Roman"/>
            <w:sz w:val="24"/>
            <w:szCs w:val="24"/>
          </w:rPr>
          <w:t>ricardu.castilho.rc@gmail.com</w:t>
        </w:r>
      </w:hyperlink>
      <w:r w:rsidR="006F452E" w:rsidRPr="007D5801">
        <w:rPr>
          <w:rFonts w:ascii="Times New Roman" w:eastAsia="Times New Roman" w:hAnsi="Times New Roman" w:cs="Times New Roman"/>
          <w:sz w:val="24"/>
          <w:szCs w:val="24"/>
        </w:rPr>
        <w:t>.</w:t>
      </w:r>
    </w:p>
    <w:p w14:paraId="68FD0EE2" w14:textId="77777777" w:rsidR="009E5BAC" w:rsidRPr="007D5801" w:rsidRDefault="009E5BAC" w:rsidP="006F452E">
      <w:pPr>
        <w:spacing w:line="240" w:lineRule="auto"/>
        <w:jc w:val="right"/>
        <w:rPr>
          <w:rFonts w:ascii="Times New Roman" w:eastAsia="Times New Roman" w:hAnsi="Times New Roman" w:cs="Times New Roman"/>
          <w:sz w:val="24"/>
          <w:szCs w:val="24"/>
        </w:rPr>
      </w:pPr>
    </w:p>
    <w:p w14:paraId="070AFF41" w14:textId="21C5826B" w:rsidR="006F452E" w:rsidRPr="007D5801" w:rsidRDefault="009E5BAC" w:rsidP="006F452E">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Geraldo Cardoso de Oliveira Neto</w:t>
      </w:r>
    </w:p>
    <w:p w14:paraId="4BEF0EC5" w14:textId="1CB3E335" w:rsidR="006F452E" w:rsidRPr="007D5801" w:rsidRDefault="009E5BA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Pós Doutor</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Universidade Federal do ABC</w:t>
      </w:r>
      <w:r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UFABC</w:t>
      </w:r>
      <w:r w:rsidRPr="007D58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F452E" w:rsidRPr="007D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Brasil</w:t>
      </w:r>
      <w:r w:rsidR="006F452E" w:rsidRPr="007D5801">
        <w:rPr>
          <w:rFonts w:ascii="Times New Roman" w:eastAsia="Times New Roman" w:hAnsi="Times New Roman" w:cs="Times New Roman"/>
          <w:sz w:val="24"/>
          <w:szCs w:val="24"/>
        </w:rPr>
        <w:t xml:space="preserve">. </w:t>
      </w:r>
    </w:p>
    <w:p w14:paraId="2D167136" w14:textId="1E414676" w:rsidR="006F452E" w:rsidRDefault="009E5BAC" w:rsidP="006F452E">
      <w:pPr>
        <w:spacing w:line="240" w:lineRule="auto"/>
        <w:jc w:val="right"/>
        <w:rPr>
          <w:rFonts w:ascii="Times New Roman" w:eastAsia="Times New Roman" w:hAnsi="Times New Roman" w:cs="Times New Roman"/>
          <w:sz w:val="24"/>
          <w:szCs w:val="24"/>
        </w:rPr>
      </w:pPr>
      <w:hyperlink r:id="rId12" w:history="1">
        <w:r w:rsidRPr="008546EA">
          <w:rPr>
            <w:rStyle w:val="Hyperlink"/>
            <w:rFonts w:ascii="Times New Roman" w:eastAsia="Times New Roman" w:hAnsi="Times New Roman" w:cs="Times New Roman"/>
            <w:sz w:val="24"/>
            <w:szCs w:val="24"/>
          </w:rPr>
          <w:t>geraldo.prod@gmail.com</w:t>
        </w:r>
      </w:hyperlink>
      <w:r w:rsidR="006F452E" w:rsidRPr="007D5801">
        <w:rPr>
          <w:rFonts w:ascii="Times New Roman" w:eastAsia="Times New Roman" w:hAnsi="Times New Roman" w:cs="Times New Roman"/>
          <w:sz w:val="24"/>
          <w:szCs w:val="24"/>
        </w:rPr>
        <w:t>.</w:t>
      </w:r>
    </w:p>
    <w:p w14:paraId="278B0543" w14:textId="77777777" w:rsidR="009E5BAC" w:rsidRPr="007D5801" w:rsidRDefault="009E5BAC" w:rsidP="006F452E">
      <w:pPr>
        <w:spacing w:line="240" w:lineRule="auto"/>
        <w:jc w:val="right"/>
        <w:rPr>
          <w:rFonts w:ascii="Times New Roman" w:eastAsia="Times New Roman" w:hAnsi="Times New Roman" w:cs="Times New Roman"/>
          <w:sz w:val="24"/>
          <w:szCs w:val="24"/>
        </w:rPr>
      </w:pPr>
    </w:p>
    <w:p w14:paraId="33B4A761" w14:textId="77777777" w:rsidR="006F452E" w:rsidRPr="007D5801" w:rsidRDefault="006F452E" w:rsidP="006F452E">
      <w:pPr>
        <w:spacing w:line="240" w:lineRule="auto"/>
        <w:jc w:val="right"/>
        <w:rPr>
          <w:rFonts w:ascii="Times New Roman" w:eastAsia="Times New Roman" w:hAnsi="Times New Roman" w:cs="Times New Roman"/>
          <w:sz w:val="24"/>
          <w:szCs w:val="24"/>
        </w:rPr>
      </w:pPr>
    </w:p>
    <w:p w14:paraId="64957F5C" w14:textId="77777777" w:rsidR="007D5801" w:rsidRDefault="007D5801" w:rsidP="006F452E">
      <w:pPr>
        <w:spacing w:line="240" w:lineRule="auto"/>
        <w:jc w:val="right"/>
        <w:rPr>
          <w:rFonts w:ascii="Times New Roman" w:eastAsia="Times New Roman" w:hAnsi="Times New Roman" w:cs="Times New Roman"/>
          <w:sz w:val="24"/>
          <w:szCs w:val="24"/>
        </w:rPr>
      </w:pPr>
    </w:p>
    <w:p w14:paraId="079B4271" w14:textId="77777777" w:rsidR="006636C9" w:rsidRPr="006636C9" w:rsidRDefault="006636C9" w:rsidP="006636C9">
      <w:pPr>
        <w:spacing w:line="360" w:lineRule="auto"/>
        <w:rPr>
          <w:rFonts w:ascii="Times New Roman" w:hAnsi="Times New Roman" w:cs="Times New Roman"/>
          <w:b/>
          <w:bCs/>
          <w:color w:val="000000"/>
          <w:sz w:val="28"/>
          <w:szCs w:val="28"/>
        </w:rPr>
      </w:pPr>
      <w:r w:rsidRPr="006636C9">
        <w:rPr>
          <w:rFonts w:ascii="Times New Roman" w:hAnsi="Times New Roman" w:cs="Times New Roman"/>
          <w:b/>
          <w:bCs/>
          <w:color w:val="000000"/>
          <w:sz w:val="28"/>
          <w:szCs w:val="28"/>
        </w:rPr>
        <w:t>RESUMO</w:t>
      </w:r>
    </w:p>
    <w:p w14:paraId="6A50A764" w14:textId="0A9A0436" w:rsidR="006636C9" w:rsidRPr="00F16BCE" w:rsidRDefault="006636C9" w:rsidP="006636C9">
      <w:pPr>
        <w:pStyle w:val="NormalWeb"/>
        <w:jc w:val="both"/>
        <w:rPr>
          <w:color w:val="000000"/>
        </w:rPr>
      </w:pPr>
      <w:r w:rsidRPr="00F16BCE">
        <w:rPr>
          <w:color w:val="000000"/>
        </w:rPr>
        <w:t>A crescente relevância estratégica da Gestão do Conhecimento para a competitividade em ambientes digitais contrasta com a urgente necessidade de proteger informações diante de ameaças cibernéticas cada vez mais sofisticadas. Este trabalho investiga a interseção entre Cibersegurança e Gestão do Conhecimento,</w:t>
      </w:r>
      <w:r w:rsidRPr="00F16BCE">
        <w:rPr>
          <w:rStyle w:val="apple-converted-space"/>
          <w:rFonts w:eastAsiaTheme="majorEastAsia"/>
          <w:color w:val="000000"/>
        </w:rPr>
        <w:t> </w:t>
      </w:r>
      <w:r w:rsidRPr="00F16BCE">
        <w:rPr>
          <w:rStyle w:val="Forte"/>
          <w:rFonts w:eastAsiaTheme="majorEastAsia"/>
          <w:b w:val="0"/>
          <w:bCs w:val="0"/>
          <w:color w:val="000000"/>
        </w:rPr>
        <w:t>propondo um conjunto de diretrizes práticas que integram</w:t>
      </w:r>
      <w:r w:rsidRPr="00F16BCE">
        <w:rPr>
          <w:rStyle w:val="apple-converted-space"/>
          <w:rFonts w:eastAsiaTheme="majorEastAsia"/>
          <w:color w:val="000000"/>
        </w:rPr>
        <w:t> </w:t>
      </w:r>
      <w:r w:rsidRPr="00F16BCE">
        <w:rPr>
          <w:color w:val="000000"/>
        </w:rPr>
        <w:t>os princípios da segurança da informação apresentad</w:t>
      </w:r>
      <w:r w:rsidRPr="00F16BCE">
        <w:rPr>
          <w:color w:val="000000"/>
        </w:rPr>
        <w:t>o</w:t>
      </w:r>
      <w:r w:rsidRPr="00F16BCE">
        <w:rPr>
          <w:color w:val="000000"/>
        </w:rPr>
        <w:t>s nos frameworks ISO 27001, COBIT 2019, NIST CSF. Interseção que considera as estratégias de Gestão do Conhecimento com suas dimensões técnicas, culturais e de governança. Através de uma revisão da literatura e análise de práticas multissetoriais, identificou-se obstáculos comuns, como controles rígidos que inibem a colaboração e a ausência de diretrizes para classificar o conhecimento como ativo sensível. A pesquisa resultou em uma proposta de um framework com quatro diretrizes, alicerçada nos frameworks referenciados e corroborada pela revisão de literatura. As diretrizes propostas visam mitigar conflitos entre áreas de tecnologia e negócio, promovendo ambientes colaborativos e seguros. A implementação eficaz contribuirá para a disseminação estratégica do conhecimento, impulsionando inovação e competitividade sem comprometer a segurança.</w:t>
      </w:r>
    </w:p>
    <w:p w14:paraId="333285F7" w14:textId="09A76428" w:rsidR="006636C9" w:rsidRPr="00F16BCE" w:rsidRDefault="006636C9" w:rsidP="006636C9">
      <w:pPr>
        <w:pStyle w:val="NormalWeb"/>
        <w:jc w:val="both"/>
      </w:pPr>
      <w:r w:rsidRPr="00F16BCE">
        <w:rPr>
          <w:rStyle w:val="Forte"/>
          <w:rFonts w:eastAsiaTheme="majorEastAsia"/>
          <w:color w:val="000000"/>
        </w:rPr>
        <w:lastRenderedPageBreak/>
        <w:t>PALAVRAS-CHAVE:</w:t>
      </w:r>
      <w:r w:rsidRPr="00F16BCE">
        <w:rPr>
          <w:rStyle w:val="apple-converted-space"/>
          <w:rFonts w:eastAsiaTheme="majorEastAsia"/>
          <w:color w:val="000000"/>
        </w:rPr>
        <w:t> Gestão do Conhecimento</w:t>
      </w:r>
      <w:r w:rsidRPr="00F16BCE">
        <w:t xml:space="preserve">, </w:t>
      </w:r>
      <w:r w:rsidRPr="00F16BCE">
        <w:t>Cibersegurança, ISO</w:t>
      </w:r>
      <w:r w:rsidRPr="00F16BCE">
        <w:t xml:space="preserve"> 27001, COBIT 2019, NIST CSF.</w:t>
      </w:r>
    </w:p>
    <w:p w14:paraId="344A1804" w14:textId="77777777" w:rsidR="006636C9" w:rsidRPr="006636C9" w:rsidRDefault="006636C9" w:rsidP="006636C9">
      <w:pPr>
        <w:spacing w:line="360" w:lineRule="auto"/>
        <w:jc w:val="both"/>
        <w:rPr>
          <w:rFonts w:ascii="Times New Roman" w:hAnsi="Times New Roman" w:cs="Times New Roman"/>
          <w:b/>
          <w:bCs/>
          <w:sz w:val="28"/>
          <w:szCs w:val="28"/>
          <w:lang w:val="en-US"/>
        </w:rPr>
      </w:pPr>
      <w:r w:rsidRPr="006636C9">
        <w:rPr>
          <w:rFonts w:ascii="Times New Roman" w:hAnsi="Times New Roman" w:cs="Times New Roman"/>
          <w:b/>
          <w:bCs/>
          <w:sz w:val="28"/>
          <w:szCs w:val="28"/>
          <w:lang w:val="en-US"/>
        </w:rPr>
        <w:t>ABSTRACT</w:t>
      </w:r>
    </w:p>
    <w:p w14:paraId="19882FA4" w14:textId="77777777" w:rsidR="006636C9" w:rsidRPr="00F16BCE" w:rsidRDefault="006636C9" w:rsidP="006636C9">
      <w:pPr>
        <w:spacing w:before="100" w:beforeAutospacing="1" w:after="100" w:afterAutospacing="1"/>
        <w:jc w:val="both"/>
        <w:rPr>
          <w:rFonts w:ascii="Times New Roman" w:hAnsi="Times New Roman" w:cs="Times New Roman"/>
          <w:color w:val="000000"/>
          <w:sz w:val="24"/>
          <w:szCs w:val="24"/>
          <w:lang w:val="en-US"/>
        </w:rPr>
      </w:pPr>
      <w:r w:rsidRPr="00F16BCE">
        <w:rPr>
          <w:rFonts w:ascii="Times New Roman" w:hAnsi="Times New Roman" w:cs="Times New Roman"/>
          <w:color w:val="000000"/>
          <w:sz w:val="24"/>
          <w:szCs w:val="24"/>
          <w:lang w:val="en-US"/>
        </w:rPr>
        <w:t>The growing strategic importance of knowledge management (KM) for competitiveness in digital environments contrasts with the pressing need to protect information against increasingly sophisticated cyber threats. This paper investigates the intersection between Cybersecurity and KM, proposing a set of practical guidelines that integrate information security principles, presented in ISO 27001, COBIT 2019, NIST CSF frameworks. Intersection that considers Knowledge Management strategies with their technical, cultural, and governance dimensions. Through a literature review and analysis of multi-sectoral practices, common obstacles were identified, such as rigid controls that inhibit collaboration and the lack of guidelines for classifying knowledge as a sensitive asset. The research resulted in a structure of four guidelines, based on the referenced frameworks and corroborated by the literature review. The proposed guidelines aim to mitigate conflicts between technology and business areas, fostering secure and collaborative environments. Effective implementation will contribute to the strategic dissemination of knowledge, driving innovation and competitiveness without compromising security.</w:t>
      </w:r>
    </w:p>
    <w:p w14:paraId="1898666B" w14:textId="77777777" w:rsidR="006636C9" w:rsidRPr="00F16BCE" w:rsidRDefault="006636C9" w:rsidP="006636C9">
      <w:pPr>
        <w:spacing w:before="100" w:beforeAutospacing="1" w:after="100" w:afterAutospacing="1" w:line="360" w:lineRule="auto"/>
        <w:jc w:val="both"/>
        <w:rPr>
          <w:rFonts w:ascii="Times New Roman" w:hAnsi="Times New Roman" w:cs="Times New Roman"/>
          <w:color w:val="000000"/>
          <w:sz w:val="24"/>
          <w:szCs w:val="24"/>
          <w:lang w:val="en-US"/>
        </w:rPr>
      </w:pPr>
      <w:r w:rsidRPr="00F16BCE">
        <w:rPr>
          <w:rFonts w:ascii="Times New Roman" w:hAnsi="Times New Roman" w:cs="Times New Roman"/>
          <w:b/>
          <w:bCs/>
          <w:sz w:val="24"/>
          <w:szCs w:val="24"/>
          <w:lang w:val="en-US"/>
        </w:rPr>
        <w:t>KEYWORDS:</w:t>
      </w:r>
      <w:r w:rsidRPr="00F16BCE">
        <w:rPr>
          <w:rFonts w:ascii="Times New Roman" w:hAnsi="Times New Roman" w:cs="Times New Roman"/>
          <w:sz w:val="24"/>
          <w:szCs w:val="24"/>
          <w:lang w:val="en-US"/>
        </w:rPr>
        <w:t> </w:t>
      </w:r>
      <w:r w:rsidRPr="00F16BCE">
        <w:rPr>
          <w:rFonts w:ascii="Times New Roman" w:hAnsi="Times New Roman" w:cs="Times New Roman"/>
          <w:color w:val="000000"/>
          <w:sz w:val="24"/>
          <w:szCs w:val="24"/>
          <w:lang w:val="en-US"/>
        </w:rPr>
        <w:t>Knowledge Management, Cybersecurity, ISO 27001, COBIT 2019, NIST CSF.</w:t>
      </w:r>
    </w:p>
    <w:p w14:paraId="299DE76C" w14:textId="77777777" w:rsidR="006636C9" w:rsidRPr="006636C9" w:rsidRDefault="006636C9" w:rsidP="006636C9">
      <w:pPr>
        <w:spacing w:before="100" w:beforeAutospacing="1" w:after="100" w:afterAutospacing="1" w:line="360" w:lineRule="auto"/>
        <w:ind w:firstLine="709"/>
        <w:jc w:val="both"/>
        <w:rPr>
          <w:rFonts w:ascii="Times New Roman" w:hAnsi="Times New Roman" w:cs="Times New Roman"/>
          <w:color w:val="000000"/>
          <w:lang w:val="en-US"/>
        </w:rPr>
      </w:pPr>
    </w:p>
    <w:p w14:paraId="29C3D7D4" w14:textId="77777777" w:rsidR="006636C9" w:rsidRPr="006636C9" w:rsidRDefault="006636C9" w:rsidP="006636C9">
      <w:pPr>
        <w:pStyle w:val="PargrafodaLista"/>
        <w:numPr>
          <w:ilvl w:val="0"/>
          <w:numId w:val="8"/>
        </w:numPr>
        <w:spacing w:before="100" w:beforeAutospacing="1" w:after="100" w:afterAutospacing="1" w:line="360" w:lineRule="auto"/>
        <w:ind w:left="0" w:firstLine="0"/>
        <w:jc w:val="both"/>
        <w:rPr>
          <w:rFonts w:ascii="Times New Roman" w:hAnsi="Times New Roman" w:cs="Times New Roman"/>
          <w:b/>
          <w:bCs/>
          <w:color w:val="000000"/>
          <w:sz w:val="28"/>
          <w:szCs w:val="28"/>
        </w:rPr>
      </w:pPr>
      <w:r w:rsidRPr="006636C9">
        <w:rPr>
          <w:rFonts w:ascii="Times New Roman" w:hAnsi="Times New Roman" w:cs="Times New Roman"/>
          <w:b/>
          <w:bCs/>
          <w:color w:val="000000"/>
          <w:sz w:val="28"/>
          <w:szCs w:val="28"/>
          <w:lang w:val="en-US"/>
        </w:rPr>
        <w:t xml:space="preserve"> </w:t>
      </w:r>
      <w:r w:rsidRPr="006636C9">
        <w:rPr>
          <w:rFonts w:ascii="Times New Roman" w:hAnsi="Times New Roman" w:cs="Times New Roman"/>
          <w:b/>
          <w:bCs/>
          <w:color w:val="000000"/>
          <w:sz w:val="28"/>
          <w:szCs w:val="28"/>
        </w:rPr>
        <w:t>INTRODUÇÃO</w:t>
      </w:r>
    </w:p>
    <w:p w14:paraId="593B9F54" w14:textId="77777777" w:rsidR="006636C9" w:rsidRPr="006636C9" w:rsidRDefault="006636C9" w:rsidP="006636C9">
      <w:pPr>
        <w:pStyle w:val="NormalWeb"/>
        <w:spacing w:line="360" w:lineRule="auto"/>
        <w:ind w:firstLine="709"/>
        <w:jc w:val="both"/>
        <w:rPr>
          <w:color w:val="000000"/>
        </w:rPr>
      </w:pPr>
      <w:r w:rsidRPr="006636C9">
        <w:rPr>
          <w:color w:val="000000"/>
        </w:rPr>
        <w:t xml:space="preserve">As organizações modernas enfrentam um dilema crucial: para inovar e se manter competitivas, precisam estimular a criação e o compartilhamento contínuo do conhecimento, como proposto por </w:t>
      </w:r>
      <w:proofErr w:type="spellStart"/>
      <w:r w:rsidRPr="006636C9">
        <w:rPr>
          <w:color w:val="000000"/>
        </w:rPr>
        <w:t>Nonaka</w:t>
      </w:r>
      <w:proofErr w:type="spellEnd"/>
      <w:r w:rsidRPr="006636C9">
        <w:rPr>
          <w:color w:val="000000"/>
        </w:rPr>
        <w:t xml:space="preserve"> e </w:t>
      </w:r>
      <w:proofErr w:type="spellStart"/>
      <w:r w:rsidRPr="006636C9">
        <w:rPr>
          <w:color w:val="000000"/>
        </w:rPr>
        <w:t>Takeuchi</w:t>
      </w:r>
      <w:proofErr w:type="spellEnd"/>
      <w:r w:rsidRPr="006636C9">
        <w:rPr>
          <w:color w:val="000000"/>
        </w:rPr>
        <w:t xml:space="preserve"> (1995). Contudo, essa abertura para a colaboração cria um desafio central para a</w:t>
      </w:r>
      <w:r w:rsidRPr="006636C9">
        <w:rPr>
          <w:rStyle w:val="apple-converted-space"/>
          <w:rFonts w:eastAsiaTheme="majorEastAsia"/>
          <w:color w:val="000000"/>
        </w:rPr>
        <w:t> </w:t>
      </w:r>
      <w:r w:rsidRPr="00C03DAE">
        <w:rPr>
          <w:rStyle w:val="Forte"/>
          <w:rFonts w:eastAsiaTheme="majorEastAsia"/>
          <w:b w:val="0"/>
          <w:bCs w:val="0"/>
          <w:color w:val="000000"/>
        </w:rPr>
        <w:t>Gestão de Riscos de Cibersegurança</w:t>
      </w:r>
      <w:r w:rsidRPr="006636C9">
        <w:rPr>
          <w:color w:val="000000"/>
        </w:rPr>
        <w:t>: como equilibrar a proteção de ativos valiosos com a agilidade que a inovação exige. O desafio, portanto, vai além de uma questão puramente técnica, revelando-se um problema complexo que envolve a tecnologia, os processos e a cultura da organização.</w:t>
      </w:r>
    </w:p>
    <w:p w14:paraId="5F5C4603" w14:textId="77777777" w:rsidR="006636C9" w:rsidRPr="006636C9" w:rsidRDefault="006636C9" w:rsidP="006636C9">
      <w:pPr>
        <w:pStyle w:val="NormalWeb"/>
        <w:spacing w:line="360" w:lineRule="auto"/>
        <w:ind w:firstLine="709"/>
        <w:jc w:val="both"/>
        <w:rPr>
          <w:color w:val="000000"/>
        </w:rPr>
      </w:pPr>
      <w:r w:rsidRPr="006636C9">
        <w:rPr>
          <w:color w:val="000000"/>
        </w:rPr>
        <w:t>A literatura aponta que a colaboração eficaz é muitas vezes limitada por barreiras culturais e da própria estrutura da empresa, que geram isolamento entre as equipes e dificultam a circulação do conhecimento (</w:t>
      </w:r>
      <w:proofErr w:type="spellStart"/>
      <w:r w:rsidRPr="006636C9">
        <w:rPr>
          <w:color w:val="000000"/>
        </w:rPr>
        <w:t>Alshaikh</w:t>
      </w:r>
      <w:proofErr w:type="spellEnd"/>
      <w:r w:rsidRPr="006636C9">
        <w:rPr>
          <w:color w:val="000000"/>
        </w:rPr>
        <w:t xml:space="preserve"> </w:t>
      </w:r>
      <w:r w:rsidRPr="006636C9">
        <w:rPr>
          <w:i/>
          <w:iCs/>
          <w:color w:val="000000"/>
        </w:rPr>
        <w:t>et al</w:t>
      </w:r>
      <w:r w:rsidRPr="006636C9">
        <w:rPr>
          <w:color w:val="000000"/>
        </w:rPr>
        <w:t xml:space="preserve">., 2025). Essa barreira se torna ainda maior com as abordagens tradicionais de segurança, como treinamentos formais, que muitas vezes falham </w:t>
      </w:r>
      <w:r w:rsidRPr="006636C9">
        <w:rPr>
          <w:color w:val="000000"/>
        </w:rPr>
        <w:lastRenderedPageBreak/>
        <w:t>por serem considerados muito técnicos e distantes da rotina dos colaboradores (</w:t>
      </w:r>
      <w:proofErr w:type="spellStart"/>
      <w:r w:rsidRPr="006636C9">
        <w:rPr>
          <w:color w:val="000000"/>
        </w:rPr>
        <w:t>Pham</w:t>
      </w:r>
      <w:proofErr w:type="spellEnd"/>
      <w:r w:rsidRPr="006636C9">
        <w:rPr>
          <w:color w:val="000000"/>
        </w:rPr>
        <w:t xml:space="preserve"> </w:t>
      </w:r>
      <w:r w:rsidRPr="006636C9">
        <w:rPr>
          <w:i/>
          <w:iCs/>
          <w:color w:val="000000"/>
        </w:rPr>
        <w:t>et al</w:t>
      </w:r>
      <w:r w:rsidRPr="006636C9">
        <w:rPr>
          <w:color w:val="000000"/>
        </w:rPr>
        <w:t>., 2021). Essa cultura organizacional, por sua vez, impacta diretamente a Governança da Cibersegurança, e pode até mesmo anular a eficácia de políticas e regras formais (</w:t>
      </w:r>
      <w:proofErr w:type="spellStart"/>
      <w:r w:rsidRPr="006636C9">
        <w:rPr>
          <w:color w:val="000000"/>
        </w:rPr>
        <w:t>Failla</w:t>
      </w:r>
      <w:proofErr w:type="spellEnd"/>
      <w:r w:rsidRPr="006636C9">
        <w:rPr>
          <w:color w:val="000000"/>
        </w:rPr>
        <w:t>, 2020).</w:t>
      </w:r>
    </w:p>
    <w:p w14:paraId="71F6BB87" w14:textId="77777777" w:rsidR="006636C9" w:rsidRPr="006636C9" w:rsidRDefault="006636C9" w:rsidP="006636C9">
      <w:pPr>
        <w:pStyle w:val="NormalWeb"/>
        <w:spacing w:line="360" w:lineRule="auto"/>
        <w:ind w:firstLine="708"/>
        <w:jc w:val="both"/>
        <w:rPr>
          <w:color w:val="000000"/>
        </w:rPr>
      </w:pPr>
      <w:r w:rsidRPr="006636C9">
        <w:rPr>
          <w:rStyle w:val="citation-91"/>
          <w:rFonts w:eastAsiaTheme="majorEastAsia"/>
        </w:rPr>
        <w:t>Sem a correta integração dos controles de segurança e das estratégias de disseminação do conhecimento</w:t>
      </w:r>
      <w:r w:rsidRPr="006636C9">
        <w:rPr>
          <w:rStyle w:val="citation-91"/>
          <w:rFonts w:eastAsiaTheme="majorEastAsia"/>
          <w:color w:val="000000"/>
        </w:rPr>
        <w:t>, as empresas ou se expõem a riscos inaceitáveis ou criam atrito para a inovação que tanto buscam</w:t>
      </w:r>
      <w:r w:rsidRPr="006636C9">
        <w:rPr>
          <w:rStyle w:val="citation-90"/>
          <w:rFonts w:eastAsiaTheme="majorEastAsia"/>
          <w:color w:val="000000"/>
        </w:rPr>
        <w:t>. No entanto, a</w:t>
      </w:r>
      <w:r w:rsidRPr="006636C9">
        <w:rPr>
          <w:rStyle w:val="citation-90"/>
          <w:rFonts w:eastAsiaTheme="majorEastAsia"/>
        </w:rPr>
        <w:t xml:space="preserve"> Gestão do Conhecimento (GC) organiza e potencializa o saber como ativo mais valioso das empresas. A Cibersegurança é o escudo que protege os ativos digitais de ameaças externas e internas (ISACA, 2022)</w:t>
      </w:r>
      <w:r w:rsidRPr="006636C9">
        <w:rPr>
          <w:rStyle w:val="citation-90"/>
          <w:rFonts w:eastAsiaTheme="majorEastAsia"/>
          <w:color w:val="000000"/>
        </w:rPr>
        <w:t>. Como uma forma de aplicar o equilíbrio na solução deste problema, inverte-se a lógica do conflito: em vez de apenas proteger o conhecimento,</w:t>
      </w:r>
      <w:r w:rsidRPr="006636C9">
        <w:rPr>
          <w:rStyle w:val="apple-converted-space"/>
          <w:rFonts w:eastAsiaTheme="majorEastAsia"/>
          <w:color w:val="000000"/>
        </w:rPr>
        <w:t> </w:t>
      </w:r>
      <w:r w:rsidRPr="006636C9">
        <w:rPr>
          <w:rStyle w:val="citation-90"/>
          <w:rFonts w:eastAsiaTheme="majorEastAsia"/>
          <w:color w:val="000000"/>
        </w:rPr>
        <w:t>utiliza-se a Gestão do Conhecimento (GC) como uma ferramenta para fortalecer a própria Cibersegurança (</w:t>
      </w:r>
      <w:proofErr w:type="spellStart"/>
      <w:r w:rsidRPr="006636C9">
        <w:rPr>
          <w:rStyle w:val="citation-90"/>
          <w:rFonts w:eastAsiaTheme="majorEastAsia"/>
          <w:color w:val="000000"/>
        </w:rPr>
        <w:t>Pham</w:t>
      </w:r>
      <w:proofErr w:type="spellEnd"/>
      <w:r w:rsidRPr="006636C9">
        <w:rPr>
          <w:rStyle w:val="citation-90"/>
          <w:rFonts w:eastAsiaTheme="majorEastAsia"/>
          <w:color w:val="000000"/>
        </w:rPr>
        <w:t xml:space="preserve"> </w:t>
      </w:r>
      <w:r w:rsidRPr="006636C9">
        <w:rPr>
          <w:rStyle w:val="citation-90"/>
          <w:rFonts w:eastAsiaTheme="majorEastAsia"/>
          <w:i/>
          <w:iCs/>
          <w:color w:val="000000"/>
        </w:rPr>
        <w:t>et al</w:t>
      </w:r>
      <w:r w:rsidRPr="006636C9">
        <w:rPr>
          <w:rStyle w:val="citation-90"/>
          <w:rFonts w:eastAsiaTheme="majorEastAsia"/>
          <w:color w:val="000000"/>
        </w:rPr>
        <w:t>. 2021). O autor ainda afirma que a abordagem é sustentada por estudos como o de que demonstram como a eficácia das práticas de segurança está diretamente ligada aos métodos de compartilhamento de conhecimento adotados pela organização</w:t>
      </w:r>
      <w:r w:rsidRPr="006636C9">
        <w:rPr>
          <w:color w:val="000000"/>
        </w:rPr>
        <w:t>.</w:t>
      </w:r>
    </w:p>
    <w:p w14:paraId="21850D1A" w14:textId="77777777" w:rsidR="006636C9" w:rsidRPr="006636C9" w:rsidRDefault="006636C9" w:rsidP="006636C9">
      <w:pPr>
        <w:pStyle w:val="NormalWeb"/>
        <w:spacing w:line="360" w:lineRule="auto"/>
        <w:ind w:firstLine="709"/>
        <w:jc w:val="both"/>
        <w:rPr>
          <w:color w:val="000000"/>
          <w:sz w:val="27"/>
          <w:szCs w:val="27"/>
        </w:rPr>
      </w:pPr>
      <w:r w:rsidRPr="006636C9">
        <w:rPr>
          <w:color w:val="000000"/>
        </w:rPr>
        <w:t>Neste contexto, o objetivo deste trabalho é propor um conjunto de diretrizes práticas que integram os princípios da</w:t>
      </w:r>
      <w:r w:rsidRPr="006636C9">
        <w:rPr>
          <w:rStyle w:val="apple-converted-space"/>
          <w:rFonts w:eastAsiaTheme="majorEastAsia"/>
          <w:color w:val="000000"/>
        </w:rPr>
        <w:t> </w:t>
      </w:r>
      <w:r w:rsidRPr="00F16BCE">
        <w:rPr>
          <w:rStyle w:val="Forte"/>
          <w:rFonts w:eastAsiaTheme="majorEastAsia"/>
          <w:b w:val="0"/>
          <w:bCs w:val="0"/>
          <w:color w:val="000000"/>
        </w:rPr>
        <w:t>Gestão de Riscos</w:t>
      </w:r>
      <w:r w:rsidRPr="006636C9">
        <w:rPr>
          <w:color w:val="000000"/>
        </w:rPr>
        <w:t>, da GC e da Cibersegurança, para auxiliar gestores a construir um ambiente que seja, simultaneamente, colaborativo e seguro.</w:t>
      </w:r>
    </w:p>
    <w:p w14:paraId="085456DF" w14:textId="77777777" w:rsidR="006636C9" w:rsidRPr="006636C9" w:rsidRDefault="006636C9" w:rsidP="006636C9">
      <w:pPr>
        <w:pStyle w:val="PargrafodaLista"/>
        <w:numPr>
          <w:ilvl w:val="0"/>
          <w:numId w:val="8"/>
        </w:numPr>
        <w:spacing w:before="100" w:beforeAutospacing="1" w:after="100" w:afterAutospacing="1" w:line="360" w:lineRule="auto"/>
        <w:ind w:left="0" w:firstLine="0"/>
        <w:jc w:val="both"/>
        <w:rPr>
          <w:rFonts w:ascii="Times New Roman" w:hAnsi="Times New Roman" w:cs="Times New Roman"/>
          <w:b/>
          <w:bCs/>
          <w:color w:val="000000"/>
          <w:sz w:val="28"/>
          <w:szCs w:val="28"/>
        </w:rPr>
      </w:pPr>
      <w:r w:rsidRPr="006636C9">
        <w:rPr>
          <w:rFonts w:ascii="Times New Roman" w:hAnsi="Times New Roman" w:cs="Times New Roman"/>
          <w:b/>
          <w:bCs/>
          <w:color w:val="000000"/>
          <w:sz w:val="28"/>
          <w:szCs w:val="28"/>
        </w:rPr>
        <w:t>REFERENCIAL TEÓRICO</w:t>
      </w:r>
    </w:p>
    <w:p w14:paraId="269553DF" w14:textId="77777777" w:rsidR="006636C9" w:rsidRPr="006636C9" w:rsidRDefault="006636C9" w:rsidP="006636C9">
      <w:pPr>
        <w:pStyle w:val="NormalWeb"/>
        <w:spacing w:line="360" w:lineRule="auto"/>
        <w:jc w:val="both"/>
        <w:rPr>
          <w:color w:val="000000"/>
        </w:rPr>
      </w:pPr>
      <w:r w:rsidRPr="006636C9">
        <w:rPr>
          <w:color w:val="000000"/>
        </w:rPr>
        <w:t>2.1. A GC como motor da competitividade.</w:t>
      </w:r>
    </w:p>
    <w:p w14:paraId="49BF67F4" w14:textId="77777777" w:rsidR="006636C9" w:rsidRPr="006636C9" w:rsidRDefault="006636C9" w:rsidP="006636C9">
      <w:pPr>
        <w:pStyle w:val="NormalWeb"/>
        <w:spacing w:line="360" w:lineRule="auto"/>
        <w:ind w:firstLine="709"/>
        <w:jc w:val="both"/>
        <w:rPr>
          <w:color w:val="000000"/>
        </w:rPr>
      </w:pPr>
      <w:r w:rsidRPr="006636C9">
        <w:rPr>
          <w:color w:val="000000"/>
        </w:rPr>
        <w:t>Em um mercado de alta competitividade, o conhecimento sobre o consumidor tornou-se um ativo estratégico crucial, pois permite que as empresas criem valor e construam relacionamentos duradouros em vez de apenas realizar transações, uma visão central no marketing moderno (Kotler, 2017). A análise de dados sobre os hábitos de consumo permite que empresas criem campanhas direcionadas e eficazes. No entanto, a digitalização massiva dessa inteligência de mercado também a transformou em um alvo valioso para fraudadores. Essa exploração de dados como uma nova forma de capital é uma característica central da economia de vigilância contemporânea (ZUBOFF, 2019).</w:t>
      </w:r>
    </w:p>
    <w:p w14:paraId="4F03E297" w14:textId="77777777" w:rsidR="006636C9" w:rsidRPr="006636C9" w:rsidRDefault="006636C9" w:rsidP="006636C9">
      <w:pPr>
        <w:pStyle w:val="NormalWeb"/>
        <w:spacing w:line="360" w:lineRule="auto"/>
        <w:ind w:firstLine="709"/>
        <w:jc w:val="both"/>
        <w:rPr>
          <w:rStyle w:val="citation-182"/>
          <w:rFonts w:eastAsiaTheme="majorEastAsia"/>
          <w:color w:val="000000"/>
        </w:rPr>
      </w:pPr>
      <w:r w:rsidRPr="006636C9">
        <w:rPr>
          <w:color w:val="000000"/>
        </w:rPr>
        <w:t>A pandemia de COVID-19 intensificou drasticamente este risco.</w:t>
      </w:r>
      <w:r w:rsidRPr="006636C9">
        <w:rPr>
          <w:rStyle w:val="apple-converted-space"/>
          <w:rFonts w:eastAsiaTheme="majorEastAsia"/>
          <w:color w:val="000000"/>
        </w:rPr>
        <w:t> </w:t>
      </w:r>
      <w:r w:rsidRPr="006636C9">
        <w:rPr>
          <w:rStyle w:val="citation-183"/>
          <w:rFonts w:eastAsiaTheme="majorEastAsia"/>
          <w:color w:val="000000"/>
        </w:rPr>
        <w:t xml:space="preserve">Cibercriminosos passaram a explorar o clima de incerteza e o aumento da presença online para aplicar golpes, </w:t>
      </w:r>
      <w:r w:rsidRPr="006636C9">
        <w:rPr>
          <w:rStyle w:val="citation-183"/>
          <w:rFonts w:eastAsiaTheme="majorEastAsia"/>
          <w:color w:val="000000"/>
        </w:rPr>
        <w:lastRenderedPageBreak/>
        <w:t>resultando em um crescimento expressivo dos incidentes de segurança</w:t>
      </w:r>
      <w:r w:rsidRPr="006636C9">
        <w:rPr>
          <w:rStyle w:val="citation-182"/>
          <w:rFonts w:eastAsiaTheme="majorEastAsia"/>
          <w:color w:val="000000"/>
        </w:rPr>
        <w:t>. Uma das táticas mais utilizadas foi o</w:t>
      </w:r>
      <w:r w:rsidRPr="006636C9">
        <w:rPr>
          <w:rStyle w:val="apple-converted-space"/>
          <w:rFonts w:eastAsiaTheme="majorEastAsia"/>
          <w:color w:val="000000"/>
        </w:rPr>
        <w:t> </w:t>
      </w:r>
      <w:proofErr w:type="spellStart"/>
      <w:r w:rsidRPr="006636C9">
        <w:rPr>
          <w:rStyle w:val="citation-182"/>
          <w:rFonts w:eastAsiaTheme="majorEastAsia"/>
          <w:i/>
          <w:iCs/>
          <w:color w:val="000000"/>
        </w:rPr>
        <w:t>phishing</w:t>
      </w:r>
      <w:proofErr w:type="spellEnd"/>
      <w:r w:rsidRPr="006636C9">
        <w:rPr>
          <w:rStyle w:val="citation-182"/>
          <w:rFonts w:eastAsiaTheme="majorEastAsia"/>
          <w:color w:val="000000"/>
        </w:rPr>
        <w:t xml:space="preserve">, onde fraudadores utilizam a identidade visual de empresas conhecidas para enganar clientes e roubar informações, aproveitando-se da credibilidade da marca. Esse tipo de golpe registrou um aumento de até 667% durante o período pandêmico, conforme reportado por empresas de tecnologia e destacado no estudo de Prates </w:t>
      </w:r>
      <w:r w:rsidRPr="006636C9">
        <w:rPr>
          <w:rStyle w:val="citation-182"/>
          <w:rFonts w:eastAsiaTheme="majorEastAsia"/>
          <w:i/>
          <w:iCs/>
          <w:color w:val="000000"/>
        </w:rPr>
        <w:t>et al</w:t>
      </w:r>
      <w:r w:rsidRPr="006636C9">
        <w:rPr>
          <w:rStyle w:val="citation-182"/>
          <w:rFonts w:eastAsiaTheme="majorEastAsia"/>
          <w:color w:val="000000"/>
        </w:rPr>
        <w:t>. (2022)</w:t>
      </w:r>
    </w:p>
    <w:p w14:paraId="6318AAB9" w14:textId="77777777" w:rsidR="006636C9" w:rsidRPr="006636C9" w:rsidRDefault="006636C9" w:rsidP="006636C9">
      <w:pPr>
        <w:pStyle w:val="NormalWeb"/>
        <w:spacing w:line="360" w:lineRule="auto"/>
        <w:ind w:firstLine="709"/>
        <w:jc w:val="both"/>
        <w:rPr>
          <w:color w:val="000000"/>
        </w:rPr>
      </w:pPr>
      <w:r w:rsidRPr="006636C9">
        <w:rPr>
          <w:color w:val="000000"/>
        </w:rPr>
        <w:t xml:space="preserve">De acordo com </w:t>
      </w:r>
      <w:proofErr w:type="spellStart"/>
      <w:r w:rsidRPr="006636C9">
        <w:rPr>
          <w:color w:val="000000"/>
        </w:rPr>
        <w:t>Nonaka</w:t>
      </w:r>
      <w:proofErr w:type="spellEnd"/>
      <w:r w:rsidRPr="006636C9">
        <w:rPr>
          <w:color w:val="000000"/>
        </w:rPr>
        <w:t xml:space="preserve"> e </w:t>
      </w:r>
      <w:proofErr w:type="spellStart"/>
      <w:r w:rsidRPr="006636C9">
        <w:rPr>
          <w:color w:val="000000"/>
        </w:rPr>
        <w:t>Takeuchi</w:t>
      </w:r>
      <w:proofErr w:type="spellEnd"/>
      <w:r w:rsidRPr="006636C9">
        <w:rPr>
          <w:color w:val="000000"/>
        </w:rPr>
        <w:t xml:space="preserve"> (1995), a GC é</w:t>
      </w:r>
      <w:r w:rsidRPr="006636C9">
        <w:rPr>
          <w:rStyle w:val="apple-converted-space"/>
          <w:rFonts w:eastAsiaTheme="majorEastAsia"/>
          <w:color w:val="000000"/>
        </w:rPr>
        <w:t> </w:t>
      </w:r>
      <w:r w:rsidRPr="006636C9">
        <w:rPr>
          <w:rStyle w:val="nfase"/>
          <w:rFonts w:eastAsiaTheme="majorEastAsia"/>
          <w:color w:val="000000"/>
        </w:rPr>
        <w:t>“um processo contínuo e dinâmico de criação, disseminação e institucionalização do conhecimento, que permite às organizações inovarem continuamente.”. Acompanhando o aumento de inovação das empresas, ataques, sejam baseados em fraudes, vazamento de dados, invasões de sistemas também crescem de forma relevante nos últimos anos e vem se tornando um assunto que deve estar na mesa das diretorias.</w:t>
      </w:r>
      <w:r w:rsidRPr="006636C9">
        <w:rPr>
          <w:color w:val="000000"/>
        </w:rPr>
        <w:t xml:space="preserve"> </w:t>
      </w:r>
    </w:p>
    <w:p w14:paraId="445A5C50" w14:textId="77777777" w:rsidR="006636C9" w:rsidRPr="006636C9" w:rsidRDefault="006636C9" w:rsidP="006636C9">
      <w:pPr>
        <w:pStyle w:val="NormalWeb"/>
        <w:spacing w:line="360" w:lineRule="auto"/>
        <w:ind w:firstLine="709"/>
        <w:jc w:val="both"/>
        <w:rPr>
          <w:color w:val="000000"/>
        </w:rPr>
      </w:pPr>
      <w:r w:rsidRPr="006636C9">
        <w:rPr>
          <w:color w:val="000000"/>
        </w:rPr>
        <w:t>A implementação de práticas de GC apresenta, como um de seus principais desafios, a obtenção de adesão e comprometimento por parte dos colaboradores das organizações (Krause, 2014). Todavia, quando a GC é elevada ao nível de governança corporativa,</w:t>
      </w:r>
      <w:r w:rsidRPr="006636C9">
        <w:rPr>
          <w:rStyle w:val="apple-converted-space"/>
          <w:rFonts w:eastAsiaTheme="majorEastAsia"/>
          <w:color w:val="000000"/>
        </w:rPr>
        <w:t> </w:t>
      </w:r>
      <w:r w:rsidRPr="006636C9">
        <w:rPr>
          <w:color w:val="000000"/>
        </w:rPr>
        <w:t>ela deixa de ser uma iniciativa isolada de um departamento e se torna um pilar estratégico para toda a organização.</w:t>
      </w:r>
      <w:r w:rsidRPr="006636C9">
        <w:rPr>
          <w:rStyle w:val="apple-converted-space"/>
          <w:rFonts w:eastAsiaTheme="majorEastAsia"/>
          <w:color w:val="000000"/>
        </w:rPr>
        <w:t> </w:t>
      </w:r>
      <w:r w:rsidRPr="006636C9">
        <w:rPr>
          <w:color w:val="000000"/>
        </w:rPr>
        <w:t>Isso significa que a alta liderança a reconhece como um ativo crucial e estabelece processos e responsabilidades para protegê-lo e potencializá-lo.</w:t>
      </w:r>
    </w:p>
    <w:p w14:paraId="5994527C" w14:textId="77777777" w:rsidR="006636C9" w:rsidRPr="006636C9" w:rsidRDefault="006636C9" w:rsidP="006636C9">
      <w:pPr>
        <w:pStyle w:val="NormalWeb"/>
        <w:spacing w:line="360" w:lineRule="auto"/>
        <w:ind w:firstLine="709"/>
        <w:jc w:val="both"/>
      </w:pPr>
      <w:r w:rsidRPr="006636C9">
        <w:t>Para confirmar a importância estratégica da GC nas organizações os autores afirmam: a “GC é crítica para que uma organização utilize adequadamente seus recursos e crie uma vantagem competitiva sustentável (</w:t>
      </w:r>
      <w:proofErr w:type="spellStart"/>
      <w:r w:rsidRPr="006636C9">
        <w:t>Sokoh</w:t>
      </w:r>
      <w:proofErr w:type="spellEnd"/>
      <w:r w:rsidRPr="006636C9">
        <w:t xml:space="preserve"> e </w:t>
      </w:r>
      <w:proofErr w:type="spellStart"/>
      <w:r w:rsidRPr="006636C9">
        <w:t>Okolie</w:t>
      </w:r>
      <w:proofErr w:type="spellEnd"/>
      <w:r w:rsidRPr="006636C9">
        <w:t xml:space="preserve">, 2021, p. </w:t>
      </w:r>
      <w:proofErr w:type="gramStart"/>
      <w:r w:rsidRPr="006636C9">
        <w:t>283)¨</w:t>
      </w:r>
      <w:proofErr w:type="gramEnd"/>
      <w:r w:rsidRPr="006636C9">
        <w:t xml:space="preserve">; </w:t>
      </w:r>
      <w:proofErr w:type="spellStart"/>
      <w:r w:rsidRPr="006636C9">
        <w:t>Doan</w:t>
      </w:r>
      <w:proofErr w:type="spellEnd"/>
      <w:r w:rsidRPr="006636C9">
        <w:t xml:space="preserve">, Nguyen e Nguyen (2021) atestam que a GC é capaz de criar uma vantagem competitiva extremamente eficaz e sustentável para as empresas. Já para os autores </w:t>
      </w:r>
      <w:proofErr w:type="spellStart"/>
      <w:r w:rsidRPr="006636C9">
        <w:t>Hislop</w:t>
      </w:r>
      <w:proofErr w:type="spellEnd"/>
      <w:r w:rsidRPr="006636C9">
        <w:t xml:space="preserve">, </w:t>
      </w:r>
      <w:proofErr w:type="spellStart"/>
      <w:r w:rsidRPr="006636C9">
        <w:t>Bosua</w:t>
      </w:r>
      <w:proofErr w:type="spellEnd"/>
      <w:r w:rsidRPr="006636C9">
        <w:t xml:space="preserve"> e Helms (2018) a relevância da GC é uma questão amplamente debatida entre pesquisadores e profissionais; para Lee, Lee e Kang (2005) a GC é crítica para instigar a eficiência nos processos de trabalho de uma organização. </w:t>
      </w:r>
    </w:p>
    <w:p w14:paraId="2A2D4EB1" w14:textId="77777777" w:rsidR="006636C9" w:rsidRPr="006636C9" w:rsidRDefault="006636C9" w:rsidP="006636C9">
      <w:pPr>
        <w:pStyle w:val="NormalWeb"/>
        <w:spacing w:line="360" w:lineRule="auto"/>
        <w:ind w:firstLine="709"/>
        <w:jc w:val="both"/>
        <w:rPr>
          <w:color w:val="000000"/>
        </w:rPr>
      </w:pPr>
      <w:r w:rsidRPr="006636C9">
        <w:rPr>
          <w:color w:val="000000"/>
        </w:rPr>
        <w:t xml:space="preserve">Dada a sua importância para as organizações Brasileiras, a Sociedade Brasileira de Gestão do Conhecimento (SBGC) desenvolveu um framework de GC denominado MRGC-SBGC (Modelo de Referência de Gestão do Conhecimento da SBGC) que destaca o valor do conhecimento e de sua gestão, demonstrando, por meio de uma abordagem estruturada, como é possível contribuir para a transformação organizacional e o alcance de resultados a partir do desenvolvimento e da aplicação de ativos de conhecimento (SBGC, 2020). </w:t>
      </w:r>
    </w:p>
    <w:p w14:paraId="2730A881" w14:textId="77777777" w:rsidR="006636C9" w:rsidRPr="006636C9" w:rsidRDefault="006636C9" w:rsidP="006636C9">
      <w:pPr>
        <w:pStyle w:val="NormalWeb"/>
        <w:spacing w:line="360" w:lineRule="auto"/>
        <w:ind w:firstLine="709"/>
        <w:jc w:val="both"/>
        <w:rPr>
          <w:color w:val="000000"/>
        </w:rPr>
      </w:pPr>
      <w:r w:rsidRPr="006636C9">
        <w:rPr>
          <w:color w:val="000000"/>
        </w:rPr>
        <w:lastRenderedPageBreak/>
        <w:t xml:space="preserve">O MRGC-SBGC possui três dimensões, e cada uma delas é composta por elementos interdependentes, igualmente importantes para o sucesso da GC em qualquer organização. A primeira dimensão foca no Alinhamento com o Negócio, que é composta pelos elementos: Estratégia de GC, Conhecimentos Relevantes e Governança da GC. A segunda dimensão foca nas iniciativas e práticas de GC, que é composta pelos elementos: Abordagens de GC, Processos de GC e Práticas de GC. A terceira dimensão foca no Ambiente Facilitador, que é composto pelos elementos: Cultura Organizacional, Elementos de Gestão e Infraestrutura (SBGC, 2020). </w:t>
      </w:r>
    </w:p>
    <w:p w14:paraId="10BD2C4A" w14:textId="77777777" w:rsidR="006636C9" w:rsidRPr="006636C9" w:rsidRDefault="006636C9" w:rsidP="006636C9">
      <w:pPr>
        <w:pStyle w:val="NormalWeb"/>
        <w:spacing w:line="360" w:lineRule="auto"/>
        <w:ind w:firstLine="709"/>
        <w:jc w:val="both"/>
        <w:rPr>
          <w:color w:val="000000"/>
        </w:rPr>
      </w:pPr>
      <w:r w:rsidRPr="006636C9">
        <w:rPr>
          <w:color w:val="000000"/>
        </w:rPr>
        <w:t>O framework MRGC-SBGC também aborda dois fundamentos principais que conectam as três dimensões: GC apoiando o negócio, com foco no conhecimento relevante para a estratégia do negócio; e a GC demandando um ambiente facilitador, o que requer um ambiente que ofereça as condições adequadas para colaboração e criação, bem como uma cultura organizacional que valorize o conhecimento (SBGC, 2020)</w:t>
      </w:r>
    </w:p>
    <w:p w14:paraId="4458DB0A" w14:textId="77777777" w:rsidR="006636C9" w:rsidRPr="006636C9" w:rsidRDefault="006636C9" w:rsidP="006636C9">
      <w:pPr>
        <w:pStyle w:val="NormalWeb"/>
        <w:spacing w:line="360" w:lineRule="auto"/>
        <w:ind w:firstLine="709"/>
        <w:jc w:val="both"/>
        <w:rPr>
          <w:color w:val="000000"/>
        </w:rPr>
      </w:pPr>
      <w:r w:rsidRPr="006636C9">
        <w:rPr>
          <w:color w:val="000000"/>
        </w:rPr>
        <w:t>Dessa forma, a gestão da informação, bem como a GC encontra em uma empresa com nível de governança corporativa um ambiente propicio para seu sucesso, já que a empresa passa a ter maior capacidade de conduzir seus negócios pautados na criação constante de novos métodos, processos, sistemas, tecnologia e inovação (Lopes e Valentim, 2010).</w:t>
      </w:r>
    </w:p>
    <w:p w14:paraId="1FD7E567" w14:textId="77777777" w:rsidR="006636C9" w:rsidRPr="006636C9" w:rsidRDefault="006636C9" w:rsidP="006636C9">
      <w:pPr>
        <w:pStyle w:val="NormalWeb"/>
        <w:spacing w:line="360" w:lineRule="auto"/>
        <w:jc w:val="both"/>
        <w:rPr>
          <w:color w:val="000000"/>
        </w:rPr>
      </w:pPr>
      <w:r w:rsidRPr="006636C9">
        <w:rPr>
          <w:color w:val="000000"/>
        </w:rPr>
        <w:t>2.2. O cenário da Cibersegurança e seus frameworks de Governança.</w:t>
      </w:r>
    </w:p>
    <w:p w14:paraId="388860EF" w14:textId="77777777" w:rsidR="006636C9" w:rsidRPr="006636C9" w:rsidRDefault="006636C9" w:rsidP="006636C9">
      <w:pPr>
        <w:pStyle w:val="NormalWeb"/>
        <w:spacing w:line="360" w:lineRule="auto"/>
        <w:ind w:firstLine="709"/>
        <w:jc w:val="both"/>
        <w:rPr>
          <w:color w:val="000000"/>
        </w:rPr>
      </w:pPr>
      <w:r w:rsidRPr="006636C9">
        <w:rPr>
          <w:color w:val="000000"/>
        </w:rPr>
        <w:t>Conceituada pela norma NBR ISO/IEC 27032:2023 como a 'proteção de pessoas, sociedade, organizações e nações contra riscos cibernéticos', a cibersegurança viu sua importância ser drasticamente acentuada em 2020. A pandemia de COVID-19, deflagrada no início daquele ano, atuou como um catalisador para a transformação digital e, consequentemente, expandiu a superfície de ataque para ameaças, levando a um crescimento significativo nos incidentes de segurança.</w:t>
      </w:r>
    </w:p>
    <w:p w14:paraId="62FB735C" w14:textId="77777777" w:rsidR="006636C9" w:rsidRPr="006636C9" w:rsidRDefault="006636C9" w:rsidP="006636C9">
      <w:pPr>
        <w:pStyle w:val="NormalWeb"/>
        <w:spacing w:line="360" w:lineRule="auto"/>
        <w:ind w:firstLine="709"/>
        <w:jc w:val="both"/>
        <w:rPr>
          <w:color w:val="000000"/>
        </w:rPr>
      </w:pPr>
      <w:r w:rsidRPr="006636C9">
        <w:rPr>
          <w:color w:val="000000"/>
        </w:rPr>
        <w:t xml:space="preserve">Conforme analisado por Prates </w:t>
      </w:r>
      <w:r w:rsidRPr="006636C9">
        <w:rPr>
          <w:i/>
          <w:iCs/>
          <w:color w:val="000000"/>
        </w:rPr>
        <w:t>et al</w:t>
      </w:r>
      <w:r w:rsidRPr="006636C9">
        <w:rPr>
          <w:color w:val="000000"/>
        </w:rPr>
        <w:t xml:space="preserve">. (2022), a </w:t>
      </w:r>
      <w:r w:rsidRPr="006636C9">
        <w:rPr>
          <w:rStyle w:val="citation-203"/>
          <w:rFonts w:eastAsiaTheme="majorEastAsia"/>
          <w:color w:val="000000"/>
        </w:rPr>
        <w:t>necessidade de distanciamento social forçou as empresas a iniciarem uma migração apressada e, muitas vezes, pouco planejada para o trabalho remoto</w:t>
      </w:r>
      <w:r w:rsidRPr="006636C9">
        <w:rPr>
          <w:color w:val="000000"/>
          <w:sz w:val="27"/>
          <w:szCs w:val="27"/>
        </w:rPr>
        <w:t>.</w:t>
      </w:r>
      <w:r w:rsidRPr="006636C9">
        <w:rPr>
          <w:rStyle w:val="apple-converted-space"/>
          <w:rFonts w:eastAsiaTheme="majorEastAsia"/>
          <w:color w:val="000000"/>
          <w:sz w:val="27"/>
          <w:szCs w:val="27"/>
        </w:rPr>
        <w:t> </w:t>
      </w:r>
      <w:r w:rsidRPr="006636C9">
        <w:rPr>
          <w:rStyle w:val="citation-202"/>
          <w:rFonts w:eastAsiaTheme="majorEastAsia"/>
          <w:color w:val="000000"/>
        </w:rPr>
        <w:t>Com isso, o perímetro de segurança, antes restrito ao endereço da empresa, expandiu-se para a casa de cada colaborador, com seus ativos e links domésticos</w:t>
      </w:r>
      <w:r w:rsidRPr="006636C9">
        <w:rPr>
          <w:color w:val="000000"/>
        </w:rPr>
        <w:t xml:space="preserve">. Houve a necessidade de investimentos significativos em tecnologias, principalmente as que envolvem </w:t>
      </w:r>
      <w:r w:rsidRPr="006636C9">
        <w:rPr>
          <w:color w:val="000000"/>
        </w:rPr>
        <w:lastRenderedPageBreak/>
        <w:t>serviços em nuvem ou Computação em Nuvem (</w:t>
      </w:r>
      <w:r w:rsidRPr="006636C9">
        <w:rPr>
          <w:i/>
          <w:iCs/>
          <w:color w:val="000000"/>
        </w:rPr>
        <w:t xml:space="preserve">Cloud </w:t>
      </w:r>
      <w:proofErr w:type="spellStart"/>
      <w:r w:rsidRPr="006636C9">
        <w:rPr>
          <w:i/>
          <w:iCs/>
          <w:color w:val="000000"/>
        </w:rPr>
        <w:t>Computing</w:t>
      </w:r>
      <w:proofErr w:type="spellEnd"/>
      <w:r w:rsidRPr="006636C9">
        <w:rPr>
          <w:color w:val="000000"/>
        </w:rPr>
        <w:t xml:space="preserve">), o que também exigiu novos controles de segurança e governança. </w:t>
      </w:r>
    </w:p>
    <w:p w14:paraId="638575A6" w14:textId="77777777" w:rsidR="006636C9" w:rsidRPr="006636C9" w:rsidRDefault="006636C9" w:rsidP="006636C9">
      <w:pPr>
        <w:pStyle w:val="NormalWeb"/>
        <w:spacing w:line="360" w:lineRule="auto"/>
        <w:ind w:firstLine="709"/>
        <w:jc w:val="both"/>
        <w:rPr>
          <w:color w:val="000000"/>
        </w:rPr>
      </w:pPr>
      <w:r w:rsidRPr="006636C9">
        <w:rPr>
          <w:color w:val="000000"/>
        </w:rPr>
        <w:t xml:space="preserve">A Governança de Tecnologia da Informação (GTI), definida por Fernandes e Abreu (2020) como o conjunto de estruturas e processos que garantem que a TI suporte e potencialize os objetivos e estratégias da organização, tornou-se um requisito fundamental. Essa necessidade foi impulsionada pelo aumento da fiscalização por parte de órgãos reguladores e pela implementação da Lei Geral de Proteção de Dados Pessoais (LGPD – Lei 13.709/2018), que intensificou a exigência por controles eficazes para a proteção de informações (Lorenzon, 2021). </w:t>
      </w:r>
    </w:p>
    <w:p w14:paraId="11FF4A5B" w14:textId="77777777" w:rsidR="006636C9" w:rsidRPr="006636C9" w:rsidRDefault="006636C9" w:rsidP="006636C9">
      <w:pPr>
        <w:pStyle w:val="NormalWeb"/>
        <w:spacing w:line="360" w:lineRule="auto"/>
        <w:ind w:firstLine="709"/>
        <w:jc w:val="both"/>
        <w:rPr>
          <w:color w:val="000000"/>
        </w:rPr>
      </w:pPr>
      <w:r w:rsidRPr="006636C9">
        <w:rPr>
          <w:color w:val="000000"/>
        </w:rPr>
        <w:t>A Gestão de Riscos surge como a disciplina fundamental para estruturar esses controles</w:t>
      </w:r>
      <w:r w:rsidRPr="006636C9">
        <w:rPr>
          <w:b/>
          <w:bCs/>
          <w:color w:val="000000"/>
        </w:rPr>
        <w:t>.</w:t>
      </w:r>
      <w:r w:rsidRPr="006636C9">
        <w:rPr>
          <w:rStyle w:val="apple-converted-space"/>
          <w:rFonts w:eastAsiaTheme="majorEastAsia"/>
          <w:color w:val="000000"/>
        </w:rPr>
        <w:t> </w:t>
      </w:r>
      <w:r w:rsidRPr="006636C9">
        <w:rPr>
          <w:color w:val="000000"/>
        </w:rPr>
        <w:t xml:space="preserve">Segundo </w:t>
      </w:r>
      <w:proofErr w:type="spellStart"/>
      <w:r w:rsidRPr="006636C9">
        <w:rPr>
          <w:color w:val="000000"/>
        </w:rPr>
        <w:t>Lam</w:t>
      </w:r>
      <w:proofErr w:type="spellEnd"/>
      <w:r w:rsidRPr="006636C9">
        <w:rPr>
          <w:color w:val="000000"/>
        </w:rPr>
        <w:t xml:space="preserve"> (2014), ela é uma abordagem integrada que visa encontrar um equilíbrio ideal entre risco e retorno, protegendo e criando valor para a organização. Desta forma, a integração entre Sistemas de Gestão de Segurança da Informação, GTI e Gestão de Risco traz a abordagem estratégica para proteger os ativos de informação da organização.</w:t>
      </w:r>
    </w:p>
    <w:p w14:paraId="09D451DD" w14:textId="77777777" w:rsidR="006636C9" w:rsidRPr="00F16BCE" w:rsidRDefault="006636C9" w:rsidP="006636C9">
      <w:pPr>
        <w:spacing w:before="100" w:beforeAutospacing="1" w:after="100" w:afterAutospacing="1" w:line="360" w:lineRule="auto"/>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2.3. O desafio da integração: O conflito entre proteger e disseminar</w:t>
      </w:r>
    </w:p>
    <w:p w14:paraId="315545BB" w14:textId="77777777" w:rsidR="006636C9" w:rsidRPr="00F16BCE" w:rsidRDefault="006636C9" w:rsidP="006636C9">
      <w:pPr>
        <w:spacing w:line="360" w:lineRule="auto"/>
        <w:ind w:firstLine="709"/>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A dificuldade em conciliar a segurança cibernética com o compartilhamento de conhecimento é um fenômeno global, profundamente enraizado em fatores culturais. Parte desse desafio reside na documentada ineficácia dos métodos tradicionais de comunicação de segurança (</w:t>
      </w:r>
      <w:proofErr w:type="spellStart"/>
      <w:r w:rsidRPr="00F16BCE">
        <w:rPr>
          <w:rFonts w:ascii="Times New Roman" w:hAnsi="Times New Roman" w:cs="Times New Roman"/>
          <w:color w:val="000000"/>
          <w:sz w:val="24"/>
          <w:szCs w:val="24"/>
        </w:rPr>
        <w:t>Pham</w:t>
      </w:r>
      <w:proofErr w:type="spellEnd"/>
      <w:r w:rsidRPr="00F16BCE">
        <w:rPr>
          <w:rFonts w:ascii="Times New Roman" w:hAnsi="Times New Roman" w:cs="Times New Roman"/>
          <w:color w:val="000000"/>
          <w:sz w:val="24"/>
          <w:szCs w:val="24"/>
        </w:rPr>
        <w:t xml:space="preserve"> </w:t>
      </w:r>
      <w:r w:rsidRPr="00F16BCE">
        <w:rPr>
          <w:rFonts w:ascii="Times New Roman" w:hAnsi="Times New Roman" w:cs="Times New Roman"/>
          <w:i/>
          <w:iCs/>
          <w:color w:val="000000"/>
          <w:sz w:val="24"/>
          <w:szCs w:val="24"/>
        </w:rPr>
        <w:t>et al</w:t>
      </w:r>
      <w:r w:rsidRPr="00F16BCE">
        <w:rPr>
          <w:rFonts w:ascii="Times New Roman" w:hAnsi="Times New Roman" w:cs="Times New Roman"/>
          <w:color w:val="000000"/>
          <w:sz w:val="24"/>
          <w:szCs w:val="24"/>
        </w:rPr>
        <w:t>., 2021). O estudo deste autor com funcionários de oito organizações, por exemplo, revelou que treinamentos formais e e-mails em massa são frequentemente ignorados ou considerados pouco eficazes, pois o conteúdo é visto como excessivamente técnico e desvinculado da realidade do colaborador. Essa falha na comunicação de cima para baixo agrava barreiras culturais.</w:t>
      </w:r>
    </w:p>
    <w:p w14:paraId="2F60E47C" w14:textId="77777777" w:rsidR="006636C9" w:rsidRPr="00F16BCE" w:rsidRDefault="006636C9" w:rsidP="006636C9">
      <w:pPr>
        <w:spacing w:line="360" w:lineRule="auto"/>
        <w:ind w:firstLine="709"/>
        <w:jc w:val="both"/>
        <w:rPr>
          <w:rFonts w:ascii="Times New Roman" w:hAnsi="Times New Roman" w:cs="Times New Roman"/>
          <w:sz w:val="24"/>
          <w:szCs w:val="24"/>
        </w:rPr>
      </w:pPr>
      <w:r w:rsidRPr="00F16BCE">
        <w:rPr>
          <w:rFonts w:ascii="Times New Roman" w:hAnsi="Times New Roman" w:cs="Times New Roman"/>
          <w:color w:val="000000"/>
          <w:sz w:val="24"/>
          <w:szCs w:val="24"/>
        </w:rPr>
        <w:t>Um estudo sobre as práticas na Arábia Saudita, por exemplo, revela que a colaboração eficaz é limitada por barreiras culturais e organizacionais (</w:t>
      </w:r>
      <w:proofErr w:type="spellStart"/>
      <w:r w:rsidRPr="00F16BCE">
        <w:rPr>
          <w:rFonts w:ascii="Times New Roman" w:hAnsi="Times New Roman" w:cs="Times New Roman"/>
          <w:color w:val="000000"/>
          <w:sz w:val="24"/>
          <w:szCs w:val="24"/>
        </w:rPr>
        <w:t>Alshaikh</w:t>
      </w:r>
      <w:proofErr w:type="spellEnd"/>
      <w:r w:rsidRPr="00F16BCE">
        <w:rPr>
          <w:rFonts w:ascii="Times New Roman" w:hAnsi="Times New Roman" w:cs="Times New Roman"/>
          <w:color w:val="000000"/>
          <w:sz w:val="24"/>
          <w:szCs w:val="24"/>
        </w:rPr>
        <w:t xml:space="preserve"> </w:t>
      </w:r>
      <w:r w:rsidRPr="00F16BCE">
        <w:rPr>
          <w:rFonts w:ascii="Times New Roman" w:hAnsi="Times New Roman" w:cs="Times New Roman"/>
          <w:i/>
          <w:iCs/>
          <w:color w:val="000000"/>
          <w:sz w:val="24"/>
          <w:szCs w:val="24"/>
        </w:rPr>
        <w:t>et al</w:t>
      </w:r>
      <w:r w:rsidRPr="00F16BCE">
        <w:rPr>
          <w:rFonts w:ascii="Times New Roman" w:hAnsi="Times New Roman" w:cs="Times New Roman"/>
          <w:color w:val="000000"/>
          <w:sz w:val="24"/>
          <w:szCs w:val="24"/>
        </w:rPr>
        <w:t>., 2025). A pesquisa deste autor aponta que a resistência à abertura, a falta de confiança e as estruturas hierárquicas criam "silos organizacionais" que impedem o fluxo de conhecimento.</w:t>
      </w:r>
      <w:r w:rsidRPr="00F16BCE">
        <w:rPr>
          <w:rStyle w:val="apple-converted-space"/>
          <w:rFonts w:ascii="Times New Roman" w:hAnsi="Times New Roman" w:cs="Times New Roman"/>
          <w:color w:val="000000"/>
          <w:sz w:val="24"/>
          <w:szCs w:val="24"/>
        </w:rPr>
        <w:t> </w:t>
      </w:r>
      <w:r w:rsidRPr="00F16BCE">
        <w:rPr>
          <w:rStyle w:val="citation-253"/>
          <w:rFonts w:ascii="Times New Roman" w:hAnsi="Times New Roman" w:cs="Times New Roman"/>
          <w:color w:val="000000"/>
          <w:sz w:val="24"/>
          <w:szCs w:val="24"/>
        </w:rPr>
        <w:t xml:space="preserve">Essa dinâmica é um exemplo prático do que a literatura, analisada por </w:t>
      </w:r>
      <w:proofErr w:type="spellStart"/>
      <w:r w:rsidRPr="00F16BCE">
        <w:rPr>
          <w:rStyle w:val="citation-253"/>
          <w:rFonts w:ascii="Times New Roman" w:hAnsi="Times New Roman" w:cs="Times New Roman"/>
          <w:color w:val="000000"/>
          <w:sz w:val="24"/>
          <w:szCs w:val="24"/>
        </w:rPr>
        <w:t>Failla</w:t>
      </w:r>
      <w:proofErr w:type="spellEnd"/>
      <w:r w:rsidRPr="00F16BCE">
        <w:rPr>
          <w:rStyle w:val="citation-253"/>
          <w:rFonts w:ascii="Times New Roman" w:hAnsi="Times New Roman" w:cs="Times New Roman"/>
          <w:color w:val="000000"/>
          <w:sz w:val="24"/>
          <w:szCs w:val="24"/>
        </w:rPr>
        <w:t xml:space="preserve"> (2020), descreve como uma cultura de sistema fechado (</w:t>
      </w:r>
      <w:proofErr w:type="spellStart"/>
      <w:r w:rsidRPr="00F16BCE">
        <w:rPr>
          <w:rStyle w:val="citation-253"/>
          <w:rFonts w:ascii="Times New Roman" w:hAnsi="Times New Roman" w:cs="Times New Roman"/>
          <w:i/>
          <w:iCs/>
          <w:color w:val="000000"/>
          <w:sz w:val="24"/>
          <w:szCs w:val="24"/>
        </w:rPr>
        <w:t>Closed</w:t>
      </w:r>
      <w:proofErr w:type="spellEnd"/>
      <w:r w:rsidRPr="00F16BCE">
        <w:rPr>
          <w:rStyle w:val="citation-253"/>
          <w:rFonts w:ascii="Times New Roman" w:hAnsi="Times New Roman" w:cs="Times New Roman"/>
          <w:i/>
          <w:iCs/>
          <w:color w:val="000000"/>
          <w:sz w:val="24"/>
          <w:szCs w:val="24"/>
        </w:rPr>
        <w:t xml:space="preserve"> system</w:t>
      </w:r>
      <w:r w:rsidRPr="00F16BCE">
        <w:rPr>
          <w:rStyle w:val="citation-253"/>
          <w:rFonts w:ascii="Times New Roman" w:hAnsi="Times New Roman" w:cs="Times New Roman"/>
          <w:color w:val="000000"/>
          <w:sz w:val="24"/>
          <w:szCs w:val="24"/>
        </w:rPr>
        <w:t>), caracterizada por ser sigilosa “não apenas para estranhos, mas também para os próprios membros”</w:t>
      </w:r>
      <w:r w:rsidRPr="00F16BCE">
        <w:rPr>
          <w:rStyle w:val="Forte"/>
          <w:rFonts w:ascii="Times New Roman" w:hAnsi="Times New Roman" w:cs="Times New Roman"/>
          <w:color w:val="000000"/>
          <w:sz w:val="24"/>
          <w:szCs w:val="24"/>
        </w:rPr>
        <w:t>.</w:t>
      </w:r>
      <w:r w:rsidRPr="00F16BCE">
        <w:rPr>
          <w:rStyle w:val="apple-converted-space"/>
          <w:rFonts w:ascii="Times New Roman" w:hAnsi="Times New Roman" w:cs="Times New Roman"/>
          <w:color w:val="000000"/>
          <w:sz w:val="24"/>
          <w:szCs w:val="24"/>
        </w:rPr>
        <w:t> </w:t>
      </w:r>
      <w:r w:rsidRPr="00F16BCE">
        <w:rPr>
          <w:rFonts w:ascii="Times New Roman" w:hAnsi="Times New Roman" w:cs="Times New Roman"/>
          <w:color w:val="000000"/>
          <w:sz w:val="24"/>
          <w:szCs w:val="24"/>
        </w:rPr>
        <w:t>Essa inclinação para reter informações é identificada como um dos principais obstáculos para o fortalecimento da segurança coletiva.</w:t>
      </w:r>
    </w:p>
    <w:p w14:paraId="332A42D0" w14:textId="77777777" w:rsidR="006636C9" w:rsidRPr="00F16BCE" w:rsidRDefault="006636C9" w:rsidP="006636C9">
      <w:pPr>
        <w:spacing w:line="360" w:lineRule="auto"/>
        <w:ind w:firstLine="709"/>
        <w:jc w:val="both"/>
        <w:rPr>
          <w:rFonts w:ascii="Times New Roman" w:hAnsi="Times New Roman" w:cs="Times New Roman"/>
          <w:b/>
          <w:bCs/>
          <w:sz w:val="24"/>
          <w:szCs w:val="24"/>
        </w:rPr>
      </w:pPr>
      <w:r w:rsidRPr="00F16BCE">
        <w:rPr>
          <w:rFonts w:ascii="Times New Roman" w:hAnsi="Times New Roman" w:cs="Times New Roman"/>
          <w:color w:val="000000"/>
          <w:sz w:val="24"/>
          <w:szCs w:val="24"/>
        </w:rPr>
        <w:lastRenderedPageBreak/>
        <w:t>Esse mesmo conflito manifesta-se de forma explícita no ambiente regulatório brasileiro.</w:t>
      </w:r>
      <w:r w:rsidRPr="00F16BCE">
        <w:rPr>
          <w:rStyle w:val="apple-converted-space"/>
          <w:rFonts w:ascii="Times New Roman" w:eastAsiaTheme="majorEastAsia" w:hAnsi="Times New Roman" w:cs="Times New Roman"/>
          <w:color w:val="000000"/>
          <w:sz w:val="24"/>
          <w:szCs w:val="24"/>
        </w:rPr>
        <w:t> </w:t>
      </w:r>
      <w:r w:rsidRPr="00F16BCE">
        <w:rPr>
          <w:rStyle w:val="citation-252"/>
          <w:rFonts w:ascii="Times New Roman" w:eastAsiaTheme="majorEastAsia" w:hAnsi="Times New Roman" w:cs="Times New Roman"/>
          <w:color w:val="000000"/>
          <w:sz w:val="24"/>
          <w:szCs w:val="24"/>
        </w:rPr>
        <w:t>A Resolução CMN nº 4.893 (Brasil, 2021) do Banco Central, por exemplo, exige que as instituições financeiras compartilhem informações sobre incidentes relevantes,</w:t>
      </w:r>
      <w:r w:rsidRPr="00F16BCE">
        <w:rPr>
          <w:rStyle w:val="apple-converted-space"/>
          <w:rFonts w:ascii="Times New Roman" w:eastAsiaTheme="majorEastAsia" w:hAnsi="Times New Roman" w:cs="Times New Roman"/>
          <w:color w:val="000000"/>
          <w:sz w:val="24"/>
          <w:szCs w:val="24"/>
        </w:rPr>
        <w:t> </w:t>
      </w:r>
      <w:r w:rsidRPr="00F16BCE">
        <w:rPr>
          <w:rStyle w:val="citation-252"/>
          <w:rFonts w:ascii="Times New Roman" w:eastAsiaTheme="majorEastAsia" w:hAnsi="Times New Roman" w:cs="Times New Roman"/>
          <w:color w:val="000000"/>
          <w:sz w:val="24"/>
          <w:szCs w:val="24"/>
        </w:rPr>
        <w:t xml:space="preserve">uma </w:t>
      </w:r>
      <w:r w:rsidRPr="00F16BCE">
        <w:rPr>
          <w:rFonts w:ascii="Times New Roman" w:hAnsi="Times New Roman" w:cs="Times New Roman"/>
          <w:sz w:val="24"/>
          <w:szCs w:val="24"/>
        </w:rPr>
        <w:t>diretriz que efetivamente promove um sistema aberto (Open system) para o fortalecimento mútuo</w:t>
      </w:r>
      <w:r w:rsidRPr="00F16BCE">
        <w:rPr>
          <w:rFonts w:ascii="Times New Roman" w:hAnsi="Times New Roman" w:cs="Times New Roman"/>
          <w:b/>
          <w:bCs/>
          <w:sz w:val="24"/>
          <w:szCs w:val="24"/>
        </w:rPr>
        <w:t xml:space="preserve">. </w:t>
      </w:r>
    </w:p>
    <w:p w14:paraId="7751F043" w14:textId="77777777" w:rsidR="006636C9" w:rsidRPr="00F16BCE" w:rsidRDefault="006636C9" w:rsidP="006636C9">
      <w:pPr>
        <w:spacing w:line="360" w:lineRule="auto"/>
        <w:ind w:firstLine="709"/>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 xml:space="preserve">Contudo, para o autor </w:t>
      </w:r>
      <w:proofErr w:type="spellStart"/>
      <w:r w:rsidRPr="00F16BCE">
        <w:rPr>
          <w:rFonts w:ascii="Times New Roman" w:hAnsi="Times New Roman" w:cs="Times New Roman"/>
          <w:color w:val="000000"/>
          <w:sz w:val="24"/>
          <w:szCs w:val="24"/>
        </w:rPr>
        <w:t>Failla</w:t>
      </w:r>
      <w:proofErr w:type="spellEnd"/>
      <w:r w:rsidRPr="00F16BCE">
        <w:rPr>
          <w:rFonts w:ascii="Times New Roman" w:hAnsi="Times New Roman" w:cs="Times New Roman"/>
          <w:color w:val="000000"/>
          <w:sz w:val="24"/>
          <w:szCs w:val="24"/>
        </w:rPr>
        <w:t xml:space="preserve"> (2020) observa-se uma forte relutância cultural em aderir à norma.</w:t>
      </w:r>
      <w:r w:rsidRPr="00F16BCE">
        <w:rPr>
          <w:rFonts w:ascii="Times New Roman" w:hAnsi="Times New Roman" w:cs="Times New Roman"/>
          <w:sz w:val="24"/>
          <w:szCs w:val="24"/>
        </w:rPr>
        <w:t> O receio de repercussões</w:t>
      </w:r>
      <w:r w:rsidRPr="00F16BCE">
        <w:rPr>
          <w:rStyle w:val="citation-251"/>
          <w:rFonts w:ascii="Times New Roman" w:eastAsiaTheme="majorEastAsia" w:hAnsi="Times New Roman" w:cs="Times New Roman"/>
          <w:color w:val="000000"/>
          <w:sz w:val="24"/>
          <w:szCs w:val="24"/>
        </w:rPr>
        <w:t xml:space="preserve"> negativas no mercado cria um incentivo para que as organizações mantenham o sigilo,</w:t>
      </w:r>
      <w:r w:rsidRPr="00F16BCE">
        <w:rPr>
          <w:rStyle w:val="apple-converted-space"/>
          <w:rFonts w:ascii="Times New Roman" w:eastAsiaTheme="majorEastAsia" w:hAnsi="Times New Roman" w:cs="Times New Roman"/>
          <w:color w:val="000000"/>
          <w:sz w:val="24"/>
          <w:szCs w:val="24"/>
        </w:rPr>
        <w:t> </w:t>
      </w:r>
      <w:r w:rsidRPr="00F16BCE">
        <w:rPr>
          <w:rStyle w:val="citation-251"/>
          <w:rFonts w:ascii="Times New Roman" w:eastAsiaTheme="majorEastAsia" w:hAnsi="Times New Roman" w:cs="Times New Roman"/>
          <w:color w:val="000000"/>
          <w:sz w:val="24"/>
          <w:szCs w:val="24"/>
        </w:rPr>
        <w:t>adotando uma postura que reflete uma cultura pragmática (</w:t>
      </w:r>
      <w:proofErr w:type="spellStart"/>
      <w:r w:rsidRPr="00F16BCE">
        <w:rPr>
          <w:rStyle w:val="citation-251"/>
          <w:rFonts w:ascii="Times New Roman" w:eastAsiaTheme="majorEastAsia" w:hAnsi="Times New Roman" w:cs="Times New Roman"/>
          <w:i/>
          <w:iCs/>
          <w:color w:val="000000"/>
          <w:sz w:val="24"/>
          <w:szCs w:val="24"/>
        </w:rPr>
        <w:t>Pragmatic</w:t>
      </w:r>
      <w:proofErr w:type="spellEnd"/>
      <w:r w:rsidRPr="00F16BCE">
        <w:rPr>
          <w:rStyle w:val="citation-251"/>
          <w:rFonts w:ascii="Times New Roman" w:eastAsiaTheme="majorEastAsia" w:hAnsi="Times New Roman" w:cs="Times New Roman"/>
          <w:color w:val="000000"/>
          <w:sz w:val="24"/>
          <w:szCs w:val="24"/>
        </w:rPr>
        <w:t>), onde o resultado imediato (evitar danos à reputação) se sobrepõe à adesão a regras, uma característica de culturas normativas (</w:t>
      </w:r>
      <w:proofErr w:type="spellStart"/>
      <w:r w:rsidRPr="00F16BCE">
        <w:rPr>
          <w:rStyle w:val="citation-251"/>
          <w:rFonts w:ascii="Times New Roman" w:eastAsiaTheme="majorEastAsia" w:hAnsi="Times New Roman" w:cs="Times New Roman"/>
          <w:i/>
          <w:iCs/>
          <w:color w:val="000000"/>
          <w:sz w:val="24"/>
          <w:szCs w:val="24"/>
        </w:rPr>
        <w:t>Normative</w:t>
      </w:r>
      <w:proofErr w:type="spellEnd"/>
      <w:r w:rsidRPr="00F16BCE">
        <w:rPr>
          <w:rStyle w:val="citation-251"/>
          <w:rFonts w:ascii="Times New Roman" w:eastAsiaTheme="majorEastAsia" w:hAnsi="Times New Roman" w:cs="Times New Roman"/>
          <w:color w:val="000000"/>
          <w:sz w:val="24"/>
          <w:szCs w:val="24"/>
        </w:rPr>
        <w:t>)</w:t>
      </w:r>
      <w:r w:rsidRPr="00F16BCE">
        <w:rPr>
          <w:rStyle w:val="apple-converted-space"/>
          <w:rFonts w:ascii="Times New Roman" w:eastAsiaTheme="majorEastAsia" w:hAnsi="Times New Roman" w:cs="Times New Roman"/>
          <w:color w:val="000000"/>
          <w:sz w:val="24"/>
          <w:szCs w:val="24"/>
        </w:rPr>
        <w:t>. </w:t>
      </w:r>
      <w:r w:rsidRPr="00F16BCE">
        <w:rPr>
          <w:rStyle w:val="citation-250"/>
          <w:rFonts w:ascii="Times New Roman" w:eastAsiaTheme="majorEastAsia" w:hAnsi="Times New Roman" w:cs="Times New Roman"/>
          <w:color w:val="000000"/>
          <w:sz w:val="24"/>
          <w:szCs w:val="24"/>
        </w:rPr>
        <w:t>Isso gera um paradoxo: a mesma norma que visa fortalecer o ecossistema de segurança é, na prática, neutralizada pelo instinto de autopreservação,</w:t>
      </w:r>
      <w:r w:rsidRPr="00F16BCE">
        <w:rPr>
          <w:rStyle w:val="apple-converted-space"/>
          <w:rFonts w:ascii="Times New Roman" w:eastAsiaTheme="majorEastAsia" w:hAnsi="Times New Roman" w:cs="Times New Roman"/>
          <w:color w:val="000000"/>
          <w:sz w:val="24"/>
          <w:szCs w:val="24"/>
        </w:rPr>
        <w:t> </w:t>
      </w:r>
      <w:r w:rsidRPr="00F16BCE">
        <w:rPr>
          <w:rStyle w:val="citation-250"/>
          <w:rFonts w:ascii="Times New Roman" w:eastAsiaTheme="majorEastAsia" w:hAnsi="Times New Roman" w:cs="Times New Roman"/>
          <w:color w:val="000000"/>
          <w:sz w:val="24"/>
          <w:szCs w:val="24"/>
        </w:rPr>
        <w:t>um conflito que evidencia como a cultura organizacional influencia diretamente a governança de Cibersegurança, conforme demonstrado quantitativamente.</w:t>
      </w:r>
    </w:p>
    <w:p w14:paraId="1D7B3E37" w14:textId="77777777" w:rsidR="006636C9" w:rsidRPr="006636C9" w:rsidRDefault="006636C9" w:rsidP="006636C9">
      <w:pPr>
        <w:pStyle w:val="PargrafodaLista"/>
        <w:numPr>
          <w:ilvl w:val="0"/>
          <w:numId w:val="8"/>
        </w:numPr>
        <w:spacing w:before="100" w:beforeAutospacing="1" w:after="100" w:afterAutospacing="1" w:line="360" w:lineRule="auto"/>
        <w:ind w:left="0" w:firstLine="0"/>
        <w:jc w:val="both"/>
        <w:rPr>
          <w:rFonts w:ascii="Times New Roman" w:hAnsi="Times New Roman" w:cs="Times New Roman"/>
          <w:b/>
          <w:bCs/>
          <w:color w:val="000000"/>
          <w:sz w:val="28"/>
          <w:szCs w:val="28"/>
        </w:rPr>
      </w:pPr>
      <w:r w:rsidRPr="006636C9">
        <w:rPr>
          <w:rFonts w:ascii="Times New Roman" w:hAnsi="Times New Roman" w:cs="Times New Roman"/>
          <w:b/>
          <w:bCs/>
          <w:sz w:val="28"/>
          <w:szCs w:val="28"/>
        </w:rPr>
        <w:t>METODOLOGIA</w:t>
      </w:r>
    </w:p>
    <w:p w14:paraId="1C0E91D5" w14:textId="77777777" w:rsidR="006636C9" w:rsidRPr="00F16BCE" w:rsidRDefault="006636C9" w:rsidP="006636C9">
      <w:pPr>
        <w:spacing w:before="100" w:beforeAutospacing="1" w:after="100" w:afterAutospacing="1" w:line="360" w:lineRule="auto"/>
        <w:ind w:firstLine="709"/>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A presente pesquisa caracteriza-se como um ensaio teórico de natureza qualitativa, com abordagem exploratória e propositiva. O desenvolvimento das diretrizes propostas foi fundamentado em um processo metodológico que combina a revisão da literatura acadêmica com a análise comparativa de frameworks de governança e segurança consolidados no mercado.</w:t>
      </w:r>
    </w:p>
    <w:p w14:paraId="75FD67A6" w14:textId="77777777" w:rsidR="006636C9" w:rsidRPr="00F16BCE" w:rsidRDefault="006636C9" w:rsidP="006636C9">
      <w:pPr>
        <w:spacing w:before="100" w:beforeAutospacing="1" w:after="100" w:afterAutospacing="1" w:line="360" w:lineRule="auto"/>
        <w:ind w:firstLine="709"/>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A primeira etapa consistiu na revisão de literatura, capítulo 2 desse artigo, para estabelecer os conceitos e os conflitos inerentes à GC e à Cibersegurança, utilizando os estudos selecionados para compreender as dimensões culturais e operacionais do desafio.</w:t>
      </w:r>
    </w:p>
    <w:p w14:paraId="157E5241" w14:textId="77777777" w:rsidR="006636C9" w:rsidRPr="00F16BCE" w:rsidRDefault="006636C9" w:rsidP="006636C9">
      <w:pPr>
        <w:spacing w:line="360" w:lineRule="auto"/>
        <w:ind w:firstLine="709"/>
        <w:jc w:val="both"/>
        <w:rPr>
          <w:rFonts w:ascii="Times New Roman" w:hAnsi="Times New Roman" w:cs="Times New Roman"/>
          <w:b/>
          <w:bCs/>
          <w:color w:val="000000"/>
          <w:sz w:val="24"/>
          <w:szCs w:val="24"/>
        </w:rPr>
      </w:pPr>
      <w:r w:rsidRPr="00F16BCE">
        <w:rPr>
          <w:rFonts w:ascii="Times New Roman" w:hAnsi="Times New Roman" w:cs="Times New Roman"/>
          <w:color w:val="000000"/>
          <w:sz w:val="24"/>
          <w:szCs w:val="24"/>
        </w:rPr>
        <w:t xml:space="preserve">A segunda etapa (capítulo 4), central para este estudo, envolveu uma análise documental comparativa dos três principais frameworks que orientam as práticas de segurança e a governança da TI globalmente: a norma NBR ISO/IEC 27001 (2022), o framework COBIT 2019 (ISACA, 2019), e o NIST </w:t>
      </w:r>
      <w:proofErr w:type="spellStart"/>
      <w:r w:rsidRPr="00F16BCE">
        <w:rPr>
          <w:rFonts w:ascii="Times New Roman" w:hAnsi="Times New Roman" w:cs="Times New Roman"/>
          <w:color w:val="000000"/>
          <w:sz w:val="24"/>
          <w:szCs w:val="24"/>
        </w:rPr>
        <w:t>Cybersecurity</w:t>
      </w:r>
      <w:proofErr w:type="spellEnd"/>
      <w:r w:rsidRPr="00F16BCE">
        <w:rPr>
          <w:rFonts w:ascii="Times New Roman" w:hAnsi="Times New Roman" w:cs="Times New Roman"/>
          <w:color w:val="000000"/>
          <w:sz w:val="24"/>
          <w:szCs w:val="24"/>
        </w:rPr>
        <w:t xml:space="preserve"> Framework (CSF) (NIST, 2024). O objetivo foi identificar as diferentes filosofias, focos e abordagens de cada um, bem como suas limitações ao lidar com a dificuldade entre proteger e disseminar conhecimento nas organizações e como podem, juntamente com a GC apoiar as organizações no caminho da inovação segura.</w:t>
      </w:r>
    </w:p>
    <w:p w14:paraId="2A264056" w14:textId="77777777" w:rsidR="006636C9" w:rsidRPr="006636C9" w:rsidRDefault="006636C9" w:rsidP="006636C9">
      <w:pPr>
        <w:pStyle w:val="PargrafodaLista"/>
        <w:numPr>
          <w:ilvl w:val="0"/>
          <w:numId w:val="8"/>
        </w:numPr>
        <w:spacing w:before="100" w:beforeAutospacing="1" w:after="100" w:afterAutospacing="1" w:line="360" w:lineRule="auto"/>
        <w:ind w:left="0" w:firstLine="0"/>
        <w:jc w:val="both"/>
        <w:rPr>
          <w:rFonts w:ascii="Times New Roman" w:hAnsi="Times New Roman" w:cs="Times New Roman"/>
          <w:b/>
          <w:bCs/>
          <w:color w:val="000000"/>
          <w:sz w:val="28"/>
          <w:szCs w:val="28"/>
        </w:rPr>
      </w:pPr>
      <w:r w:rsidRPr="006636C9">
        <w:rPr>
          <w:rFonts w:ascii="Times New Roman" w:hAnsi="Times New Roman" w:cs="Times New Roman"/>
          <w:b/>
          <w:bCs/>
          <w:color w:val="000000"/>
          <w:sz w:val="28"/>
          <w:szCs w:val="28"/>
        </w:rPr>
        <w:t>RESULTADOS E DISCUSSÃO</w:t>
      </w:r>
    </w:p>
    <w:p w14:paraId="187EE9FA" w14:textId="2CAEB790" w:rsidR="006636C9" w:rsidRPr="008F5F9F" w:rsidRDefault="008F5F9F" w:rsidP="006636C9">
      <w:pPr>
        <w:pStyle w:val="NormalWeb"/>
        <w:numPr>
          <w:ilvl w:val="1"/>
          <w:numId w:val="8"/>
        </w:numPr>
        <w:spacing w:line="360" w:lineRule="auto"/>
        <w:ind w:left="0" w:firstLine="0"/>
        <w:jc w:val="both"/>
        <w:rPr>
          <w:color w:val="000000"/>
        </w:rPr>
      </w:pPr>
      <w:r w:rsidRPr="008F5F9F">
        <w:rPr>
          <w:color w:val="000000"/>
        </w:rPr>
        <w:lastRenderedPageBreak/>
        <w:t xml:space="preserve"> Resultados da pesquisa realizada.</w:t>
      </w:r>
    </w:p>
    <w:p w14:paraId="57E2E147" w14:textId="77777777" w:rsidR="006636C9" w:rsidRPr="006636C9" w:rsidRDefault="006636C9" w:rsidP="006636C9">
      <w:pPr>
        <w:pStyle w:val="NormalWeb"/>
        <w:spacing w:line="360" w:lineRule="auto"/>
        <w:ind w:firstLine="709"/>
        <w:jc w:val="both"/>
        <w:rPr>
          <w:color w:val="000000"/>
        </w:rPr>
      </w:pPr>
      <w:r w:rsidRPr="006636C9">
        <w:rPr>
          <w:color w:val="000000"/>
        </w:rPr>
        <w:t xml:space="preserve">O principal resultado deste estudo </w:t>
      </w:r>
      <w:r w:rsidRPr="006636C9">
        <w:t>bibliográfico</w:t>
      </w:r>
      <w:r w:rsidRPr="006636C9">
        <w:rPr>
          <w:color w:val="000000"/>
        </w:rPr>
        <w:t xml:space="preserve"> é a proposta de um framework composto por quatro diretrizes integradas, projetada para harmonizar a GC e a Cibersegurança. A implementação dessas diretrizes permitirá que as organizações superem a escolha difícil entre "proteger ou disseminar", criando um caminho focado na colaboração segura. No lugar de tratar as duas áreas como forças opostas, o modelo as posiciona como complementares, onde a segurança bem aplicada permite que a inovação aconteça de forma mais protegida e confiável. O quadro 1 apresenta um comparativo entre os frameworks foco deste estudo.</w:t>
      </w:r>
    </w:p>
    <w:p w14:paraId="35E9493E" w14:textId="77777777" w:rsidR="006636C9" w:rsidRPr="006636C9" w:rsidRDefault="006636C9" w:rsidP="006636C9">
      <w:pPr>
        <w:spacing w:before="100" w:beforeAutospacing="1" w:after="100" w:afterAutospacing="1" w:line="360" w:lineRule="auto"/>
        <w:ind w:firstLine="709"/>
        <w:jc w:val="center"/>
        <w:rPr>
          <w:rFonts w:ascii="Times New Roman" w:hAnsi="Times New Roman" w:cs="Times New Roman"/>
          <w:color w:val="000000"/>
          <w:sz w:val="20"/>
          <w:szCs w:val="20"/>
        </w:rPr>
      </w:pPr>
      <w:r w:rsidRPr="006636C9">
        <w:rPr>
          <w:rFonts w:ascii="Times New Roman" w:hAnsi="Times New Roman" w:cs="Times New Roman"/>
          <w:noProof/>
          <w:color w:val="000000"/>
          <w:sz w:val="20"/>
          <w:szCs w:val="20"/>
        </w:rPr>
        <w:drawing>
          <wp:anchor distT="0" distB="0" distL="114300" distR="114300" simplePos="0" relativeHeight="251659264" behindDoc="0" locked="0" layoutInCell="1" allowOverlap="1" wp14:anchorId="33C4A60C" wp14:editId="1A22E777">
            <wp:simplePos x="0" y="0"/>
            <wp:positionH relativeFrom="column">
              <wp:posOffset>116205</wp:posOffset>
            </wp:positionH>
            <wp:positionV relativeFrom="paragraph">
              <wp:posOffset>292100</wp:posOffset>
            </wp:positionV>
            <wp:extent cx="5655310" cy="2171700"/>
            <wp:effectExtent l="0" t="0" r="2540" b="0"/>
            <wp:wrapTopAndBottom/>
            <wp:docPr id="20357388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8852" name=""/>
                    <pic:cNvPicPr/>
                  </pic:nvPicPr>
                  <pic:blipFill>
                    <a:blip r:embed="rId13"/>
                    <a:stretch>
                      <a:fillRect/>
                    </a:stretch>
                  </pic:blipFill>
                  <pic:spPr>
                    <a:xfrm>
                      <a:off x="0" y="0"/>
                      <a:ext cx="5655310" cy="2171700"/>
                    </a:xfrm>
                    <a:prstGeom prst="rect">
                      <a:avLst/>
                    </a:prstGeom>
                  </pic:spPr>
                </pic:pic>
              </a:graphicData>
            </a:graphic>
            <wp14:sizeRelH relativeFrom="margin">
              <wp14:pctWidth>0</wp14:pctWidth>
            </wp14:sizeRelH>
            <wp14:sizeRelV relativeFrom="margin">
              <wp14:pctHeight>0</wp14:pctHeight>
            </wp14:sizeRelV>
          </wp:anchor>
        </w:drawing>
      </w:r>
      <w:r w:rsidRPr="006636C9">
        <w:rPr>
          <w:rFonts w:ascii="Times New Roman" w:hAnsi="Times New Roman" w:cs="Times New Roman"/>
          <w:color w:val="000000"/>
          <w:sz w:val="20"/>
          <w:szCs w:val="20"/>
        </w:rPr>
        <w:t>Quadro 1 – Comparativo entre frameworks</w:t>
      </w:r>
    </w:p>
    <w:p w14:paraId="51ABB14E" w14:textId="77777777" w:rsidR="006636C9" w:rsidRPr="006636C9" w:rsidRDefault="006636C9" w:rsidP="006636C9">
      <w:pPr>
        <w:spacing w:before="100" w:beforeAutospacing="1" w:after="100" w:afterAutospacing="1" w:line="360" w:lineRule="auto"/>
        <w:ind w:left="3540" w:firstLine="708"/>
        <w:rPr>
          <w:rFonts w:ascii="Times New Roman" w:hAnsi="Times New Roman" w:cs="Times New Roman"/>
          <w:color w:val="000000"/>
          <w:sz w:val="20"/>
          <w:szCs w:val="20"/>
        </w:rPr>
      </w:pPr>
      <w:r w:rsidRPr="006636C9">
        <w:rPr>
          <w:rFonts w:ascii="Times New Roman" w:hAnsi="Times New Roman" w:cs="Times New Roman"/>
          <w:color w:val="000000"/>
          <w:sz w:val="20"/>
          <w:szCs w:val="20"/>
        </w:rPr>
        <w:t>Fonte: Autores</w:t>
      </w:r>
    </w:p>
    <w:p w14:paraId="42BDD8C0" w14:textId="77777777" w:rsidR="006636C9" w:rsidRPr="006636C9" w:rsidRDefault="006636C9" w:rsidP="006636C9">
      <w:pPr>
        <w:pStyle w:val="NormalWeb"/>
        <w:spacing w:line="360" w:lineRule="auto"/>
        <w:ind w:firstLine="709"/>
        <w:jc w:val="both"/>
        <w:rPr>
          <w:color w:val="000000"/>
        </w:rPr>
      </w:pPr>
      <w:r w:rsidRPr="006636C9">
        <w:rPr>
          <w:color w:val="000000"/>
        </w:rPr>
        <w:t>Este comparativo apresentado no quadro 1 foi utilizado na formalização das quatro diretrizes que comporão o framework para a inovação segura, descrito a seguir.</w:t>
      </w:r>
    </w:p>
    <w:p w14:paraId="0831084F" w14:textId="77777777" w:rsidR="006636C9" w:rsidRPr="00127E19" w:rsidRDefault="006636C9" w:rsidP="006636C9">
      <w:pPr>
        <w:pStyle w:val="NormalWeb"/>
        <w:numPr>
          <w:ilvl w:val="0"/>
          <w:numId w:val="9"/>
        </w:numPr>
        <w:spacing w:line="360" w:lineRule="auto"/>
        <w:jc w:val="both"/>
        <w:rPr>
          <w:rStyle w:val="apple-converted-space"/>
          <w:rFonts w:eastAsiaTheme="majorEastAsia"/>
          <w:b/>
          <w:bCs/>
          <w:color w:val="000000"/>
        </w:rPr>
      </w:pPr>
      <w:r w:rsidRPr="00127E19">
        <w:rPr>
          <w:rStyle w:val="Forte"/>
          <w:rFonts w:eastAsiaTheme="majorEastAsia"/>
          <w:b w:val="0"/>
          <w:bCs w:val="0"/>
          <w:color w:val="000000"/>
        </w:rPr>
        <w:t>Diretriz 1: Instituir uma política de classificação do conhecimento</w:t>
      </w:r>
      <w:r w:rsidRPr="00127E19">
        <w:rPr>
          <w:rStyle w:val="apple-converted-space"/>
          <w:rFonts w:eastAsiaTheme="majorEastAsia"/>
          <w:b/>
          <w:bCs/>
          <w:color w:val="000000"/>
        </w:rPr>
        <w:t> </w:t>
      </w:r>
    </w:p>
    <w:p w14:paraId="5C1867E9" w14:textId="77777777" w:rsidR="006636C9" w:rsidRPr="00F16BCE" w:rsidRDefault="006636C9" w:rsidP="006636C9">
      <w:pPr>
        <w:spacing w:before="100" w:beforeAutospacing="1" w:after="100" w:afterAutospacing="1" w:line="360" w:lineRule="auto"/>
        <w:ind w:firstLine="709"/>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Trata-se de abandonar a abordagem monolítica onde toda informação é tratada com o mesmo rigor. A organização deve criar e manter um esquema formal que classifique os ativos de conhecimento com base em sua criticidade, sensibilidade e valor para o negócio. Isso permite que os controles de segurança sejam aplicados de forma proporcional e inteligente.</w:t>
      </w:r>
    </w:p>
    <w:p w14:paraId="2F572BBD" w14:textId="77777777" w:rsidR="006636C9" w:rsidRPr="00F16BCE" w:rsidRDefault="006636C9" w:rsidP="006636C9">
      <w:pPr>
        <w:pStyle w:val="PargrafodaLista"/>
        <w:numPr>
          <w:ilvl w:val="0"/>
          <w:numId w:val="10"/>
        </w:numPr>
        <w:spacing w:before="100" w:beforeAutospacing="1" w:after="100" w:afterAutospacing="1" w:line="360" w:lineRule="auto"/>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Recomendação de implementação:</w:t>
      </w:r>
    </w:p>
    <w:p w14:paraId="3E35C02F" w14:textId="77777777" w:rsidR="006636C9" w:rsidRPr="00F16BCE" w:rsidRDefault="006636C9" w:rsidP="006636C9">
      <w:pPr>
        <w:numPr>
          <w:ilvl w:val="0"/>
          <w:numId w:val="4"/>
        </w:numPr>
        <w:tabs>
          <w:tab w:val="clear" w:pos="720"/>
          <w:tab w:val="num" w:pos="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Criação de um comitê com membros do negócio e da Tecnologia da Informação (TI) para definir os níveis de classificação (</w:t>
      </w:r>
      <w:proofErr w:type="spellStart"/>
      <w:r w:rsidRPr="00F16BCE">
        <w:rPr>
          <w:rFonts w:ascii="Times New Roman" w:hAnsi="Times New Roman" w:cs="Times New Roman"/>
          <w:color w:val="000000"/>
          <w:sz w:val="24"/>
          <w:szCs w:val="24"/>
        </w:rPr>
        <w:t>ex</w:t>
      </w:r>
      <w:proofErr w:type="spellEnd"/>
      <w:r w:rsidRPr="00F16BCE">
        <w:rPr>
          <w:rFonts w:ascii="Times New Roman" w:hAnsi="Times New Roman" w:cs="Times New Roman"/>
          <w:color w:val="000000"/>
          <w:sz w:val="24"/>
          <w:szCs w:val="24"/>
        </w:rPr>
        <w:t xml:space="preserve">: nível 1: público; nível 2: uso interno; nível 3: </w:t>
      </w:r>
      <w:r w:rsidRPr="00F16BCE">
        <w:rPr>
          <w:rFonts w:ascii="Times New Roman" w:hAnsi="Times New Roman" w:cs="Times New Roman"/>
          <w:color w:val="000000"/>
          <w:sz w:val="24"/>
          <w:szCs w:val="24"/>
        </w:rPr>
        <w:lastRenderedPageBreak/>
        <w:t>confidencial; nível 4: restrito), de acordo com o framework COBIT 2019 (Objetivo APO14 – Alinhar, planejar e organizar).</w:t>
      </w:r>
    </w:p>
    <w:p w14:paraId="2F1AB2B4" w14:textId="77777777" w:rsidR="006636C9" w:rsidRPr="00F16BCE" w:rsidRDefault="006636C9" w:rsidP="006636C9">
      <w:pPr>
        <w:numPr>
          <w:ilvl w:val="0"/>
          <w:numId w:val="4"/>
        </w:numPr>
        <w:tabs>
          <w:tab w:val="clear" w:pos="720"/>
          <w:tab w:val="num" w:pos="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 xml:space="preserve">Associar cada ativo de conhecimento (documentos, bases de dados, relatórios) a um desses níveis utilizando ferramentas de </w:t>
      </w:r>
      <w:r w:rsidRPr="00F16BCE">
        <w:rPr>
          <w:rFonts w:ascii="Times New Roman" w:hAnsi="Times New Roman" w:cs="Times New Roman"/>
          <w:i/>
          <w:iCs/>
          <w:color w:val="000000"/>
          <w:sz w:val="24"/>
          <w:szCs w:val="24"/>
        </w:rPr>
        <w:t xml:space="preserve">Data Discover </w:t>
      </w:r>
      <w:r w:rsidRPr="00F16BCE">
        <w:rPr>
          <w:rFonts w:ascii="Times New Roman" w:hAnsi="Times New Roman" w:cs="Times New Roman"/>
          <w:color w:val="000000"/>
          <w:sz w:val="24"/>
          <w:szCs w:val="24"/>
        </w:rPr>
        <w:t>(descoberta de dados).</w:t>
      </w:r>
    </w:p>
    <w:p w14:paraId="2E465EE3" w14:textId="77777777" w:rsidR="006636C9" w:rsidRPr="00F16BCE" w:rsidRDefault="006636C9" w:rsidP="006636C9">
      <w:pPr>
        <w:numPr>
          <w:ilvl w:val="0"/>
          <w:numId w:val="4"/>
        </w:numPr>
        <w:tabs>
          <w:tab w:val="clear" w:pos="720"/>
          <w:tab w:val="num" w:pos="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 xml:space="preserve">Automatizar a aplicação de rótulos de classificação em documentos digitais para garantir consistência, utilizando ferramentas como Microsoft </w:t>
      </w:r>
      <w:proofErr w:type="spellStart"/>
      <w:r w:rsidRPr="00F16BCE">
        <w:rPr>
          <w:rFonts w:ascii="Times New Roman" w:hAnsi="Times New Roman" w:cs="Times New Roman"/>
          <w:color w:val="000000"/>
          <w:sz w:val="24"/>
          <w:szCs w:val="24"/>
        </w:rPr>
        <w:t>Purview</w:t>
      </w:r>
      <w:proofErr w:type="spellEnd"/>
      <w:r w:rsidRPr="00F16BCE">
        <w:rPr>
          <w:rFonts w:ascii="Times New Roman" w:hAnsi="Times New Roman" w:cs="Times New Roman"/>
          <w:color w:val="000000"/>
          <w:sz w:val="24"/>
          <w:szCs w:val="24"/>
        </w:rPr>
        <w:t xml:space="preserve"> </w:t>
      </w:r>
      <w:proofErr w:type="spellStart"/>
      <w:r w:rsidRPr="00F16BCE">
        <w:rPr>
          <w:rFonts w:ascii="Times New Roman" w:hAnsi="Times New Roman" w:cs="Times New Roman"/>
          <w:color w:val="000000"/>
          <w:sz w:val="24"/>
          <w:szCs w:val="24"/>
        </w:rPr>
        <w:t>Information</w:t>
      </w:r>
      <w:proofErr w:type="spellEnd"/>
      <w:r w:rsidRPr="00F16BCE">
        <w:rPr>
          <w:rFonts w:ascii="Times New Roman" w:hAnsi="Times New Roman" w:cs="Times New Roman"/>
          <w:color w:val="000000"/>
          <w:sz w:val="24"/>
          <w:szCs w:val="24"/>
        </w:rPr>
        <w:t xml:space="preserve"> </w:t>
      </w:r>
      <w:proofErr w:type="spellStart"/>
      <w:r w:rsidRPr="00F16BCE">
        <w:rPr>
          <w:rFonts w:ascii="Times New Roman" w:hAnsi="Times New Roman" w:cs="Times New Roman"/>
          <w:color w:val="000000"/>
          <w:sz w:val="24"/>
          <w:szCs w:val="24"/>
        </w:rPr>
        <w:t>Protection</w:t>
      </w:r>
      <w:proofErr w:type="spellEnd"/>
      <w:r w:rsidRPr="00F16BCE">
        <w:rPr>
          <w:rFonts w:ascii="Times New Roman" w:hAnsi="Times New Roman" w:cs="Times New Roman"/>
          <w:color w:val="000000"/>
          <w:sz w:val="24"/>
          <w:szCs w:val="24"/>
        </w:rPr>
        <w:t xml:space="preserve"> ou Google </w:t>
      </w:r>
      <w:proofErr w:type="spellStart"/>
      <w:r w:rsidRPr="00F16BCE">
        <w:rPr>
          <w:rFonts w:ascii="Times New Roman" w:hAnsi="Times New Roman" w:cs="Times New Roman"/>
          <w:color w:val="000000"/>
          <w:sz w:val="24"/>
          <w:szCs w:val="24"/>
        </w:rPr>
        <w:t>Workspace</w:t>
      </w:r>
      <w:proofErr w:type="spellEnd"/>
      <w:r w:rsidRPr="00F16BCE">
        <w:rPr>
          <w:rFonts w:ascii="Times New Roman" w:hAnsi="Times New Roman" w:cs="Times New Roman"/>
          <w:color w:val="000000"/>
          <w:sz w:val="24"/>
          <w:szCs w:val="24"/>
        </w:rPr>
        <w:t>.</w:t>
      </w:r>
    </w:p>
    <w:p w14:paraId="5CB2E67B" w14:textId="77777777" w:rsidR="006636C9" w:rsidRPr="00F16BCE" w:rsidRDefault="006636C9" w:rsidP="006636C9">
      <w:pPr>
        <w:numPr>
          <w:ilvl w:val="0"/>
          <w:numId w:val="4"/>
        </w:numPr>
        <w:tabs>
          <w:tab w:val="clear" w:pos="720"/>
          <w:tab w:val="num" w:pos="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Definir regras claras de manuseio, compartilhamento e descarte para cada nível de classificação.</w:t>
      </w:r>
    </w:p>
    <w:p w14:paraId="5640E97A" w14:textId="77777777" w:rsidR="006636C9" w:rsidRPr="00F16BCE" w:rsidRDefault="006636C9" w:rsidP="006636C9">
      <w:pPr>
        <w:pStyle w:val="PargrafodaLista"/>
        <w:numPr>
          <w:ilvl w:val="0"/>
          <w:numId w:val="10"/>
        </w:numPr>
        <w:tabs>
          <w:tab w:val="num" w:pos="0"/>
        </w:tabs>
        <w:spacing w:before="100" w:beforeAutospacing="1" w:after="100" w:afterAutospacing="1" w:line="360" w:lineRule="auto"/>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Conexão com os Frameworks:</w:t>
      </w:r>
    </w:p>
    <w:p w14:paraId="1349E3A3" w14:textId="77777777" w:rsidR="006636C9" w:rsidRPr="00F16BCE" w:rsidRDefault="006636C9" w:rsidP="006636C9">
      <w:pPr>
        <w:tabs>
          <w:tab w:val="num" w:pos="0"/>
        </w:tabs>
        <w:spacing w:before="100" w:beforeAutospacing="1" w:after="100" w:afterAutospacing="1" w:line="360" w:lineRule="auto"/>
        <w:jc w:val="both"/>
        <w:rPr>
          <w:rFonts w:ascii="Times New Roman" w:hAnsi="Times New Roman" w:cs="Times New Roman"/>
          <w:color w:val="000000"/>
          <w:sz w:val="24"/>
          <w:szCs w:val="24"/>
        </w:rPr>
      </w:pPr>
      <w:r w:rsidRPr="00F16BCE">
        <w:rPr>
          <w:rFonts w:ascii="Times New Roman" w:hAnsi="Times New Roman" w:cs="Times New Roman"/>
          <w:color w:val="000000"/>
          <w:sz w:val="24"/>
          <w:szCs w:val="24"/>
        </w:rPr>
        <w:tab/>
        <w:t>O Quadro 2 apresenta a conexão entre a Diretriz 1 proposta e os frameworks analisados na literatura.</w:t>
      </w:r>
    </w:p>
    <w:p w14:paraId="14AE906D" w14:textId="77777777" w:rsidR="006636C9" w:rsidRPr="006636C9" w:rsidRDefault="006636C9" w:rsidP="006636C9">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Quadro 2 – Diretriz 1 x frameworks</w:t>
      </w:r>
    </w:p>
    <w:tbl>
      <w:tblPr>
        <w:tblStyle w:val="Tabelacomgrade"/>
        <w:tblW w:w="0" w:type="auto"/>
        <w:tblLook w:val="04A0" w:firstRow="1" w:lastRow="0" w:firstColumn="1" w:lastColumn="0" w:noHBand="0" w:noVBand="1"/>
      </w:tblPr>
      <w:tblGrid>
        <w:gridCol w:w="2263"/>
        <w:gridCol w:w="6231"/>
      </w:tblGrid>
      <w:tr w:rsidR="006636C9" w:rsidRPr="006636C9" w14:paraId="37111664" w14:textId="77777777" w:rsidTr="00127E19">
        <w:trPr>
          <w:trHeight w:val="622"/>
        </w:trPr>
        <w:tc>
          <w:tcPr>
            <w:tcW w:w="2263" w:type="dxa"/>
            <w:vAlign w:val="center"/>
          </w:tcPr>
          <w:p w14:paraId="07E75F85" w14:textId="77777777" w:rsidR="006636C9" w:rsidRPr="006636C9" w:rsidRDefault="006636C9" w:rsidP="00127E19">
            <w:pPr>
              <w:spacing w:before="100" w:beforeAutospacing="1" w:after="100" w:afterAutospacing="1" w:line="360" w:lineRule="auto"/>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Frameworks</w:t>
            </w:r>
          </w:p>
        </w:tc>
        <w:tc>
          <w:tcPr>
            <w:tcW w:w="6231" w:type="dxa"/>
          </w:tcPr>
          <w:p w14:paraId="52483474" w14:textId="58B06B0A"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 xml:space="preserve">Conexão com a Diretriz 1: </w:t>
            </w:r>
            <w:r w:rsidR="00F16BCE" w:rsidRPr="00F16BCE">
              <w:rPr>
                <w:rFonts w:ascii="Times New Roman" w:hAnsi="Times New Roman" w:cs="Times New Roman"/>
                <w:color w:val="000000"/>
                <w:sz w:val="20"/>
                <w:szCs w:val="20"/>
              </w:rPr>
              <w:t>I</w:t>
            </w:r>
            <w:r w:rsidRPr="00F16BCE">
              <w:rPr>
                <w:rStyle w:val="Forte"/>
                <w:rFonts w:ascii="Times New Roman" w:eastAsiaTheme="majorEastAsia" w:hAnsi="Times New Roman" w:cs="Times New Roman"/>
                <w:color w:val="000000"/>
                <w:sz w:val="20"/>
                <w:szCs w:val="20"/>
              </w:rPr>
              <w:t>nstituir uma política de classificação do conhecimento</w:t>
            </w:r>
            <w:r w:rsidR="00F16BCE">
              <w:rPr>
                <w:rStyle w:val="Forte"/>
                <w:rFonts w:ascii="Times New Roman" w:eastAsiaTheme="majorEastAsia" w:hAnsi="Times New Roman" w:cs="Times New Roman"/>
                <w:color w:val="000000"/>
                <w:sz w:val="20"/>
                <w:szCs w:val="20"/>
              </w:rPr>
              <w:t>.</w:t>
            </w:r>
          </w:p>
        </w:tc>
      </w:tr>
      <w:tr w:rsidR="006636C9" w:rsidRPr="006636C9" w14:paraId="4437D98C" w14:textId="77777777" w:rsidTr="00127E19">
        <w:trPr>
          <w:trHeight w:val="997"/>
        </w:trPr>
        <w:tc>
          <w:tcPr>
            <w:tcW w:w="2263" w:type="dxa"/>
            <w:vAlign w:val="center"/>
          </w:tcPr>
          <w:p w14:paraId="2594C269"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ISO 27001</w:t>
            </w:r>
          </w:p>
        </w:tc>
        <w:tc>
          <w:tcPr>
            <w:tcW w:w="6231" w:type="dxa"/>
          </w:tcPr>
          <w:p w14:paraId="56F305F1"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é a aplicação direta do controle A.8.2.1 (</w:t>
            </w:r>
            <w:proofErr w:type="spellStart"/>
            <w:r w:rsidRPr="006636C9">
              <w:rPr>
                <w:rFonts w:ascii="Times New Roman" w:hAnsi="Times New Roman" w:cs="Times New Roman"/>
                <w:color w:val="000000"/>
                <w:sz w:val="20"/>
                <w:szCs w:val="20"/>
              </w:rPr>
              <w:t>Classification</w:t>
            </w:r>
            <w:proofErr w:type="spellEnd"/>
            <w:r w:rsidRPr="006636C9">
              <w:rPr>
                <w:rFonts w:ascii="Times New Roman" w:hAnsi="Times New Roman" w:cs="Times New Roman"/>
                <w:color w:val="000000"/>
                <w:sz w:val="20"/>
                <w:szCs w:val="20"/>
              </w:rPr>
              <w:t xml:space="preserve"> </w:t>
            </w:r>
            <w:proofErr w:type="spellStart"/>
            <w:r w:rsidRPr="006636C9">
              <w:rPr>
                <w:rFonts w:ascii="Times New Roman" w:hAnsi="Times New Roman" w:cs="Times New Roman"/>
                <w:color w:val="000000"/>
                <w:sz w:val="20"/>
                <w:szCs w:val="20"/>
              </w:rPr>
              <w:t>of</w:t>
            </w:r>
            <w:proofErr w:type="spellEnd"/>
            <w:r w:rsidRPr="006636C9">
              <w:rPr>
                <w:rFonts w:ascii="Times New Roman" w:hAnsi="Times New Roman" w:cs="Times New Roman"/>
                <w:color w:val="000000"/>
                <w:sz w:val="20"/>
                <w:szCs w:val="20"/>
              </w:rPr>
              <w:t xml:space="preserve"> </w:t>
            </w:r>
            <w:proofErr w:type="spellStart"/>
            <w:r w:rsidRPr="006636C9">
              <w:rPr>
                <w:rFonts w:ascii="Times New Roman" w:hAnsi="Times New Roman" w:cs="Times New Roman"/>
                <w:color w:val="000000"/>
                <w:sz w:val="20"/>
                <w:szCs w:val="20"/>
              </w:rPr>
              <w:t>information</w:t>
            </w:r>
            <w:proofErr w:type="spellEnd"/>
            <w:r w:rsidRPr="006636C9">
              <w:rPr>
                <w:rFonts w:ascii="Times New Roman" w:hAnsi="Times New Roman" w:cs="Times New Roman"/>
                <w:color w:val="000000"/>
                <w:sz w:val="20"/>
                <w:szCs w:val="20"/>
              </w:rPr>
              <w:t>), que exige que a informação seja classificada em termos de valor, criticidade e sensibilidade a modificações ou divulgações não autorizadas.</w:t>
            </w:r>
          </w:p>
        </w:tc>
      </w:tr>
      <w:tr w:rsidR="006636C9" w:rsidRPr="006636C9" w14:paraId="0D8203FD" w14:textId="77777777" w:rsidTr="00127E19">
        <w:trPr>
          <w:trHeight w:val="1068"/>
        </w:trPr>
        <w:tc>
          <w:tcPr>
            <w:tcW w:w="2263" w:type="dxa"/>
            <w:vAlign w:val="center"/>
          </w:tcPr>
          <w:p w14:paraId="2DA1B863"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NIST CSF</w:t>
            </w:r>
          </w:p>
        </w:tc>
        <w:tc>
          <w:tcPr>
            <w:tcW w:w="6231" w:type="dxa"/>
          </w:tcPr>
          <w:p w14:paraId="302B705A"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alinha-se à função "Identificar" (ID), especificamente na categoria ID.AM (</w:t>
            </w:r>
            <w:proofErr w:type="spellStart"/>
            <w:r w:rsidRPr="006636C9">
              <w:rPr>
                <w:rFonts w:ascii="Times New Roman" w:hAnsi="Times New Roman" w:cs="Times New Roman"/>
                <w:color w:val="000000"/>
                <w:sz w:val="20"/>
                <w:szCs w:val="20"/>
              </w:rPr>
              <w:t>Asset</w:t>
            </w:r>
            <w:proofErr w:type="spellEnd"/>
            <w:r w:rsidRPr="006636C9">
              <w:rPr>
                <w:rFonts w:ascii="Times New Roman" w:hAnsi="Times New Roman" w:cs="Times New Roman"/>
                <w:color w:val="000000"/>
                <w:sz w:val="20"/>
                <w:szCs w:val="20"/>
              </w:rPr>
              <w:t xml:space="preserve"> Management), que prega a necessidade de categorizar informações e sistemas com base na sua importância para viabilizar a gestão de risco.</w:t>
            </w:r>
          </w:p>
        </w:tc>
      </w:tr>
      <w:tr w:rsidR="006636C9" w:rsidRPr="006636C9" w14:paraId="0D9ABD63" w14:textId="77777777" w:rsidTr="00127E19">
        <w:trPr>
          <w:trHeight w:val="839"/>
        </w:trPr>
        <w:tc>
          <w:tcPr>
            <w:tcW w:w="2263" w:type="dxa"/>
            <w:vAlign w:val="center"/>
          </w:tcPr>
          <w:p w14:paraId="4FDFCBD6"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COBIT 2019</w:t>
            </w:r>
          </w:p>
        </w:tc>
        <w:tc>
          <w:tcPr>
            <w:tcW w:w="6231" w:type="dxa"/>
          </w:tcPr>
          <w:p w14:paraId="579BC328"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responde ao objetivo de governança APO14 (</w:t>
            </w:r>
            <w:proofErr w:type="spellStart"/>
            <w:r w:rsidRPr="006636C9">
              <w:rPr>
                <w:rFonts w:ascii="Times New Roman" w:hAnsi="Times New Roman" w:cs="Times New Roman"/>
                <w:color w:val="000000"/>
                <w:sz w:val="20"/>
                <w:szCs w:val="20"/>
              </w:rPr>
              <w:t>Managed</w:t>
            </w:r>
            <w:proofErr w:type="spellEnd"/>
            <w:r w:rsidRPr="006636C9">
              <w:rPr>
                <w:rFonts w:ascii="Times New Roman" w:hAnsi="Times New Roman" w:cs="Times New Roman"/>
                <w:color w:val="000000"/>
                <w:sz w:val="20"/>
                <w:szCs w:val="20"/>
              </w:rPr>
              <w:t xml:space="preserve"> Data), que foca em garantir a qualidade e o ciclo de vida dos dados, o que pressupõe sua classificação para uma gestão eficaz.</w:t>
            </w:r>
          </w:p>
        </w:tc>
      </w:tr>
    </w:tbl>
    <w:p w14:paraId="04602901" w14:textId="518D4B35" w:rsidR="006636C9" w:rsidRPr="006636C9" w:rsidRDefault="006636C9" w:rsidP="00127E19">
      <w:pPr>
        <w:ind w:left="2880" w:firstLine="720"/>
        <w:rPr>
          <w:rFonts w:ascii="Times New Roman" w:hAnsi="Times New Roman" w:cs="Times New Roman"/>
          <w:color w:val="000000"/>
          <w:sz w:val="20"/>
          <w:szCs w:val="20"/>
        </w:rPr>
      </w:pPr>
      <w:r w:rsidRPr="006636C9">
        <w:rPr>
          <w:rFonts w:ascii="Times New Roman" w:hAnsi="Times New Roman" w:cs="Times New Roman"/>
          <w:color w:val="000000"/>
          <w:sz w:val="20"/>
          <w:szCs w:val="20"/>
        </w:rPr>
        <w:t>Fonte: Autores</w:t>
      </w:r>
    </w:p>
    <w:p w14:paraId="7811BB04" w14:textId="77777777" w:rsidR="006636C9" w:rsidRPr="00127E19" w:rsidRDefault="006636C9" w:rsidP="006636C9">
      <w:pPr>
        <w:pStyle w:val="PargrafodaLista"/>
        <w:spacing w:before="100" w:beforeAutospacing="1" w:after="100" w:afterAutospacing="1" w:line="360" w:lineRule="auto"/>
        <w:ind w:left="360"/>
        <w:jc w:val="both"/>
        <w:rPr>
          <w:rFonts w:ascii="Times New Roman" w:hAnsi="Times New Roman" w:cs="Times New Roman"/>
          <w:color w:val="000000"/>
        </w:rPr>
      </w:pPr>
    </w:p>
    <w:p w14:paraId="5B40765F" w14:textId="77777777" w:rsidR="006636C9" w:rsidRPr="00127E19" w:rsidRDefault="006636C9" w:rsidP="006636C9">
      <w:pPr>
        <w:pStyle w:val="PargrafodaLista"/>
        <w:numPr>
          <w:ilvl w:val="0"/>
          <w:numId w:val="9"/>
        </w:numPr>
        <w:spacing w:before="100" w:beforeAutospacing="1" w:after="100" w:afterAutospacing="1" w:line="360" w:lineRule="auto"/>
        <w:jc w:val="both"/>
        <w:rPr>
          <w:rFonts w:ascii="Times New Roman" w:hAnsi="Times New Roman" w:cs="Times New Roman"/>
          <w:color w:val="000000"/>
        </w:rPr>
      </w:pPr>
      <w:r w:rsidRPr="00127E19">
        <w:rPr>
          <w:rFonts w:ascii="Times New Roman" w:hAnsi="Times New Roman" w:cs="Times New Roman"/>
          <w:color w:val="000000"/>
          <w:sz w:val="24"/>
          <w:szCs w:val="24"/>
        </w:rPr>
        <w:t>Diretriz 2: Estruturar uma governança integrada e multidisciplinar</w:t>
      </w:r>
      <w:r w:rsidRPr="00127E19">
        <w:rPr>
          <w:rFonts w:ascii="Times New Roman" w:hAnsi="Times New Roman" w:cs="Times New Roman"/>
          <w:color w:val="000000"/>
        </w:rPr>
        <w:t>:</w:t>
      </w:r>
    </w:p>
    <w:p w14:paraId="530A0655" w14:textId="77777777" w:rsidR="006636C9" w:rsidRPr="00127E19" w:rsidRDefault="006636C9" w:rsidP="006636C9">
      <w:pPr>
        <w:spacing w:before="100" w:beforeAutospacing="1" w:after="100" w:afterAutospacing="1" w:line="360" w:lineRule="auto"/>
        <w:ind w:firstLine="709"/>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A tomada de decisão sobre risco e colaboração não pode ser um monopólio da TI ou da área de segurança da informação. É preciso criar uma estrutura de governança formal e multidisciplinar, quebrando barreiras e garantindo que as decisões representem um equilíbrio entre os objetivos de negócio e as necessidades de proteção.</w:t>
      </w:r>
    </w:p>
    <w:p w14:paraId="42A1D354" w14:textId="77777777" w:rsidR="006636C9" w:rsidRPr="00127E19" w:rsidRDefault="006636C9" w:rsidP="006636C9">
      <w:pPr>
        <w:pStyle w:val="PargrafodaLista"/>
        <w:numPr>
          <w:ilvl w:val="0"/>
          <w:numId w:val="11"/>
        </w:numPr>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Recomendação de implementação:</w:t>
      </w:r>
    </w:p>
    <w:p w14:paraId="55351F4C" w14:textId="77777777" w:rsidR="006636C9" w:rsidRPr="00127E19" w:rsidRDefault="006636C9" w:rsidP="006636C9">
      <w:pPr>
        <w:pStyle w:val="PargrafodaLista"/>
        <w:numPr>
          <w:ilvl w:val="0"/>
          <w:numId w:val="5"/>
        </w:numPr>
        <w:spacing w:before="100" w:beforeAutospacing="1" w:after="100" w:afterAutospacing="1" w:line="360" w:lineRule="auto"/>
        <w:ind w:left="0" w:firstLine="567"/>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lastRenderedPageBreak/>
        <w:t>Formação de um comitê estratégico de "GC e Segurança" com poder de decisão, incluindo C-</w:t>
      </w:r>
      <w:proofErr w:type="spellStart"/>
      <w:r w:rsidRPr="00127E19">
        <w:rPr>
          <w:rFonts w:ascii="Times New Roman" w:hAnsi="Times New Roman" w:cs="Times New Roman"/>
          <w:color w:val="000000"/>
          <w:sz w:val="24"/>
          <w:szCs w:val="24"/>
        </w:rPr>
        <w:t>Levels</w:t>
      </w:r>
      <w:proofErr w:type="spellEnd"/>
      <w:r w:rsidRPr="00127E19">
        <w:rPr>
          <w:rFonts w:ascii="Times New Roman" w:hAnsi="Times New Roman" w:cs="Times New Roman"/>
          <w:color w:val="000000"/>
          <w:sz w:val="24"/>
          <w:szCs w:val="24"/>
        </w:rPr>
        <w:t xml:space="preserve"> das áreas de negócio, Tecnologia da Informação, segurança da informação, jurídico e recursos humanos. Esta prática implementa diretamente os princípios da</w:t>
      </w:r>
      <w:r w:rsidRPr="00127E19">
        <w:rPr>
          <w:rFonts w:ascii="Times New Roman" w:hAnsi="Times New Roman" w:cs="Times New Roman"/>
          <w:sz w:val="24"/>
          <w:szCs w:val="24"/>
        </w:rPr>
        <w:t> Cláusula 5 (Liderança) da ISO 27001</w:t>
      </w:r>
      <w:r w:rsidRPr="00127E19">
        <w:rPr>
          <w:rFonts w:ascii="Times New Roman" w:hAnsi="Times New Roman" w:cs="Times New Roman"/>
          <w:color w:val="000000"/>
          <w:sz w:val="24"/>
          <w:szCs w:val="24"/>
        </w:rPr>
        <w:t>, que exige o comprometimento da alta direção, e do domínio</w:t>
      </w:r>
      <w:r w:rsidRPr="00127E19">
        <w:rPr>
          <w:rFonts w:ascii="Times New Roman" w:hAnsi="Times New Roman" w:cs="Times New Roman"/>
          <w:sz w:val="24"/>
          <w:szCs w:val="24"/>
        </w:rPr>
        <w:t> EDM (Avaliar, Dirigir e Monitorar)</w:t>
      </w:r>
      <w:r w:rsidRPr="00127E19">
        <w:rPr>
          <w:rFonts w:ascii="Times New Roman" w:hAnsi="Times New Roman" w:cs="Times New Roman"/>
          <w:b/>
          <w:bCs/>
          <w:sz w:val="24"/>
          <w:szCs w:val="24"/>
        </w:rPr>
        <w:t xml:space="preserve"> </w:t>
      </w:r>
      <w:r w:rsidRPr="00127E19">
        <w:rPr>
          <w:rFonts w:ascii="Times New Roman" w:hAnsi="Times New Roman" w:cs="Times New Roman"/>
          <w:sz w:val="24"/>
          <w:szCs w:val="24"/>
        </w:rPr>
        <w:t>do COBIT 2019</w:t>
      </w:r>
      <w:r w:rsidRPr="00127E19">
        <w:rPr>
          <w:rFonts w:ascii="Times New Roman" w:hAnsi="Times New Roman" w:cs="Times New Roman"/>
          <w:color w:val="000000"/>
          <w:sz w:val="24"/>
          <w:szCs w:val="24"/>
        </w:rPr>
        <w:t>, que formaliza a estrutura de governança.</w:t>
      </w:r>
    </w:p>
    <w:p w14:paraId="71FE8205" w14:textId="77777777" w:rsidR="006636C9" w:rsidRPr="00127E19" w:rsidRDefault="006636C9" w:rsidP="006636C9">
      <w:pPr>
        <w:pStyle w:val="PargrafodaLista"/>
        <w:numPr>
          <w:ilvl w:val="0"/>
          <w:numId w:val="5"/>
        </w:numPr>
        <w:spacing w:before="100" w:beforeAutospacing="1" w:after="100" w:afterAutospacing="1" w:line="360" w:lineRule="auto"/>
        <w:ind w:left="0" w:firstLine="567"/>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Delegar a este comitê a responsabilidade por aprovar tecnologias de colaboração, revisar a política de classificação e arbitrar disputas entre agilidade e controle. Essa delegação atende à função</w:t>
      </w:r>
      <w:r w:rsidRPr="00127E19">
        <w:rPr>
          <w:rFonts w:ascii="Times New Roman" w:hAnsi="Times New Roman" w:cs="Times New Roman"/>
          <w:sz w:val="24"/>
          <w:szCs w:val="24"/>
        </w:rPr>
        <w:t> "Governar" (GV) do NIST CSF</w:t>
      </w:r>
      <w:r w:rsidRPr="00127E19">
        <w:rPr>
          <w:rFonts w:ascii="Times New Roman" w:hAnsi="Times New Roman" w:cs="Times New Roman"/>
          <w:color w:val="000000"/>
          <w:sz w:val="24"/>
          <w:szCs w:val="24"/>
        </w:rPr>
        <w:t>, que foca em alinhar as estratégias de segurança com as metas organizacionais através de uma gestão de riscos clara.</w:t>
      </w:r>
    </w:p>
    <w:p w14:paraId="4BCEEABC" w14:textId="77777777" w:rsidR="006636C9" w:rsidRPr="00127E19" w:rsidRDefault="006636C9" w:rsidP="006636C9">
      <w:pPr>
        <w:pStyle w:val="PargrafodaLista"/>
        <w:numPr>
          <w:ilvl w:val="0"/>
          <w:numId w:val="5"/>
        </w:numPr>
        <w:spacing w:before="100" w:beforeAutospacing="1" w:after="100" w:afterAutospacing="1" w:line="360" w:lineRule="auto"/>
        <w:ind w:left="0" w:firstLine="567"/>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 xml:space="preserve">Desenvolver um programa de </w:t>
      </w:r>
      <w:r w:rsidRPr="00127E19">
        <w:rPr>
          <w:rFonts w:ascii="Times New Roman" w:hAnsi="Times New Roman" w:cs="Times New Roman"/>
          <w:i/>
          <w:iCs/>
          <w:color w:val="000000"/>
          <w:sz w:val="24"/>
          <w:szCs w:val="24"/>
        </w:rPr>
        <w:t xml:space="preserve">“Security </w:t>
      </w:r>
      <w:proofErr w:type="spellStart"/>
      <w:r w:rsidRPr="00127E19">
        <w:rPr>
          <w:rFonts w:ascii="Times New Roman" w:hAnsi="Times New Roman" w:cs="Times New Roman"/>
          <w:i/>
          <w:iCs/>
          <w:color w:val="000000"/>
          <w:sz w:val="24"/>
          <w:szCs w:val="24"/>
        </w:rPr>
        <w:t>Champions</w:t>
      </w:r>
      <w:proofErr w:type="spellEnd"/>
      <w:r w:rsidRPr="00127E19">
        <w:rPr>
          <w:rFonts w:ascii="Times New Roman" w:hAnsi="Times New Roman" w:cs="Times New Roman"/>
          <w:i/>
          <w:iCs/>
          <w:color w:val="000000"/>
          <w:sz w:val="24"/>
          <w:szCs w:val="24"/>
        </w:rPr>
        <w:t>”</w:t>
      </w:r>
      <w:r w:rsidRPr="00127E19">
        <w:rPr>
          <w:rFonts w:ascii="Times New Roman" w:hAnsi="Times New Roman" w:cs="Times New Roman"/>
          <w:color w:val="000000"/>
          <w:sz w:val="24"/>
          <w:szCs w:val="24"/>
        </w:rPr>
        <w:t>, uma abordagem validada pela literatura por ser mais eficaz que a comunicação formal de cima para baixo</w:t>
      </w:r>
      <w:r w:rsidRPr="00127E19">
        <w:rPr>
          <w:rFonts w:ascii="Times New Roman" w:hAnsi="Times New Roman" w:cs="Times New Roman"/>
          <w:sz w:val="24"/>
          <w:szCs w:val="24"/>
        </w:rPr>
        <w:t> </w:t>
      </w:r>
      <w:r w:rsidRPr="00127E19">
        <w:rPr>
          <w:rFonts w:ascii="Times New Roman" w:hAnsi="Times New Roman" w:cs="Times New Roman"/>
          <w:b/>
          <w:bCs/>
          <w:sz w:val="24"/>
          <w:szCs w:val="24"/>
        </w:rPr>
        <w:t>(</w:t>
      </w:r>
      <w:proofErr w:type="spellStart"/>
      <w:r w:rsidRPr="00127E19">
        <w:rPr>
          <w:rFonts w:ascii="Times New Roman" w:hAnsi="Times New Roman" w:cs="Times New Roman"/>
          <w:sz w:val="24"/>
          <w:szCs w:val="24"/>
        </w:rPr>
        <w:t>Pham</w:t>
      </w:r>
      <w:proofErr w:type="spellEnd"/>
      <w:r w:rsidRPr="00127E19">
        <w:rPr>
          <w:rFonts w:ascii="Times New Roman" w:hAnsi="Times New Roman" w:cs="Times New Roman"/>
          <w:sz w:val="24"/>
          <w:szCs w:val="24"/>
        </w:rPr>
        <w:t xml:space="preserve"> </w:t>
      </w:r>
      <w:r w:rsidRPr="00127E19">
        <w:rPr>
          <w:rFonts w:ascii="Times New Roman" w:hAnsi="Times New Roman" w:cs="Times New Roman"/>
          <w:i/>
          <w:iCs/>
          <w:sz w:val="24"/>
          <w:szCs w:val="24"/>
        </w:rPr>
        <w:t xml:space="preserve">et al., </w:t>
      </w:r>
      <w:r w:rsidRPr="00127E19">
        <w:rPr>
          <w:rFonts w:ascii="Times New Roman" w:hAnsi="Times New Roman" w:cs="Times New Roman"/>
          <w:sz w:val="24"/>
          <w:szCs w:val="24"/>
        </w:rPr>
        <w:t>2021)</w:t>
      </w:r>
      <w:r w:rsidRPr="00127E19">
        <w:rPr>
          <w:rFonts w:ascii="Times New Roman" w:hAnsi="Times New Roman" w:cs="Times New Roman"/>
          <w:color w:val="000000"/>
          <w:sz w:val="24"/>
          <w:szCs w:val="24"/>
        </w:rPr>
        <w:t>. O programa estende a governança de forma orgânica, garantindo que as diretrizes sejam aplicadas no contexto de cada equipe.</w:t>
      </w:r>
    </w:p>
    <w:p w14:paraId="5C0FFDF2" w14:textId="77777777" w:rsidR="006636C9" w:rsidRPr="00127E19" w:rsidRDefault="006636C9" w:rsidP="006636C9">
      <w:pPr>
        <w:pStyle w:val="PargrafodaLista"/>
        <w:spacing w:before="100" w:beforeAutospacing="1" w:after="100" w:afterAutospacing="1" w:line="360" w:lineRule="auto"/>
        <w:ind w:left="567"/>
        <w:jc w:val="both"/>
        <w:rPr>
          <w:rFonts w:ascii="Times New Roman" w:hAnsi="Times New Roman" w:cs="Times New Roman"/>
          <w:color w:val="000000"/>
          <w:sz w:val="24"/>
          <w:szCs w:val="24"/>
        </w:rPr>
      </w:pPr>
    </w:p>
    <w:p w14:paraId="6C8E09F9" w14:textId="77777777" w:rsidR="006636C9" w:rsidRPr="00127E19" w:rsidRDefault="006636C9" w:rsidP="006636C9">
      <w:pPr>
        <w:pStyle w:val="PargrafodaLista"/>
        <w:numPr>
          <w:ilvl w:val="0"/>
          <w:numId w:val="11"/>
        </w:numPr>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Conexão com os Frameworks:</w:t>
      </w:r>
    </w:p>
    <w:p w14:paraId="2021863A" w14:textId="77777777" w:rsidR="006636C9" w:rsidRPr="00127E19" w:rsidRDefault="006636C9" w:rsidP="006636C9">
      <w:pPr>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ab/>
        <w:t xml:space="preserve">O Quadro 3 apresenta a conexão entre a Diretriz 2 proposta e os frameworks analisados na literatura. </w:t>
      </w:r>
    </w:p>
    <w:p w14:paraId="412720C8" w14:textId="77777777" w:rsidR="006636C9" w:rsidRPr="006636C9" w:rsidRDefault="006636C9" w:rsidP="006636C9">
      <w:pPr>
        <w:jc w:val="both"/>
        <w:rPr>
          <w:rFonts w:ascii="Times New Roman" w:hAnsi="Times New Roman" w:cs="Times New Roman"/>
          <w:color w:val="000000"/>
        </w:rPr>
      </w:pPr>
    </w:p>
    <w:p w14:paraId="15217DF6" w14:textId="77777777" w:rsidR="006636C9" w:rsidRPr="006636C9" w:rsidRDefault="006636C9" w:rsidP="006636C9">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Quadro 3 – Diretriz 2 x frameworks</w:t>
      </w:r>
    </w:p>
    <w:tbl>
      <w:tblPr>
        <w:tblStyle w:val="Tabelacomgrade"/>
        <w:tblW w:w="0" w:type="auto"/>
        <w:tblLook w:val="04A0" w:firstRow="1" w:lastRow="0" w:firstColumn="1" w:lastColumn="0" w:noHBand="0" w:noVBand="1"/>
      </w:tblPr>
      <w:tblGrid>
        <w:gridCol w:w="2263"/>
        <w:gridCol w:w="6231"/>
      </w:tblGrid>
      <w:tr w:rsidR="006636C9" w:rsidRPr="006636C9" w14:paraId="2C909F1B" w14:textId="77777777" w:rsidTr="00127E19">
        <w:trPr>
          <w:trHeight w:val="574"/>
        </w:trPr>
        <w:tc>
          <w:tcPr>
            <w:tcW w:w="2263" w:type="dxa"/>
            <w:vAlign w:val="center"/>
          </w:tcPr>
          <w:p w14:paraId="40EA1006" w14:textId="77777777" w:rsidR="006636C9" w:rsidRPr="006636C9" w:rsidRDefault="006636C9" w:rsidP="00127E19">
            <w:pPr>
              <w:spacing w:before="100" w:beforeAutospacing="1" w:after="100" w:afterAutospacing="1" w:line="360" w:lineRule="auto"/>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Frameworks</w:t>
            </w:r>
          </w:p>
        </w:tc>
        <w:tc>
          <w:tcPr>
            <w:tcW w:w="6231" w:type="dxa"/>
          </w:tcPr>
          <w:p w14:paraId="6E757EDC" w14:textId="3ED3771C"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 xml:space="preserve">Conexão com a Diretriz 2: </w:t>
            </w:r>
            <w:r w:rsidR="00127E19">
              <w:rPr>
                <w:rFonts w:ascii="Times New Roman" w:hAnsi="Times New Roman" w:cs="Times New Roman"/>
                <w:color w:val="000000"/>
                <w:sz w:val="20"/>
                <w:szCs w:val="20"/>
              </w:rPr>
              <w:t>E</w:t>
            </w:r>
            <w:r w:rsidRPr="006636C9">
              <w:rPr>
                <w:rFonts w:ascii="Times New Roman" w:hAnsi="Times New Roman" w:cs="Times New Roman"/>
                <w:color w:val="000000"/>
                <w:sz w:val="20"/>
                <w:szCs w:val="20"/>
              </w:rPr>
              <w:t>struturar uma governança integrada e multidisciplinar</w:t>
            </w:r>
          </w:p>
        </w:tc>
      </w:tr>
      <w:tr w:rsidR="006636C9" w:rsidRPr="006636C9" w14:paraId="16C6A82C" w14:textId="77777777" w:rsidTr="00127E19">
        <w:trPr>
          <w:trHeight w:val="936"/>
        </w:trPr>
        <w:tc>
          <w:tcPr>
            <w:tcW w:w="2263" w:type="dxa"/>
            <w:vAlign w:val="center"/>
          </w:tcPr>
          <w:p w14:paraId="433498EA"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ISO 27001</w:t>
            </w:r>
          </w:p>
        </w:tc>
        <w:tc>
          <w:tcPr>
            <w:tcW w:w="6231" w:type="dxa"/>
          </w:tcPr>
          <w:p w14:paraId="53DB1522"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atende aos requisitos da Cláusula 5 (Liderança), que exige o comprometimento da alta direção e a definição clara de papéis e responsabilidades para a segurança da informação.</w:t>
            </w:r>
          </w:p>
        </w:tc>
      </w:tr>
      <w:tr w:rsidR="006636C9" w:rsidRPr="006636C9" w14:paraId="23E71C55" w14:textId="77777777" w:rsidTr="00127E19">
        <w:trPr>
          <w:trHeight w:val="1101"/>
        </w:trPr>
        <w:tc>
          <w:tcPr>
            <w:tcW w:w="2263" w:type="dxa"/>
            <w:vAlign w:val="center"/>
          </w:tcPr>
          <w:p w14:paraId="5E2E6C43"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NIST CSF</w:t>
            </w:r>
          </w:p>
        </w:tc>
        <w:tc>
          <w:tcPr>
            <w:tcW w:w="6231" w:type="dxa"/>
          </w:tcPr>
          <w:p w14:paraId="35FC1CBC"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suporta a função "Governar" (GV), que enfatiza a importância de estabelecer e comunicar as prioridades da organização em relação à gestão de riscos de Cibersegurança, alinhando as estratégias de segurança com as metas organizacionais.</w:t>
            </w:r>
          </w:p>
        </w:tc>
      </w:tr>
      <w:tr w:rsidR="006636C9" w:rsidRPr="006636C9" w14:paraId="5FF66347" w14:textId="77777777" w:rsidTr="00127E19">
        <w:trPr>
          <w:trHeight w:val="1016"/>
        </w:trPr>
        <w:tc>
          <w:tcPr>
            <w:tcW w:w="2263" w:type="dxa"/>
            <w:vAlign w:val="center"/>
          </w:tcPr>
          <w:p w14:paraId="7436C005" w14:textId="77777777" w:rsidR="006636C9" w:rsidRPr="006636C9" w:rsidRDefault="006636C9" w:rsidP="00127E19">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COBIT 2019</w:t>
            </w:r>
          </w:p>
        </w:tc>
        <w:tc>
          <w:tcPr>
            <w:tcW w:w="6231" w:type="dxa"/>
          </w:tcPr>
          <w:p w14:paraId="7371632B"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se conecta com os princípios do COBIT, que distingue "Governança" (avaliar, dirigir, monitorar - papel do comitê/board) de "Gestão". Ela implementa o objetivo EDM01 (</w:t>
            </w:r>
            <w:proofErr w:type="spellStart"/>
            <w:r w:rsidRPr="006636C9">
              <w:rPr>
                <w:rFonts w:ascii="Times New Roman" w:hAnsi="Times New Roman" w:cs="Times New Roman"/>
                <w:i/>
                <w:iCs/>
                <w:color w:val="000000"/>
                <w:sz w:val="20"/>
                <w:szCs w:val="20"/>
              </w:rPr>
              <w:t>Ensured</w:t>
            </w:r>
            <w:proofErr w:type="spellEnd"/>
            <w:r w:rsidRPr="006636C9">
              <w:rPr>
                <w:rFonts w:ascii="Times New Roman" w:hAnsi="Times New Roman" w:cs="Times New Roman"/>
                <w:i/>
                <w:iCs/>
                <w:color w:val="000000"/>
                <w:sz w:val="20"/>
                <w:szCs w:val="20"/>
              </w:rPr>
              <w:t xml:space="preserve"> Governance Framework Setting </w:t>
            </w:r>
            <w:proofErr w:type="spellStart"/>
            <w:r w:rsidRPr="006636C9">
              <w:rPr>
                <w:rFonts w:ascii="Times New Roman" w:hAnsi="Times New Roman" w:cs="Times New Roman"/>
                <w:i/>
                <w:iCs/>
                <w:color w:val="000000"/>
                <w:sz w:val="20"/>
                <w:szCs w:val="20"/>
              </w:rPr>
              <w:t>and</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Maintenance</w:t>
            </w:r>
            <w:proofErr w:type="spellEnd"/>
            <w:r w:rsidRPr="006636C9">
              <w:rPr>
                <w:rFonts w:ascii="Times New Roman" w:hAnsi="Times New Roman" w:cs="Times New Roman"/>
                <w:color w:val="000000"/>
                <w:sz w:val="20"/>
                <w:szCs w:val="20"/>
              </w:rPr>
              <w:t>).</w:t>
            </w:r>
          </w:p>
        </w:tc>
      </w:tr>
    </w:tbl>
    <w:p w14:paraId="0A4B81F9" w14:textId="4E847103" w:rsidR="006636C9" w:rsidRPr="006636C9" w:rsidRDefault="006636C9" w:rsidP="00127E19">
      <w:pPr>
        <w:ind w:left="2880" w:firstLine="720"/>
        <w:rPr>
          <w:rFonts w:ascii="Times New Roman" w:hAnsi="Times New Roman" w:cs="Times New Roman"/>
          <w:color w:val="000000"/>
          <w:sz w:val="20"/>
          <w:szCs w:val="20"/>
        </w:rPr>
      </w:pPr>
      <w:r w:rsidRPr="006636C9">
        <w:rPr>
          <w:rFonts w:ascii="Times New Roman" w:hAnsi="Times New Roman" w:cs="Times New Roman"/>
          <w:color w:val="000000"/>
          <w:sz w:val="20"/>
          <w:szCs w:val="20"/>
        </w:rPr>
        <w:t>Fonte: Autores</w:t>
      </w:r>
    </w:p>
    <w:p w14:paraId="0DC5E582" w14:textId="77777777" w:rsidR="006636C9" w:rsidRPr="006636C9" w:rsidRDefault="006636C9" w:rsidP="006636C9">
      <w:pPr>
        <w:pStyle w:val="PargrafodaLista"/>
        <w:spacing w:before="100" w:beforeAutospacing="1" w:after="100" w:afterAutospacing="1" w:line="360" w:lineRule="auto"/>
        <w:ind w:left="709"/>
        <w:jc w:val="both"/>
        <w:rPr>
          <w:rFonts w:ascii="Times New Roman" w:hAnsi="Times New Roman" w:cs="Times New Roman"/>
          <w:color w:val="000000"/>
        </w:rPr>
      </w:pPr>
    </w:p>
    <w:p w14:paraId="7C025A9B" w14:textId="77777777" w:rsidR="006636C9" w:rsidRPr="00127E19" w:rsidRDefault="006636C9" w:rsidP="006636C9">
      <w:pPr>
        <w:pStyle w:val="PargrafodaLista"/>
        <w:numPr>
          <w:ilvl w:val="0"/>
          <w:numId w:val="9"/>
        </w:numPr>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Diretriz 3: Adotar uma comunicação de segurança da informação contínua e contextualizada.</w:t>
      </w:r>
    </w:p>
    <w:p w14:paraId="015AD6DC" w14:textId="77777777" w:rsidR="006636C9" w:rsidRPr="00127E19" w:rsidRDefault="006636C9" w:rsidP="006636C9">
      <w:pPr>
        <w:spacing w:before="100" w:beforeAutospacing="1" w:after="100" w:afterAutospacing="1" w:line="360" w:lineRule="auto"/>
        <w:ind w:firstLine="709"/>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lastRenderedPageBreak/>
        <w:t xml:space="preserve">Substituir o modelo tradicional de treinamentos anuais (para organizações que ainda o fazem) por um programa de comunicação contínua, que seja relevante, oportuno e adaptado a diferentes públicos. O programa tem como objetivo deixar de promover apenas a conformidade regulatória, mas passa para conscientização e engajamento. Pessoas engajadas e conscientes tratam a segurança da informação e proteção de Cibersegurança não apenas como tema corporativo, mas acabam replicando este conhecimento em suas vidas e de seus pares. </w:t>
      </w:r>
      <w:r w:rsidRPr="00127E19">
        <w:rPr>
          <w:rStyle w:val="citation-53"/>
          <w:rFonts w:ascii="Times New Roman" w:eastAsiaTheme="majorEastAsia" w:hAnsi="Times New Roman" w:cs="Times New Roman"/>
          <w:color w:val="000000"/>
          <w:sz w:val="24"/>
          <w:szCs w:val="24"/>
        </w:rPr>
        <w:t>A diretriz de promover uma comunicação contínua expande os requisitos formais de treinamento e conscientização previstos no controle</w:t>
      </w:r>
      <w:r w:rsidRPr="00127E19">
        <w:rPr>
          <w:rStyle w:val="apple-converted-space"/>
          <w:rFonts w:ascii="Times New Roman" w:eastAsiaTheme="majorEastAsia" w:hAnsi="Times New Roman" w:cs="Times New Roman"/>
          <w:color w:val="000000"/>
          <w:sz w:val="24"/>
          <w:szCs w:val="24"/>
        </w:rPr>
        <w:t> </w:t>
      </w:r>
      <w:r w:rsidRPr="00127E19">
        <w:rPr>
          <w:rStyle w:val="citation-53"/>
          <w:rFonts w:ascii="Times New Roman" w:eastAsiaTheme="majorEastAsia" w:hAnsi="Times New Roman" w:cs="Times New Roman"/>
          <w:color w:val="000000"/>
          <w:sz w:val="24"/>
          <w:szCs w:val="24"/>
        </w:rPr>
        <w:t>A.6.3 da ISO 27001:2022</w:t>
      </w:r>
      <w:r w:rsidRPr="00127E19">
        <w:rPr>
          <w:rStyle w:val="apple-converted-space"/>
          <w:rFonts w:ascii="Times New Roman" w:eastAsiaTheme="majorEastAsia" w:hAnsi="Times New Roman" w:cs="Times New Roman"/>
          <w:color w:val="000000"/>
          <w:sz w:val="24"/>
          <w:szCs w:val="24"/>
        </w:rPr>
        <w:t> </w:t>
      </w:r>
      <w:r w:rsidRPr="00127E19">
        <w:rPr>
          <w:rStyle w:val="citation-53"/>
          <w:rFonts w:ascii="Times New Roman" w:eastAsiaTheme="majorEastAsia" w:hAnsi="Times New Roman" w:cs="Times New Roman"/>
          <w:color w:val="000000"/>
          <w:sz w:val="24"/>
          <w:szCs w:val="24"/>
        </w:rPr>
        <w:t>e na categoria</w:t>
      </w:r>
      <w:r w:rsidRPr="00127E19">
        <w:rPr>
          <w:rStyle w:val="apple-converted-space"/>
          <w:rFonts w:ascii="Times New Roman" w:eastAsiaTheme="majorEastAsia" w:hAnsi="Times New Roman" w:cs="Times New Roman"/>
          <w:color w:val="000000"/>
          <w:sz w:val="24"/>
          <w:szCs w:val="24"/>
        </w:rPr>
        <w:t> </w:t>
      </w:r>
      <w:r w:rsidRPr="00127E19">
        <w:rPr>
          <w:rStyle w:val="citation-53"/>
          <w:rFonts w:ascii="Times New Roman" w:eastAsiaTheme="majorEastAsia" w:hAnsi="Times New Roman" w:cs="Times New Roman"/>
          <w:color w:val="000000"/>
          <w:sz w:val="24"/>
          <w:szCs w:val="24"/>
        </w:rPr>
        <w:t>PR.AT-01 do NIST CSF, conforme analisado por Carvalho (2025)</w:t>
      </w:r>
      <w:r w:rsidRPr="00127E19">
        <w:rPr>
          <w:rFonts w:ascii="Times New Roman" w:hAnsi="Times New Roman" w:cs="Times New Roman"/>
          <w:color w:val="000000"/>
          <w:sz w:val="24"/>
          <w:szCs w:val="24"/>
        </w:rPr>
        <w:t>. A abordagem proposta busca tornar essa comunicação mais orgânica e eficaz, um complemento necessário aos controles normativos</w:t>
      </w:r>
    </w:p>
    <w:p w14:paraId="14F174A4" w14:textId="77777777" w:rsidR="006636C9" w:rsidRPr="00127E19" w:rsidRDefault="006636C9" w:rsidP="006636C9">
      <w:pPr>
        <w:pStyle w:val="PargrafodaLista"/>
        <w:numPr>
          <w:ilvl w:val="1"/>
          <w:numId w:val="5"/>
        </w:numPr>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Recomendação de implementação:</w:t>
      </w:r>
    </w:p>
    <w:p w14:paraId="0E146C55" w14:textId="77777777" w:rsidR="006636C9" w:rsidRPr="00127E19" w:rsidRDefault="006636C9" w:rsidP="006636C9">
      <w:pPr>
        <w:numPr>
          <w:ilvl w:val="0"/>
          <w:numId w:val="6"/>
        </w:numPr>
        <w:tabs>
          <w:tab w:val="clear" w:pos="72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127E19">
        <w:rPr>
          <w:rStyle w:val="Forte"/>
          <w:rFonts w:ascii="Times New Roman" w:eastAsiaTheme="majorEastAsia" w:hAnsi="Times New Roman" w:cs="Times New Roman"/>
          <w:b w:val="0"/>
          <w:bCs w:val="0"/>
          <w:color w:val="000000"/>
          <w:sz w:val="24"/>
          <w:szCs w:val="24"/>
        </w:rPr>
        <w:t>Utilização de múltiplos canais de comunicação.</w:t>
      </w:r>
      <w:r w:rsidRPr="00127E19">
        <w:rPr>
          <w:rFonts w:ascii="Times New Roman" w:hAnsi="Times New Roman" w:cs="Times New Roman"/>
          <w:color w:val="000000"/>
          <w:sz w:val="24"/>
          <w:szCs w:val="24"/>
        </w:rPr>
        <w:t xml:space="preserve"> Ir além dos e-mails formais e usar canais de chat para alertas e vídeos curtos para dicas rápidas. Essa abordagem multimídia atende aos requisitos de conscientização da</w:t>
      </w:r>
      <w:r w:rsidRPr="00127E19">
        <w:rPr>
          <w:rStyle w:val="apple-converted-space"/>
          <w:rFonts w:ascii="Times New Roman" w:eastAsiaTheme="majorEastAsia" w:hAnsi="Times New Roman" w:cs="Times New Roman"/>
          <w:color w:val="000000"/>
          <w:sz w:val="24"/>
          <w:szCs w:val="24"/>
        </w:rPr>
        <w:t> </w:t>
      </w:r>
      <w:r w:rsidRPr="00127E19">
        <w:rPr>
          <w:rStyle w:val="Forte"/>
          <w:rFonts w:ascii="Times New Roman" w:eastAsiaTheme="majorEastAsia" w:hAnsi="Times New Roman" w:cs="Times New Roman"/>
          <w:b w:val="0"/>
          <w:bCs w:val="0"/>
          <w:color w:val="000000"/>
          <w:sz w:val="24"/>
          <w:szCs w:val="24"/>
        </w:rPr>
        <w:t>ISO 27001 (A.6.3)</w:t>
      </w:r>
      <w:r w:rsidRPr="00127E19">
        <w:rPr>
          <w:rStyle w:val="apple-converted-space"/>
          <w:rFonts w:ascii="Times New Roman" w:eastAsiaTheme="majorEastAsia" w:hAnsi="Times New Roman" w:cs="Times New Roman"/>
          <w:b/>
          <w:bCs/>
          <w:color w:val="000000"/>
          <w:sz w:val="24"/>
          <w:szCs w:val="24"/>
        </w:rPr>
        <w:t> </w:t>
      </w:r>
      <w:r w:rsidRPr="00127E19">
        <w:rPr>
          <w:rFonts w:ascii="Times New Roman" w:hAnsi="Times New Roman" w:cs="Times New Roman"/>
          <w:color w:val="000000"/>
          <w:sz w:val="24"/>
          <w:szCs w:val="24"/>
        </w:rPr>
        <w:t>e do</w:t>
      </w:r>
      <w:r w:rsidRPr="00127E19">
        <w:rPr>
          <w:rStyle w:val="apple-converted-space"/>
          <w:rFonts w:ascii="Times New Roman" w:eastAsiaTheme="majorEastAsia" w:hAnsi="Times New Roman" w:cs="Times New Roman"/>
          <w:b/>
          <w:bCs/>
          <w:color w:val="000000"/>
          <w:sz w:val="24"/>
          <w:szCs w:val="24"/>
        </w:rPr>
        <w:t> </w:t>
      </w:r>
      <w:r w:rsidRPr="00127E19">
        <w:rPr>
          <w:rStyle w:val="Forte"/>
          <w:rFonts w:ascii="Times New Roman" w:eastAsiaTheme="majorEastAsia" w:hAnsi="Times New Roman" w:cs="Times New Roman"/>
          <w:b w:val="0"/>
          <w:bCs w:val="0"/>
          <w:color w:val="000000"/>
          <w:sz w:val="24"/>
          <w:szCs w:val="24"/>
        </w:rPr>
        <w:t>NIST CSF (PR.AT)</w:t>
      </w:r>
      <w:r w:rsidRPr="00127E19">
        <w:rPr>
          <w:rFonts w:ascii="Times New Roman" w:hAnsi="Times New Roman" w:cs="Times New Roman"/>
          <w:b/>
          <w:bCs/>
          <w:color w:val="000000"/>
          <w:sz w:val="24"/>
          <w:szCs w:val="24"/>
        </w:rPr>
        <w:t>,</w:t>
      </w:r>
      <w:r w:rsidRPr="00127E19">
        <w:rPr>
          <w:rFonts w:ascii="Times New Roman" w:hAnsi="Times New Roman" w:cs="Times New Roman"/>
          <w:color w:val="000000"/>
          <w:sz w:val="24"/>
          <w:szCs w:val="24"/>
        </w:rPr>
        <w:t xml:space="preserve"> mas de uma forma que combate a ineficácia dos métodos tradicionais de comunicação, um problema documentado por</w:t>
      </w:r>
      <w:r w:rsidRPr="00127E19">
        <w:rPr>
          <w:rStyle w:val="apple-converted-space"/>
          <w:rFonts w:ascii="Times New Roman" w:eastAsiaTheme="majorEastAsia" w:hAnsi="Times New Roman" w:cs="Times New Roman"/>
          <w:color w:val="000000"/>
          <w:sz w:val="24"/>
          <w:szCs w:val="24"/>
        </w:rPr>
        <w:t> </w:t>
      </w:r>
      <w:proofErr w:type="spellStart"/>
      <w:r w:rsidRPr="00127E19">
        <w:rPr>
          <w:rStyle w:val="Forte"/>
          <w:rFonts w:ascii="Times New Roman" w:eastAsiaTheme="majorEastAsia" w:hAnsi="Times New Roman" w:cs="Times New Roman"/>
          <w:b w:val="0"/>
          <w:bCs w:val="0"/>
          <w:color w:val="000000"/>
          <w:sz w:val="24"/>
          <w:szCs w:val="24"/>
        </w:rPr>
        <w:t>Pham</w:t>
      </w:r>
      <w:proofErr w:type="spellEnd"/>
      <w:r w:rsidRPr="00127E19">
        <w:rPr>
          <w:rStyle w:val="Forte"/>
          <w:rFonts w:ascii="Times New Roman" w:eastAsiaTheme="majorEastAsia" w:hAnsi="Times New Roman" w:cs="Times New Roman"/>
          <w:b w:val="0"/>
          <w:bCs w:val="0"/>
          <w:color w:val="000000"/>
          <w:sz w:val="24"/>
          <w:szCs w:val="24"/>
        </w:rPr>
        <w:t xml:space="preserve"> et al. (2021)</w:t>
      </w:r>
      <w:r w:rsidRPr="00127E19">
        <w:rPr>
          <w:rFonts w:ascii="Times New Roman" w:hAnsi="Times New Roman" w:cs="Times New Roman"/>
          <w:b/>
          <w:bCs/>
          <w:color w:val="000000"/>
          <w:sz w:val="24"/>
          <w:szCs w:val="24"/>
        </w:rPr>
        <w:t>.</w:t>
      </w:r>
    </w:p>
    <w:p w14:paraId="408CB310" w14:textId="77777777" w:rsidR="006636C9" w:rsidRPr="00127E19" w:rsidRDefault="006636C9" w:rsidP="006636C9">
      <w:pPr>
        <w:numPr>
          <w:ilvl w:val="0"/>
          <w:numId w:val="6"/>
        </w:numPr>
        <w:tabs>
          <w:tab w:val="clear" w:pos="720"/>
        </w:tabs>
        <w:spacing w:before="100" w:beforeAutospacing="1" w:after="100" w:afterAutospacing="1" w:line="360" w:lineRule="auto"/>
        <w:ind w:left="0" w:firstLine="567"/>
        <w:jc w:val="both"/>
        <w:rPr>
          <w:rFonts w:ascii="Times New Roman" w:hAnsi="Times New Roman" w:cs="Times New Roman"/>
          <w:color w:val="000000"/>
          <w:sz w:val="24"/>
          <w:szCs w:val="24"/>
        </w:rPr>
      </w:pPr>
      <w:r w:rsidRPr="00127E19">
        <w:rPr>
          <w:rStyle w:val="Forte"/>
          <w:rFonts w:ascii="Times New Roman" w:eastAsiaTheme="majorEastAsia" w:hAnsi="Times New Roman" w:cs="Times New Roman"/>
          <w:b w:val="0"/>
          <w:bCs w:val="0"/>
          <w:color w:val="000000"/>
          <w:sz w:val="24"/>
          <w:szCs w:val="24"/>
        </w:rPr>
        <w:t>Gamificação do treinamento.</w:t>
      </w:r>
      <w:r w:rsidRPr="00127E19">
        <w:rPr>
          <w:rStyle w:val="apple-converted-space"/>
          <w:rFonts w:ascii="Times New Roman" w:eastAsiaTheme="majorEastAsia" w:hAnsi="Times New Roman" w:cs="Times New Roman"/>
          <w:color w:val="000000"/>
          <w:sz w:val="24"/>
          <w:szCs w:val="24"/>
        </w:rPr>
        <w:t> </w:t>
      </w:r>
      <w:r w:rsidRPr="00127E19">
        <w:rPr>
          <w:rFonts w:ascii="Times New Roman" w:hAnsi="Times New Roman" w:cs="Times New Roman"/>
          <w:color w:val="000000"/>
          <w:sz w:val="24"/>
          <w:szCs w:val="24"/>
        </w:rPr>
        <w:t xml:space="preserve">Implementar </w:t>
      </w:r>
      <w:proofErr w:type="spellStart"/>
      <w:r w:rsidRPr="00127E19">
        <w:rPr>
          <w:rFonts w:ascii="Times New Roman" w:hAnsi="Times New Roman" w:cs="Times New Roman"/>
          <w:i/>
          <w:iCs/>
          <w:color w:val="000000"/>
          <w:sz w:val="24"/>
          <w:szCs w:val="24"/>
        </w:rPr>
        <w:t>quizzes</w:t>
      </w:r>
      <w:proofErr w:type="spellEnd"/>
      <w:r w:rsidRPr="00127E19">
        <w:rPr>
          <w:rFonts w:ascii="Times New Roman" w:hAnsi="Times New Roman" w:cs="Times New Roman"/>
          <w:i/>
          <w:iCs/>
          <w:color w:val="000000"/>
          <w:sz w:val="24"/>
          <w:szCs w:val="24"/>
        </w:rPr>
        <w:t xml:space="preserve"> </w:t>
      </w:r>
      <w:r w:rsidRPr="00127E19">
        <w:rPr>
          <w:rFonts w:ascii="Times New Roman" w:hAnsi="Times New Roman" w:cs="Times New Roman"/>
          <w:color w:val="000000"/>
          <w:sz w:val="24"/>
          <w:szCs w:val="24"/>
        </w:rPr>
        <w:t xml:space="preserve">(questionários) e simulações de </w:t>
      </w:r>
      <w:proofErr w:type="spellStart"/>
      <w:r w:rsidRPr="00127E19">
        <w:rPr>
          <w:rFonts w:ascii="Times New Roman" w:hAnsi="Times New Roman" w:cs="Times New Roman"/>
          <w:i/>
          <w:iCs/>
          <w:color w:val="000000"/>
          <w:sz w:val="24"/>
          <w:szCs w:val="24"/>
        </w:rPr>
        <w:t>phishing</w:t>
      </w:r>
      <w:proofErr w:type="spellEnd"/>
      <w:r w:rsidRPr="00127E19">
        <w:rPr>
          <w:rFonts w:ascii="Times New Roman" w:hAnsi="Times New Roman" w:cs="Times New Roman"/>
          <w:i/>
          <w:iCs/>
          <w:color w:val="000000"/>
          <w:sz w:val="24"/>
          <w:szCs w:val="24"/>
        </w:rPr>
        <w:t xml:space="preserve"> </w:t>
      </w:r>
      <w:r w:rsidRPr="00127E19">
        <w:rPr>
          <w:rFonts w:ascii="Times New Roman" w:hAnsi="Times New Roman" w:cs="Times New Roman"/>
          <w:color w:val="000000"/>
          <w:sz w:val="24"/>
          <w:szCs w:val="24"/>
        </w:rPr>
        <w:t>(prática fraudulenta) com feedback imediato. Essa técnica torna o treinamento de conscientização, exigido pelos frameworks</w:t>
      </w:r>
      <w:r w:rsidRPr="00127E19">
        <w:rPr>
          <w:rStyle w:val="apple-converted-space"/>
          <w:rFonts w:ascii="Times New Roman" w:eastAsiaTheme="majorEastAsia" w:hAnsi="Times New Roman" w:cs="Times New Roman"/>
          <w:color w:val="000000"/>
          <w:sz w:val="24"/>
          <w:szCs w:val="24"/>
        </w:rPr>
        <w:t> </w:t>
      </w:r>
      <w:r w:rsidRPr="00127E19">
        <w:rPr>
          <w:rStyle w:val="Forte"/>
          <w:rFonts w:ascii="Times New Roman" w:eastAsiaTheme="majorEastAsia" w:hAnsi="Times New Roman" w:cs="Times New Roman"/>
          <w:b w:val="0"/>
          <w:bCs w:val="0"/>
          <w:color w:val="000000"/>
          <w:sz w:val="24"/>
          <w:szCs w:val="24"/>
        </w:rPr>
        <w:t>ISO</w:t>
      </w:r>
      <w:r w:rsidRPr="00127E19">
        <w:rPr>
          <w:rStyle w:val="apple-converted-space"/>
          <w:rFonts w:ascii="Times New Roman" w:eastAsiaTheme="majorEastAsia" w:hAnsi="Times New Roman" w:cs="Times New Roman"/>
          <w:b/>
          <w:bCs/>
          <w:color w:val="000000"/>
          <w:sz w:val="24"/>
          <w:szCs w:val="24"/>
        </w:rPr>
        <w:t> </w:t>
      </w:r>
      <w:r w:rsidRPr="00127E19">
        <w:rPr>
          <w:rFonts w:ascii="Times New Roman" w:hAnsi="Times New Roman" w:cs="Times New Roman"/>
          <w:color w:val="000000"/>
          <w:sz w:val="24"/>
          <w:szCs w:val="24"/>
        </w:rPr>
        <w:t>e</w:t>
      </w:r>
      <w:r w:rsidRPr="00127E19">
        <w:rPr>
          <w:rStyle w:val="apple-converted-space"/>
          <w:rFonts w:ascii="Times New Roman" w:eastAsiaTheme="majorEastAsia" w:hAnsi="Times New Roman" w:cs="Times New Roman"/>
          <w:b/>
          <w:bCs/>
          <w:color w:val="000000"/>
          <w:sz w:val="24"/>
          <w:szCs w:val="24"/>
        </w:rPr>
        <w:t> </w:t>
      </w:r>
      <w:r w:rsidRPr="00127E19">
        <w:rPr>
          <w:rStyle w:val="Forte"/>
          <w:rFonts w:ascii="Times New Roman" w:eastAsiaTheme="majorEastAsia" w:hAnsi="Times New Roman" w:cs="Times New Roman"/>
          <w:b w:val="0"/>
          <w:bCs w:val="0"/>
          <w:color w:val="000000"/>
          <w:sz w:val="24"/>
          <w:szCs w:val="24"/>
        </w:rPr>
        <w:t>NIST</w:t>
      </w:r>
      <w:r w:rsidRPr="00127E19">
        <w:rPr>
          <w:rFonts w:ascii="Times New Roman" w:hAnsi="Times New Roman" w:cs="Times New Roman"/>
          <w:b/>
          <w:bCs/>
          <w:color w:val="000000"/>
          <w:sz w:val="24"/>
          <w:szCs w:val="24"/>
        </w:rPr>
        <w:t>,</w:t>
      </w:r>
      <w:r w:rsidRPr="00127E19">
        <w:rPr>
          <w:rFonts w:ascii="Times New Roman" w:hAnsi="Times New Roman" w:cs="Times New Roman"/>
          <w:color w:val="000000"/>
          <w:sz w:val="24"/>
          <w:szCs w:val="24"/>
        </w:rPr>
        <w:t xml:space="preserve"> mais engajador e prático, aumentando a retenção do conhecimento e a capacidade de resposta dos colaboradores.</w:t>
      </w:r>
    </w:p>
    <w:p w14:paraId="70BE3527" w14:textId="77777777" w:rsidR="006636C9" w:rsidRPr="00E07FE3" w:rsidRDefault="006636C9" w:rsidP="006636C9">
      <w:pPr>
        <w:numPr>
          <w:ilvl w:val="0"/>
          <w:numId w:val="6"/>
        </w:numPr>
        <w:tabs>
          <w:tab w:val="clear" w:pos="720"/>
        </w:tabs>
        <w:spacing w:before="100" w:beforeAutospacing="1" w:after="100" w:afterAutospacing="1" w:line="360" w:lineRule="auto"/>
        <w:ind w:left="0" w:firstLine="567"/>
        <w:jc w:val="both"/>
        <w:rPr>
          <w:rStyle w:val="Forte"/>
          <w:rFonts w:ascii="Times New Roman" w:eastAsiaTheme="majorEastAsia" w:hAnsi="Times New Roman" w:cs="Times New Roman"/>
          <w:b w:val="0"/>
          <w:bCs w:val="0"/>
          <w:sz w:val="24"/>
          <w:szCs w:val="24"/>
        </w:rPr>
      </w:pPr>
      <w:r w:rsidRPr="00E07FE3">
        <w:rPr>
          <w:rStyle w:val="Forte"/>
          <w:rFonts w:ascii="Times New Roman" w:eastAsiaTheme="majorEastAsia" w:hAnsi="Times New Roman" w:cs="Times New Roman"/>
          <w:b w:val="0"/>
          <w:bCs w:val="0"/>
          <w:sz w:val="24"/>
          <w:szCs w:val="24"/>
        </w:rPr>
        <w:t xml:space="preserve">Capacitar os “Security </w:t>
      </w:r>
      <w:proofErr w:type="spellStart"/>
      <w:r w:rsidRPr="00E07FE3">
        <w:rPr>
          <w:rStyle w:val="Forte"/>
          <w:rFonts w:ascii="Times New Roman" w:eastAsiaTheme="majorEastAsia" w:hAnsi="Times New Roman" w:cs="Times New Roman"/>
          <w:b w:val="0"/>
          <w:bCs w:val="0"/>
          <w:sz w:val="24"/>
          <w:szCs w:val="24"/>
        </w:rPr>
        <w:t>Champions</w:t>
      </w:r>
      <w:proofErr w:type="spellEnd"/>
      <w:r w:rsidRPr="00E07FE3">
        <w:rPr>
          <w:rStyle w:val="Forte"/>
          <w:rFonts w:ascii="Times New Roman" w:eastAsiaTheme="majorEastAsia" w:hAnsi="Times New Roman" w:cs="Times New Roman"/>
          <w:b w:val="0"/>
          <w:bCs w:val="0"/>
          <w:sz w:val="24"/>
          <w:szCs w:val="24"/>
        </w:rPr>
        <w:t>” (campeões de segurança) para que traduzam as diretrizes globais para a realidade de suas equipes. Isso cria um canal de comunicação confiável e contextual, elementos que, segundo </w:t>
      </w:r>
      <w:proofErr w:type="spellStart"/>
      <w:r w:rsidRPr="00E07FE3">
        <w:rPr>
          <w:rStyle w:val="Forte"/>
          <w:rFonts w:ascii="Times New Roman" w:eastAsiaTheme="majorEastAsia" w:hAnsi="Times New Roman" w:cs="Times New Roman"/>
          <w:b w:val="0"/>
          <w:bCs w:val="0"/>
          <w:color w:val="000000"/>
          <w:sz w:val="24"/>
          <w:szCs w:val="24"/>
        </w:rPr>
        <w:t>Pham</w:t>
      </w:r>
      <w:proofErr w:type="spellEnd"/>
      <w:r w:rsidRPr="00E07FE3">
        <w:rPr>
          <w:rStyle w:val="Forte"/>
          <w:rFonts w:ascii="Times New Roman" w:eastAsiaTheme="majorEastAsia" w:hAnsi="Times New Roman" w:cs="Times New Roman"/>
          <w:b w:val="0"/>
          <w:bCs w:val="0"/>
          <w:color w:val="000000"/>
          <w:sz w:val="24"/>
          <w:szCs w:val="24"/>
        </w:rPr>
        <w:t xml:space="preserve"> et al. (2021)</w:t>
      </w:r>
      <w:r w:rsidRPr="00E07FE3">
        <w:rPr>
          <w:rStyle w:val="Forte"/>
          <w:rFonts w:ascii="Times New Roman" w:eastAsiaTheme="majorEastAsia" w:hAnsi="Times New Roman" w:cs="Times New Roman"/>
          <w:b w:val="0"/>
          <w:bCs w:val="0"/>
          <w:sz w:val="24"/>
          <w:szCs w:val="24"/>
        </w:rPr>
        <w:t>, são essenciais para um compartilhamento de conhecimento eficaz sobre segurança.</w:t>
      </w:r>
    </w:p>
    <w:p w14:paraId="4C0A1493" w14:textId="77777777" w:rsidR="006636C9" w:rsidRPr="00127E19" w:rsidRDefault="006636C9" w:rsidP="006636C9">
      <w:pPr>
        <w:pStyle w:val="PargrafodaLista"/>
        <w:numPr>
          <w:ilvl w:val="1"/>
          <w:numId w:val="5"/>
        </w:numPr>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Conexão com os Frameworks:</w:t>
      </w:r>
    </w:p>
    <w:p w14:paraId="39C42B89" w14:textId="77777777" w:rsidR="006636C9" w:rsidRDefault="006636C9" w:rsidP="006636C9">
      <w:pPr>
        <w:tabs>
          <w:tab w:val="num" w:pos="0"/>
        </w:tabs>
        <w:spacing w:before="100" w:beforeAutospacing="1" w:after="100" w:afterAutospacing="1" w:line="360" w:lineRule="auto"/>
        <w:jc w:val="both"/>
        <w:rPr>
          <w:rFonts w:ascii="Times New Roman" w:hAnsi="Times New Roman" w:cs="Times New Roman"/>
          <w:color w:val="000000"/>
          <w:sz w:val="24"/>
          <w:szCs w:val="24"/>
        </w:rPr>
      </w:pPr>
      <w:r w:rsidRPr="00127E19">
        <w:rPr>
          <w:rFonts w:ascii="Times New Roman" w:hAnsi="Times New Roman" w:cs="Times New Roman"/>
          <w:color w:val="000000"/>
          <w:sz w:val="24"/>
          <w:szCs w:val="24"/>
        </w:rPr>
        <w:tab/>
        <w:t>O Quadro 4 apresenta a conexão entre a Diretriz 3 proposta e os frameworks analisados na literatura.</w:t>
      </w:r>
    </w:p>
    <w:p w14:paraId="08BECCE7" w14:textId="77777777" w:rsidR="00E07FE3" w:rsidRDefault="00E07FE3" w:rsidP="006636C9">
      <w:pPr>
        <w:tabs>
          <w:tab w:val="num" w:pos="0"/>
        </w:tabs>
        <w:spacing w:before="100" w:beforeAutospacing="1" w:after="100" w:afterAutospacing="1" w:line="360" w:lineRule="auto"/>
        <w:jc w:val="both"/>
        <w:rPr>
          <w:rFonts w:ascii="Times New Roman" w:hAnsi="Times New Roman" w:cs="Times New Roman"/>
          <w:color w:val="000000"/>
          <w:sz w:val="24"/>
          <w:szCs w:val="24"/>
        </w:rPr>
      </w:pPr>
    </w:p>
    <w:p w14:paraId="716E99D5" w14:textId="77777777" w:rsidR="00E07FE3" w:rsidRPr="00127E19" w:rsidRDefault="00E07FE3" w:rsidP="006636C9">
      <w:pPr>
        <w:tabs>
          <w:tab w:val="num" w:pos="0"/>
        </w:tabs>
        <w:spacing w:before="100" w:beforeAutospacing="1" w:after="100" w:afterAutospacing="1" w:line="360" w:lineRule="auto"/>
        <w:jc w:val="both"/>
        <w:rPr>
          <w:rFonts w:ascii="Times New Roman" w:hAnsi="Times New Roman" w:cs="Times New Roman"/>
          <w:color w:val="000000"/>
          <w:sz w:val="24"/>
          <w:szCs w:val="24"/>
        </w:rPr>
      </w:pPr>
    </w:p>
    <w:p w14:paraId="35C70255" w14:textId="77777777" w:rsidR="006636C9" w:rsidRPr="006636C9" w:rsidRDefault="006636C9" w:rsidP="006636C9">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lastRenderedPageBreak/>
        <w:t>Quadro 4 – Diretriz 3 x frameworks</w:t>
      </w:r>
    </w:p>
    <w:tbl>
      <w:tblPr>
        <w:tblStyle w:val="Tabelacomgrade"/>
        <w:tblW w:w="9067" w:type="dxa"/>
        <w:tblLook w:val="04A0" w:firstRow="1" w:lastRow="0" w:firstColumn="1" w:lastColumn="0" w:noHBand="0" w:noVBand="1"/>
      </w:tblPr>
      <w:tblGrid>
        <w:gridCol w:w="2263"/>
        <w:gridCol w:w="6804"/>
      </w:tblGrid>
      <w:tr w:rsidR="006636C9" w:rsidRPr="006636C9" w14:paraId="77F9534F" w14:textId="77777777" w:rsidTr="00E07FE3">
        <w:trPr>
          <w:trHeight w:val="575"/>
        </w:trPr>
        <w:tc>
          <w:tcPr>
            <w:tcW w:w="2263" w:type="dxa"/>
            <w:vAlign w:val="center"/>
          </w:tcPr>
          <w:p w14:paraId="2EB14F5F" w14:textId="77777777" w:rsidR="006636C9" w:rsidRPr="006636C9" w:rsidRDefault="006636C9" w:rsidP="00E07FE3">
            <w:pPr>
              <w:spacing w:before="100" w:beforeAutospacing="1" w:after="100" w:afterAutospacing="1" w:line="360" w:lineRule="auto"/>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Frameworks</w:t>
            </w:r>
          </w:p>
        </w:tc>
        <w:tc>
          <w:tcPr>
            <w:tcW w:w="6804" w:type="dxa"/>
          </w:tcPr>
          <w:p w14:paraId="633EB6D7" w14:textId="34FEE9BF"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 xml:space="preserve">Conexão com a diretriz 3: </w:t>
            </w:r>
            <w:r w:rsidR="00E07FE3">
              <w:rPr>
                <w:rFonts w:ascii="Times New Roman" w:hAnsi="Times New Roman" w:cs="Times New Roman"/>
                <w:color w:val="000000"/>
                <w:sz w:val="20"/>
                <w:szCs w:val="20"/>
              </w:rPr>
              <w:t>A</w:t>
            </w:r>
            <w:r w:rsidRPr="006636C9">
              <w:rPr>
                <w:rFonts w:ascii="Times New Roman" w:hAnsi="Times New Roman" w:cs="Times New Roman"/>
                <w:color w:val="000000"/>
                <w:sz w:val="20"/>
                <w:szCs w:val="20"/>
              </w:rPr>
              <w:t>dotar uma comunicação de segurança da informação contínua e contextualizada.</w:t>
            </w:r>
          </w:p>
        </w:tc>
      </w:tr>
      <w:tr w:rsidR="006636C9" w:rsidRPr="006636C9" w14:paraId="4CAA1B08" w14:textId="77777777" w:rsidTr="00E07FE3">
        <w:trPr>
          <w:trHeight w:val="839"/>
        </w:trPr>
        <w:tc>
          <w:tcPr>
            <w:tcW w:w="2263" w:type="dxa"/>
            <w:vAlign w:val="center"/>
          </w:tcPr>
          <w:p w14:paraId="32FDEB8C"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ISO 27001</w:t>
            </w:r>
          </w:p>
        </w:tc>
        <w:tc>
          <w:tcPr>
            <w:tcW w:w="6804" w:type="dxa"/>
          </w:tcPr>
          <w:p w14:paraId="52421846"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se conecta com o controle A.7.2.2 (</w:t>
            </w:r>
            <w:proofErr w:type="spellStart"/>
            <w:r w:rsidRPr="006636C9">
              <w:rPr>
                <w:rFonts w:ascii="Times New Roman" w:hAnsi="Times New Roman" w:cs="Times New Roman"/>
                <w:i/>
                <w:iCs/>
                <w:color w:val="000000"/>
                <w:sz w:val="20"/>
                <w:szCs w:val="20"/>
              </w:rPr>
              <w:t>Information</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security</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awareness</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education</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and</w:t>
            </w:r>
            <w:proofErr w:type="spellEnd"/>
            <w:r w:rsidRPr="006636C9">
              <w:rPr>
                <w:rFonts w:ascii="Times New Roman" w:hAnsi="Times New Roman" w:cs="Times New Roman"/>
                <w:i/>
                <w:iCs/>
                <w:color w:val="000000"/>
                <w:sz w:val="20"/>
                <w:szCs w:val="20"/>
              </w:rPr>
              <w:t xml:space="preserve"> training</w:t>
            </w:r>
            <w:r w:rsidRPr="006636C9">
              <w:rPr>
                <w:rFonts w:ascii="Times New Roman" w:hAnsi="Times New Roman" w:cs="Times New Roman"/>
                <w:color w:val="000000"/>
                <w:sz w:val="20"/>
                <w:szCs w:val="20"/>
              </w:rPr>
              <w:t>), argumentando que a simples existência de um programa não é suficiente; sua eficácia depende da forma e da frequência.</w:t>
            </w:r>
          </w:p>
        </w:tc>
      </w:tr>
      <w:tr w:rsidR="006636C9" w:rsidRPr="006636C9" w14:paraId="09199FC9" w14:textId="77777777" w:rsidTr="00E07FE3">
        <w:trPr>
          <w:trHeight w:val="978"/>
        </w:trPr>
        <w:tc>
          <w:tcPr>
            <w:tcW w:w="2263" w:type="dxa"/>
            <w:vAlign w:val="center"/>
          </w:tcPr>
          <w:p w14:paraId="34DBE76F"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NIST CSF</w:t>
            </w:r>
          </w:p>
        </w:tc>
        <w:tc>
          <w:tcPr>
            <w:tcW w:w="6804" w:type="dxa"/>
          </w:tcPr>
          <w:p w14:paraId="734A6BE2"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fortalece a categoria PR.AT (</w:t>
            </w:r>
            <w:proofErr w:type="spellStart"/>
            <w:r w:rsidRPr="006636C9">
              <w:rPr>
                <w:rFonts w:ascii="Times New Roman" w:hAnsi="Times New Roman" w:cs="Times New Roman"/>
                <w:i/>
                <w:iCs/>
                <w:color w:val="000000"/>
                <w:sz w:val="20"/>
                <w:szCs w:val="20"/>
              </w:rPr>
              <w:t>Awareness</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and</w:t>
            </w:r>
            <w:proofErr w:type="spellEnd"/>
            <w:r w:rsidRPr="006636C9">
              <w:rPr>
                <w:rFonts w:ascii="Times New Roman" w:hAnsi="Times New Roman" w:cs="Times New Roman"/>
                <w:i/>
                <w:iCs/>
                <w:color w:val="000000"/>
                <w:sz w:val="20"/>
                <w:szCs w:val="20"/>
              </w:rPr>
              <w:t xml:space="preserve"> Training</w:t>
            </w:r>
            <w:r w:rsidRPr="006636C9">
              <w:rPr>
                <w:rFonts w:ascii="Times New Roman" w:hAnsi="Times New Roman" w:cs="Times New Roman"/>
                <w:color w:val="000000"/>
                <w:sz w:val="20"/>
                <w:szCs w:val="20"/>
              </w:rPr>
              <w:t>) da função "Proteger" (PR), garantindo que o treinamento não seja apenas um evento, mas um processo contínuo que melhora a capacidade da força de trabalho de identificar e reagir a ameaças.</w:t>
            </w:r>
          </w:p>
        </w:tc>
      </w:tr>
      <w:tr w:rsidR="006636C9" w:rsidRPr="006636C9" w14:paraId="29AFD820" w14:textId="77777777" w:rsidTr="00E07FE3">
        <w:trPr>
          <w:trHeight w:val="708"/>
        </w:trPr>
        <w:tc>
          <w:tcPr>
            <w:tcW w:w="2263" w:type="dxa"/>
            <w:vAlign w:val="center"/>
          </w:tcPr>
          <w:p w14:paraId="37139E0A"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COBIT 2019</w:t>
            </w:r>
          </w:p>
        </w:tc>
        <w:tc>
          <w:tcPr>
            <w:tcW w:w="6804" w:type="dxa"/>
          </w:tcPr>
          <w:p w14:paraId="06A2AC12"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Alinha-se ao objetivo APO07 (</w:t>
            </w:r>
            <w:proofErr w:type="spellStart"/>
            <w:r w:rsidRPr="006636C9">
              <w:rPr>
                <w:rFonts w:ascii="Times New Roman" w:hAnsi="Times New Roman" w:cs="Times New Roman"/>
                <w:i/>
                <w:iCs/>
                <w:color w:val="000000"/>
                <w:sz w:val="20"/>
                <w:szCs w:val="20"/>
              </w:rPr>
              <w:t>Managed</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Human</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Resources</w:t>
            </w:r>
            <w:proofErr w:type="spellEnd"/>
            <w:r w:rsidRPr="006636C9">
              <w:rPr>
                <w:rFonts w:ascii="Times New Roman" w:hAnsi="Times New Roman" w:cs="Times New Roman"/>
                <w:color w:val="000000"/>
                <w:sz w:val="20"/>
                <w:szCs w:val="20"/>
              </w:rPr>
              <w:t>), que inclui a necessidade de gerenciar as competências e o treinamento do pessoal para que possam cumprir suas funções de forma eficaz e segura.</w:t>
            </w:r>
          </w:p>
        </w:tc>
      </w:tr>
    </w:tbl>
    <w:p w14:paraId="5A031632" w14:textId="77777777" w:rsidR="006636C9" w:rsidRPr="006636C9" w:rsidRDefault="006636C9" w:rsidP="006636C9">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Fonte: Autores</w:t>
      </w:r>
    </w:p>
    <w:p w14:paraId="43775C72" w14:textId="77777777" w:rsidR="006636C9" w:rsidRPr="006636C9" w:rsidRDefault="006636C9" w:rsidP="006636C9">
      <w:pPr>
        <w:pStyle w:val="PargrafodaLista"/>
        <w:numPr>
          <w:ilvl w:val="0"/>
          <w:numId w:val="9"/>
        </w:numPr>
        <w:spacing w:before="100" w:beforeAutospacing="1" w:after="100" w:afterAutospacing="1" w:line="360" w:lineRule="auto"/>
        <w:jc w:val="both"/>
        <w:rPr>
          <w:rFonts w:ascii="Times New Roman" w:hAnsi="Times New Roman" w:cs="Times New Roman"/>
          <w:color w:val="000000"/>
        </w:rPr>
      </w:pPr>
      <w:r w:rsidRPr="006636C9">
        <w:rPr>
          <w:rFonts w:ascii="Times New Roman" w:hAnsi="Times New Roman" w:cs="Times New Roman"/>
          <w:color w:val="000000"/>
        </w:rPr>
        <w:t xml:space="preserve">Diretriz 4: Utilização de práticas da Gestão do Conhecimento </w:t>
      </w:r>
    </w:p>
    <w:p w14:paraId="55226AEA" w14:textId="77777777" w:rsidR="006636C9" w:rsidRPr="006636C9" w:rsidRDefault="006636C9" w:rsidP="006636C9">
      <w:pPr>
        <w:pStyle w:val="NormalWeb"/>
        <w:spacing w:line="360" w:lineRule="auto"/>
        <w:ind w:firstLine="709"/>
        <w:jc w:val="both"/>
        <w:rPr>
          <w:color w:val="000000"/>
        </w:rPr>
      </w:pPr>
      <w:r w:rsidRPr="006636C9">
        <w:rPr>
          <w:color w:val="000000"/>
        </w:rPr>
        <w:t>Usar a tecnologia não como uma barreira rígida, mas como uma ferramenta inteligente que habilita a colaboração segura. Isso significa migrar de controles binários (permitir/negar) para controles baseados em risco e contexto. Historicamente, Cibersegurança e Segurança da Informação foram conhecidas como áreas altamente restritivas, onde quase não era possível romper suas barreiras em prol dos objetivos de negócio. A ideia de áreas que no lugar do “não”, digam o “como” equilibra a proteção e a inovação.</w:t>
      </w:r>
    </w:p>
    <w:p w14:paraId="246C6342" w14:textId="77777777" w:rsidR="006636C9" w:rsidRPr="006636C9" w:rsidRDefault="006636C9" w:rsidP="006636C9">
      <w:pPr>
        <w:pStyle w:val="NormalWeb"/>
        <w:spacing w:line="360" w:lineRule="auto"/>
        <w:ind w:firstLine="709"/>
        <w:jc w:val="both"/>
        <w:rPr>
          <w:color w:val="000000"/>
        </w:rPr>
      </w:pPr>
      <w:r w:rsidRPr="006636C9">
        <w:rPr>
          <w:rStyle w:val="citation-577"/>
          <w:rFonts w:eastAsiaTheme="majorEastAsia"/>
          <w:color w:val="000000"/>
        </w:rPr>
        <w:t>A visão de alinhamento entre os controles aos objetivos de negócio é perfeitamente materializada por frameworks como o MRGC-SBGC (SBGC, 2020), que tem como</w:t>
      </w:r>
      <w:r w:rsidRPr="006636C9">
        <w:rPr>
          <w:rStyle w:val="citation-576"/>
          <w:rFonts w:eastAsiaTheme="majorEastAsia"/>
          <w:color w:val="000000"/>
        </w:rPr>
        <w:t xml:space="preserve"> seu principal objetivo ser uma ferramenta que destaca o valor do conhecimento, demonstrando como sua gestão pode contribuir para a transformação organizacional e o alcance de resultados.</w:t>
      </w:r>
    </w:p>
    <w:p w14:paraId="6D28A30E" w14:textId="77777777" w:rsidR="006636C9" w:rsidRPr="00E07FE3" w:rsidRDefault="006636C9" w:rsidP="006636C9">
      <w:pPr>
        <w:pStyle w:val="PargrafodaLista"/>
        <w:numPr>
          <w:ilvl w:val="1"/>
          <w:numId w:val="6"/>
        </w:numPr>
        <w:spacing w:before="100" w:beforeAutospacing="1" w:after="100" w:afterAutospacing="1" w:line="360" w:lineRule="auto"/>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t>Sugestão de implementação</w:t>
      </w:r>
    </w:p>
    <w:p w14:paraId="4B04463F" w14:textId="77777777" w:rsidR="006636C9" w:rsidRPr="00E07FE3" w:rsidRDefault="006636C9" w:rsidP="006636C9">
      <w:pPr>
        <w:numPr>
          <w:ilvl w:val="0"/>
          <w:numId w:val="7"/>
        </w:numPr>
        <w:tabs>
          <w:tab w:val="clear" w:pos="720"/>
          <w:tab w:val="num" w:pos="142"/>
        </w:tabs>
        <w:spacing w:before="100" w:beforeAutospacing="1" w:after="100" w:afterAutospacing="1" w:line="360" w:lineRule="auto"/>
        <w:ind w:left="0" w:firstLine="567"/>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t>Utilizar sistemas como o de Prevenção à Perda de Dados (DLP) no modo alerta em vez de bloqueio para infrações de baixo risco. Essa abordagem implementa os controles de acesso da</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ISO 27001 (A.9)</w:t>
      </w:r>
      <w:r w:rsidRPr="00E07FE3">
        <w:rPr>
          <w:rStyle w:val="apple-converted-space"/>
          <w:rFonts w:ascii="Times New Roman" w:eastAsiaTheme="majorEastAsia" w:hAnsi="Times New Roman" w:cs="Times New Roman"/>
          <w:color w:val="000000"/>
          <w:sz w:val="24"/>
          <w:szCs w:val="24"/>
        </w:rPr>
        <w:t> </w:t>
      </w:r>
      <w:r w:rsidRPr="00E07FE3">
        <w:rPr>
          <w:rFonts w:ascii="Times New Roman" w:hAnsi="Times New Roman" w:cs="Times New Roman"/>
          <w:color w:val="000000"/>
          <w:sz w:val="24"/>
          <w:szCs w:val="24"/>
        </w:rPr>
        <w:t>e do</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NIST CSF (PR.AC)</w:t>
      </w:r>
      <w:r w:rsidRPr="00E07FE3">
        <w:rPr>
          <w:rStyle w:val="apple-converted-space"/>
          <w:rFonts w:ascii="Times New Roman" w:eastAsiaTheme="majorEastAsia" w:hAnsi="Times New Roman" w:cs="Times New Roman"/>
          <w:color w:val="000000"/>
          <w:sz w:val="24"/>
          <w:szCs w:val="24"/>
        </w:rPr>
        <w:t> </w:t>
      </w:r>
      <w:r w:rsidRPr="00E07FE3">
        <w:rPr>
          <w:rFonts w:ascii="Times New Roman" w:hAnsi="Times New Roman" w:cs="Times New Roman"/>
          <w:color w:val="000000"/>
          <w:sz w:val="24"/>
          <w:szCs w:val="24"/>
        </w:rPr>
        <w:t>de forma proporcional e educativa, apoiando os objetivos de negócio, em linha com o framework</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COBIT 2019</w:t>
      </w:r>
      <w:r w:rsidRPr="00E07FE3">
        <w:rPr>
          <w:rStyle w:val="Forte"/>
          <w:rFonts w:ascii="Times New Roman" w:eastAsiaTheme="majorEastAsia" w:hAnsi="Times New Roman" w:cs="Times New Roman"/>
          <w:color w:val="000000"/>
          <w:sz w:val="24"/>
          <w:szCs w:val="24"/>
        </w:rPr>
        <w:t xml:space="preserve"> (</w:t>
      </w:r>
      <w:r w:rsidRPr="00E07FE3">
        <w:rPr>
          <w:rFonts w:ascii="Times New Roman" w:hAnsi="Times New Roman" w:cs="Times New Roman"/>
          <w:sz w:val="24"/>
          <w:szCs w:val="24"/>
        </w:rPr>
        <w:t xml:space="preserve">DSS05 - </w:t>
      </w:r>
      <w:proofErr w:type="spellStart"/>
      <w:r w:rsidRPr="00E07FE3">
        <w:rPr>
          <w:rFonts w:ascii="Times New Roman" w:hAnsi="Times New Roman" w:cs="Times New Roman"/>
          <w:color w:val="000000"/>
          <w:sz w:val="24"/>
          <w:szCs w:val="24"/>
        </w:rPr>
        <w:t>Managed</w:t>
      </w:r>
      <w:proofErr w:type="spellEnd"/>
      <w:r w:rsidRPr="00E07FE3">
        <w:rPr>
          <w:rFonts w:ascii="Times New Roman" w:hAnsi="Times New Roman" w:cs="Times New Roman"/>
          <w:color w:val="000000"/>
          <w:sz w:val="24"/>
          <w:szCs w:val="24"/>
        </w:rPr>
        <w:t xml:space="preserve"> Security Services - Gerenciar Serviços de Segurança</w:t>
      </w:r>
      <w:r w:rsidRPr="00E07FE3">
        <w:rPr>
          <w:rFonts w:ascii="Times New Roman" w:hAnsi="Times New Roman" w:cs="Times New Roman"/>
          <w:sz w:val="24"/>
          <w:szCs w:val="24"/>
        </w:rPr>
        <w:t>)</w:t>
      </w:r>
      <w:r w:rsidRPr="00E07FE3">
        <w:rPr>
          <w:rFonts w:ascii="Times New Roman" w:hAnsi="Times New Roman" w:cs="Times New Roman"/>
          <w:color w:val="000000"/>
          <w:sz w:val="24"/>
          <w:szCs w:val="24"/>
        </w:rPr>
        <w:t>.</w:t>
      </w:r>
    </w:p>
    <w:p w14:paraId="7E07C9F5" w14:textId="77777777" w:rsidR="006636C9" w:rsidRPr="00E07FE3" w:rsidRDefault="006636C9" w:rsidP="006636C9">
      <w:pPr>
        <w:numPr>
          <w:ilvl w:val="0"/>
          <w:numId w:val="7"/>
        </w:numPr>
        <w:tabs>
          <w:tab w:val="clear" w:pos="720"/>
          <w:tab w:val="num" w:pos="142"/>
        </w:tabs>
        <w:spacing w:before="100" w:beforeAutospacing="1" w:after="100" w:afterAutospacing="1" w:line="360" w:lineRule="auto"/>
        <w:ind w:left="0" w:firstLine="567"/>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t>Adotar políticas de acesso que se ajustam dinamicamente com base no contexto do usuário (dispositivo, localização, risco da sessão). Esta é a aplicação prática e moderna da categoria</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PR.AC (Controle de Acesso) do NIST CSF</w:t>
      </w:r>
      <w:r w:rsidRPr="00E07FE3">
        <w:rPr>
          <w:rFonts w:ascii="Times New Roman" w:hAnsi="Times New Roman" w:cs="Times New Roman"/>
          <w:color w:val="000000"/>
          <w:sz w:val="24"/>
          <w:szCs w:val="24"/>
        </w:rPr>
        <w:t>, fundamental para ambientes de trabalho sem perímetro definido.</w:t>
      </w:r>
    </w:p>
    <w:p w14:paraId="0BDBAB80" w14:textId="77777777" w:rsidR="006636C9" w:rsidRPr="00E07FE3" w:rsidRDefault="006636C9" w:rsidP="006636C9">
      <w:pPr>
        <w:numPr>
          <w:ilvl w:val="0"/>
          <w:numId w:val="7"/>
        </w:numPr>
        <w:tabs>
          <w:tab w:val="clear" w:pos="720"/>
          <w:tab w:val="num" w:pos="142"/>
        </w:tabs>
        <w:spacing w:before="100" w:beforeAutospacing="1" w:after="100" w:afterAutospacing="1" w:line="360" w:lineRule="auto"/>
        <w:ind w:left="0" w:firstLine="567"/>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lastRenderedPageBreak/>
        <w:t>Utilizar plataformas de colaboração que integrem visualmente os rótulos de classificação de dados definidos na</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Diretriz 1</w:t>
      </w:r>
      <w:r w:rsidRPr="00E07FE3">
        <w:rPr>
          <w:rFonts w:ascii="Times New Roman" w:hAnsi="Times New Roman" w:cs="Times New Roman"/>
          <w:color w:val="000000"/>
          <w:sz w:val="24"/>
          <w:szCs w:val="24"/>
        </w:rPr>
        <w:t>. Isso torna a aplicação dos controles da</w:t>
      </w:r>
      <w:r w:rsidRPr="00E07FE3">
        <w:rPr>
          <w:rStyle w:val="apple-converted-space"/>
          <w:rFonts w:ascii="Times New Roman" w:eastAsiaTheme="majorEastAsia" w:hAnsi="Times New Roman" w:cs="Times New Roman"/>
          <w:color w:val="000000"/>
          <w:sz w:val="24"/>
          <w:szCs w:val="24"/>
        </w:rPr>
        <w:t> </w:t>
      </w:r>
      <w:r w:rsidRPr="00E07FE3">
        <w:rPr>
          <w:rStyle w:val="Forte"/>
          <w:rFonts w:ascii="Times New Roman" w:eastAsiaTheme="majorEastAsia" w:hAnsi="Times New Roman" w:cs="Times New Roman"/>
          <w:b w:val="0"/>
          <w:bCs w:val="0"/>
          <w:color w:val="000000"/>
          <w:sz w:val="24"/>
          <w:szCs w:val="24"/>
        </w:rPr>
        <w:t>ISO 27001 (A.8.2)</w:t>
      </w:r>
      <w:r w:rsidRPr="00E07FE3">
        <w:rPr>
          <w:rStyle w:val="apple-converted-space"/>
          <w:rFonts w:ascii="Times New Roman" w:eastAsiaTheme="majorEastAsia" w:hAnsi="Times New Roman" w:cs="Times New Roman"/>
          <w:color w:val="000000"/>
          <w:sz w:val="24"/>
          <w:szCs w:val="24"/>
        </w:rPr>
        <w:t> </w:t>
      </w:r>
      <w:r w:rsidRPr="00E07FE3">
        <w:rPr>
          <w:rFonts w:ascii="Times New Roman" w:hAnsi="Times New Roman" w:cs="Times New Roman"/>
          <w:color w:val="000000"/>
          <w:sz w:val="24"/>
          <w:szCs w:val="24"/>
        </w:rPr>
        <w:t>transparente para o usuário final, reduzindo o atrito e incentivando o comportamento seguro sem prejudicar a produtividade.</w:t>
      </w:r>
    </w:p>
    <w:p w14:paraId="054F0BC5" w14:textId="77777777" w:rsidR="006636C9" w:rsidRPr="00E07FE3" w:rsidRDefault="006636C9" w:rsidP="006636C9">
      <w:pPr>
        <w:pStyle w:val="PargrafodaLista"/>
        <w:numPr>
          <w:ilvl w:val="1"/>
          <w:numId w:val="6"/>
        </w:numPr>
        <w:tabs>
          <w:tab w:val="num" w:pos="142"/>
        </w:tabs>
        <w:spacing w:before="100" w:beforeAutospacing="1" w:after="100" w:afterAutospacing="1" w:line="360" w:lineRule="auto"/>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t>Conexão com os Frameworks:</w:t>
      </w:r>
    </w:p>
    <w:p w14:paraId="448335DF" w14:textId="77777777" w:rsidR="006636C9" w:rsidRPr="00E07FE3" w:rsidRDefault="006636C9" w:rsidP="006636C9">
      <w:pPr>
        <w:tabs>
          <w:tab w:val="num" w:pos="0"/>
        </w:tabs>
        <w:spacing w:before="100" w:beforeAutospacing="1" w:after="100" w:afterAutospacing="1" w:line="360" w:lineRule="auto"/>
        <w:jc w:val="both"/>
        <w:rPr>
          <w:rFonts w:ascii="Times New Roman" w:hAnsi="Times New Roman" w:cs="Times New Roman"/>
          <w:color w:val="000000"/>
          <w:sz w:val="24"/>
          <w:szCs w:val="24"/>
        </w:rPr>
      </w:pPr>
      <w:r w:rsidRPr="00E07FE3">
        <w:rPr>
          <w:rFonts w:ascii="Times New Roman" w:hAnsi="Times New Roman" w:cs="Times New Roman"/>
          <w:color w:val="000000"/>
          <w:sz w:val="24"/>
          <w:szCs w:val="24"/>
        </w:rPr>
        <w:tab/>
        <w:t>O Quadro 5 apresenta a conexão entre a Diretriz 4 proposta e os frameworks analisados na literatura.</w:t>
      </w:r>
    </w:p>
    <w:p w14:paraId="78B6736A" w14:textId="77777777" w:rsidR="006636C9" w:rsidRPr="006636C9" w:rsidRDefault="006636C9" w:rsidP="00E07FE3">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Quadro 5 – Diretriz 4 x frameworks</w:t>
      </w:r>
    </w:p>
    <w:tbl>
      <w:tblPr>
        <w:tblStyle w:val="Tabelacomgrade"/>
        <w:tblW w:w="9067" w:type="dxa"/>
        <w:tblLook w:val="04A0" w:firstRow="1" w:lastRow="0" w:firstColumn="1" w:lastColumn="0" w:noHBand="0" w:noVBand="1"/>
      </w:tblPr>
      <w:tblGrid>
        <w:gridCol w:w="2263"/>
        <w:gridCol w:w="6804"/>
      </w:tblGrid>
      <w:tr w:rsidR="006636C9" w:rsidRPr="006636C9" w14:paraId="29A916FB" w14:textId="77777777" w:rsidTr="00E07FE3">
        <w:trPr>
          <w:trHeight w:val="515"/>
        </w:trPr>
        <w:tc>
          <w:tcPr>
            <w:tcW w:w="2263" w:type="dxa"/>
            <w:vAlign w:val="center"/>
          </w:tcPr>
          <w:p w14:paraId="0A76ADAF" w14:textId="77777777" w:rsidR="006636C9" w:rsidRPr="006636C9" w:rsidRDefault="006636C9" w:rsidP="00E07FE3">
            <w:pPr>
              <w:spacing w:before="100" w:beforeAutospacing="1" w:after="100" w:afterAutospacing="1" w:line="360" w:lineRule="auto"/>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Frameworks</w:t>
            </w:r>
          </w:p>
        </w:tc>
        <w:tc>
          <w:tcPr>
            <w:tcW w:w="6804" w:type="dxa"/>
          </w:tcPr>
          <w:p w14:paraId="05F1D5F0"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 xml:space="preserve">Conexão com a Diretriz 4: </w:t>
            </w:r>
            <w:r w:rsidRPr="006636C9">
              <w:rPr>
                <w:rFonts w:ascii="Times New Roman" w:hAnsi="Times New Roman" w:cs="Times New Roman"/>
                <w:sz w:val="20"/>
                <w:szCs w:val="20"/>
              </w:rPr>
              <w:t>Utilização de práticas da Gestão do Conhecimento</w:t>
            </w:r>
          </w:p>
        </w:tc>
      </w:tr>
      <w:tr w:rsidR="006636C9" w:rsidRPr="006636C9" w14:paraId="3EB8948A" w14:textId="77777777" w:rsidTr="00E07FE3">
        <w:trPr>
          <w:trHeight w:val="848"/>
        </w:trPr>
        <w:tc>
          <w:tcPr>
            <w:tcW w:w="2263" w:type="dxa"/>
            <w:vAlign w:val="center"/>
          </w:tcPr>
          <w:p w14:paraId="56E356E6"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ISO 27001</w:t>
            </w:r>
          </w:p>
        </w:tc>
        <w:tc>
          <w:tcPr>
            <w:tcW w:w="6804" w:type="dxa"/>
          </w:tcPr>
          <w:p w14:paraId="6A89ACD7"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moderniza a aplicação dos controles do domínio A.9 (</w:t>
            </w:r>
            <w:r w:rsidRPr="006636C9">
              <w:rPr>
                <w:rFonts w:ascii="Times New Roman" w:hAnsi="Times New Roman" w:cs="Times New Roman"/>
                <w:i/>
                <w:iCs/>
                <w:color w:val="000000"/>
                <w:sz w:val="20"/>
                <w:szCs w:val="20"/>
              </w:rPr>
              <w:t xml:space="preserve">Access </w:t>
            </w:r>
            <w:proofErr w:type="spellStart"/>
            <w:r w:rsidRPr="006636C9">
              <w:rPr>
                <w:rFonts w:ascii="Times New Roman" w:hAnsi="Times New Roman" w:cs="Times New Roman"/>
                <w:i/>
                <w:iCs/>
                <w:color w:val="000000"/>
                <w:sz w:val="20"/>
                <w:szCs w:val="20"/>
              </w:rPr>
              <w:t>Control</w:t>
            </w:r>
            <w:proofErr w:type="spellEnd"/>
            <w:r w:rsidRPr="006636C9">
              <w:rPr>
                <w:rFonts w:ascii="Times New Roman" w:hAnsi="Times New Roman" w:cs="Times New Roman"/>
                <w:color w:val="000000"/>
                <w:sz w:val="20"/>
                <w:szCs w:val="20"/>
              </w:rPr>
              <w:t>), sugerindo que a tecnologia atual permite cumprir esses controles de forma mais dinâmica e menos disruptiva para o negócio.</w:t>
            </w:r>
          </w:p>
        </w:tc>
      </w:tr>
      <w:tr w:rsidR="006636C9" w:rsidRPr="006636C9" w14:paraId="375EA32C" w14:textId="77777777" w:rsidTr="00E07FE3">
        <w:trPr>
          <w:trHeight w:val="846"/>
        </w:trPr>
        <w:tc>
          <w:tcPr>
            <w:tcW w:w="2263" w:type="dxa"/>
            <w:vAlign w:val="center"/>
          </w:tcPr>
          <w:p w14:paraId="4A274334"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NIST CSF</w:t>
            </w:r>
          </w:p>
        </w:tc>
        <w:tc>
          <w:tcPr>
            <w:tcW w:w="6804" w:type="dxa"/>
          </w:tcPr>
          <w:p w14:paraId="5F4A1042"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é a implementação prática da categoria PR.AC (</w:t>
            </w:r>
            <w:proofErr w:type="spellStart"/>
            <w:r w:rsidRPr="006636C9">
              <w:rPr>
                <w:rFonts w:ascii="Times New Roman" w:hAnsi="Times New Roman" w:cs="Times New Roman"/>
                <w:i/>
                <w:iCs/>
                <w:color w:val="000000"/>
                <w:sz w:val="20"/>
                <w:szCs w:val="20"/>
              </w:rPr>
              <w:t>Identity</w:t>
            </w:r>
            <w:proofErr w:type="spellEnd"/>
            <w:r w:rsidRPr="006636C9">
              <w:rPr>
                <w:rFonts w:ascii="Times New Roman" w:hAnsi="Times New Roman" w:cs="Times New Roman"/>
                <w:i/>
                <w:iCs/>
                <w:color w:val="000000"/>
                <w:sz w:val="20"/>
                <w:szCs w:val="20"/>
              </w:rPr>
              <w:t xml:space="preserve"> Management, </w:t>
            </w:r>
            <w:proofErr w:type="spellStart"/>
            <w:r w:rsidRPr="006636C9">
              <w:rPr>
                <w:rFonts w:ascii="Times New Roman" w:hAnsi="Times New Roman" w:cs="Times New Roman"/>
                <w:i/>
                <w:iCs/>
                <w:color w:val="000000"/>
                <w:sz w:val="20"/>
                <w:szCs w:val="20"/>
              </w:rPr>
              <w:t>Authentication</w:t>
            </w:r>
            <w:proofErr w:type="spellEnd"/>
            <w:r w:rsidRPr="006636C9">
              <w:rPr>
                <w:rFonts w:ascii="Times New Roman" w:hAnsi="Times New Roman" w:cs="Times New Roman"/>
                <w:i/>
                <w:iCs/>
                <w:color w:val="000000"/>
                <w:sz w:val="20"/>
                <w:szCs w:val="20"/>
              </w:rPr>
              <w:t xml:space="preserve"> </w:t>
            </w:r>
            <w:proofErr w:type="spellStart"/>
            <w:r w:rsidRPr="006636C9">
              <w:rPr>
                <w:rFonts w:ascii="Times New Roman" w:hAnsi="Times New Roman" w:cs="Times New Roman"/>
                <w:i/>
                <w:iCs/>
                <w:color w:val="000000"/>
                <w:sz w:val="20"/>
                <w:szCs w:val="20"/>
              </w:rPr>
              <w:t>and</w:t>
            </w:r>
            <w:proofErr w:type="spellEnd"/>
            <w:r w:rsidRPr="006636C9">
              <w:rPr>
                <w:rFonts w:ascii="Times New Roman" w:hAnsi="Times New Roman" w:cs="Times New Roman"/>
                <w:i/>
                <w:iCs/>
                <w:color w:val="000000"/>
                <w:sz w:val="20"/>
                <w:szCs w:val="20"/>
              </w:rPr>
              <w:t xml:space="preserve"> Access </w:t>
            </w:r>
            <w:proofErr w:type="spellStart"/>
            <w:r w:rsidRPr="006636C9">
              <w:rPr>
                <w:rFonts w:ascii="Times New Roman" w:hAnsi="Times New Roman" w:cs="Times New Roman"/>
                <w:i/>
                <w:iCs/>
                <w:color w:val="000000"/>
                <w:sz w:val="20"/>
                <w:szCs w:val="20"/>
              </w:rPr>
              <w:t>Control</w:t>
            </w:r>
            <w:proofErr w:type="spellEnd"/>
            <w:r w:rsidRPr="006636C9">
              <w:rPr>
                <w:rFonts w:ascii="Times New Roman" w:hAnsi="Times New Roman" w:cs="Times New Roman"/>
                <w:color w:val="000000"/>
                <w:sz w:val="20"/>
                <w:szCs w:val="20"/>
              </w:rPr>
              <w:t>). A diretriz argumenta </w:t>
            </w:r>
            <w:r w:rsidRPr="006636C9">
              <w:rPr>
                <w:rFonts w:ascii="Times New Roman" w:hAnsi="Times New Roman" w:cs="Times New Roman"/>
                <w:i/>
                <w:iCs/>
                <w:color w:val="000000"/>
                <w:sz w:val="20"/>
                <w:szCs w:val="20"/>
              </w:rPr>
              <w:t>como</w:t>
            </w:r>
            <w:r w:rsidRPr="006636C9">
              <w:rPr>
                <w:rFonts w:ascii="Times New Roman" w:hAnsi="Times New Roman" w:cs="Times New Roman"/>
                <w:color w:val="000000"/>
                <w:sz w:val="20"/>
                <w:szCs w:val="20"/>
              </w:rPr>
              <w:t> implementar o controle de acesso de forma a não gerar o atrito que leva à </w:t>
            </w:r>
            <w:r w:rsidRPr="006636C9">
              <w:rPr>
                <w:rFonts w:ascii="Times New Roman" w:hAnsi="Times New Roman" w:cs="Times New Roman"/>
                <w:i/>
                <w:iCs/>
                <w:color w:val="000000"/>
                <w:sz w:val="20"/>
                <w:szCs w:val="20"/>
              </w:rPr>
              <w:t>Shadow IT</w:t>
            </w:r>
            <w:r w:rsidRPr="006636C9">
              <w:rPr>
                <w:rFonts w:ascii="Times New Roman" w:hAnsi="Times New Roman" w:cs="Times New Roman"/>
                <w:color w:val="000000"/>
                <w:sz w:val="20"/>
                <w:szCs w:val="20"/>
              </w:rPr>
              <w:t>.</w:t>
            </w:r>
          </w:p>
        </w:tc>
      </w:tr>
      <w:tr w:rsidR="006636C9" w:rsidRPr="006636C9" w14:paraId="25099279" w14:textId="77777777" w:rsidTr="00E07FE3">
        <w:trPr>
          <w:trHeight w:val="972"/>
        </w:trPr>
        <w:tc>
          <w:tcPr>
            <w:tcW w:w="2263" w:type="dxa"/>
            <w:vAlign w:val="center"/>
          </w:tcPr>
          <w:p w14:paraId="44A697BD"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COBIT 2019</w:t>
            </w:r>
          </w:p>
        </w:tc>
        <w:tc>
          <w:tcPr>
            <w:tcW w:w="6804" w:type="dxa"/>
          </w:tcPr>
          <w:p w14:paraId="461815CF" w14:textId="77777777" w:rsidR="006636C9" w:rsidRPr="006636C9" w:rsidRDefault="006636C9" w:rsidP="001C6D8C">
            <w:pPr>
              <w:spacing w:before="100" w:beforeAutospacing="1" w:after="100" w:afterAutospacing="1"/>
              <w:jc w:val="both"/>
              <w:rPr>
                <w:rFonts w:ascii="Times New Roman" w:hAnsi="Times New Roman" w:cs="Times New Roman"/>
                <w:color w:val="000000"/>
                <w:sz w:val="20"/>
                <w:szCs w:val="20"/>
              </w:rPr>
            </w:pPr>
            <w:r w:rsidRPr="006636C9">
              <w:rPr>
                <w:rFonts w:ascii="Times New Roman" w:hAnsi="Times New Roman" w:cs="Times New Roman"/>
                <w:color w:val="000000"/>
                <w:sz w:val="20"/>
                <w:szCs w:val="20"/>
              </w:rPr>
              <w:t>Esta diretriz suporta o objetivo DSS05 (</w:t>
            </w:r>
            <w:proofErr w:type="spellStart"/>
            <w:r w:rsidRPr="006636C9">
              <w:rPr>
                <w:rFonts w:ascii="Times New Roman" w:hAnsi="Times New Roman" w:cs="Times New Roman"/>
                <w:i/>
                <w:iCs/>
                <w:color w:val="000000"/>
                <w:sz w:val="20"/>
                <w:szCs w:val="20"/>
              </w:rPr>
              <w:t>Managed</w:t>
            </w:r>
            <w:proofErr w:type="spellEnd"/>
            <w:r w:rsidRPr="006636C9">
              <w:rPr>
                <w:rFonts w:ascii="Times New Roman" w:hAnsi="Times New Roman" w:cs="Times New Roman"/>
                <w:i/>
                <w:iCs/>
                <w:color w:val="000000"/>
                <w:sz w:val="20"/>
                <w:szCs w:val="20"/>
              </w:rPr>
              <w:t xml:space="preserve"> Security Services</w:t>
            </w:r>
            <w:r w:rsidRPr="006636C9">
              <w:rPr>
                <w:rFonts w:ascii="Times New Roman" w:hAnsi="Times New Roman" w:cs="Times New Roman"/>
                <w:color w:val="000000"/>
                <w:sz w:val="20"/>
                <w:szCs w:val="20"/>
              </w:rPr>
              <w:t>), garantindo que os serviços de segurança implementados não apenas protejam a organização, mas também suportem as necessidades e os processos de negócio de forma eficiente.</w:t>
            </w:r>
          </w:p>
        </w:tc>
      </w:tr>
      <w:tr w:rsidR="006636C9" w:rsidRPr="006636C9" w14:paraId="26F79DC1" w14:textId="77777777" w:rsidTr="00E07FE3">
        <w:trPr>
          <w:trHeight w:val="1270"/>
        </w:trPr>
        <w:tc>
          <w:tcPr>
            <w:tcW w:w="2263" w:type="dxa"/>
            <w:vAlign w:val="center"/>
          </w:tcPr>
          <w:p w14:paraId="7B44F17D" w14:textId="77777777" w:rsidR="006636C9" w:rsidRPr="006636C9" w:rsidRDefault="006636C9" w:rsidP="00E07FE3">
            <w:pPr>
              <w:spacing w:before="100" w:beforeAutospacing="1" w:after="100" w:afterAutospacing="1"/>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M</w:t>
            </w:r>
            <w:r w:rsidRPr="006636C9">
              <w:rPr>
                <w:rFonts w:ascii="Times New Roman" w:hAnsi="Times New Roman" w:cs="Times New Roman"/>
                <w:sz w:val="20"/>
                <w:szCs w:val="20"/>
              </w:rPr>
              <w:t>RGC-SBGC</w:t>
            </w:r>
          </w:p>
        </w:tc>
        <w:tc>
          <w:tcPr>
            <w:tcW w:w="6804" w:type="dxa"/>
          </w:tcPr>
          <w:p w14:paraId="1EF137D5" w14:textId="77777777" w:rsidR="006636C9" w:rsidRPr="006636C9" w:rsidRDefault="006636C9" w:rsidP="001C6D8C">
            <w:pPr>
              <w:pStyle w:val="NormalWeb"/>
              <w:jc w:val="both"/>
              <w:rPr>
                <w:color w:val="000000"/>
                <w:sz w:val="20"/>
                <w:szCs w:val="20"/>
              </w:rPr>
            </w:pPr>
            <w:r w:rsidRPr="006636C9">
              <w:rPr>
                <w:rStyle w:val="citation-540"/>
                <w:rFonts w:eastAsiaTheme="majorEastAsia"/>
                <w:color w:val="000000"/>
                <w:sz w:val="20"/>
                <w:szCs w:val="20"/>
              </w:rPr>
              <w:t>Neste modelo, a tecnologia ("infraestrutura") é um dos três pilares que, junto com a cultura e os elementos de gestão, devem criar as condições certas para a</w:t>
            </w:r>
            <w:r w:rsidRPr="006636C9">
              <w:rPr>
                <w:rStyle w:val="apple-converted-space"/>
                <w:rFonts w:eastAsiaTheme="majorEastAsia"/>
                <w:color w:val="000000"/>
                <w:sz w:val="20"/>
                <w:szCs w:val="20"/>
              </w:rPr>
              <w:t> </w:t>
            </w:r>
            <w:r w:rsidRPr="006636C9">
              <w:rPr>
                <w:rStyle w:val="citation-540"/>
                <w:rFonts w:eastAsiaTheme="majorEastAsia"/>
                <w:color w:val="000000"/>
                <w:sz w:val="20"/>
                <w:szCs w:val="20"/>
              </w:rPr>
              <w:t>colaboração</w:t>
            </w:r>
            <w:r w:rsidRPr="006636C9">
              <w:rPr>
                <w:rStyle w:val="apple-converted-space"/>
                <w:rFonts w:eastAsiaTheme="majorEastAsia"/>
                <w:color w:val="000000"/>
                <w:sz w:val="20"/>
                <w:szCs w:val="20"/>
              </w:rPr>
              <w:t> </w:t>
            </w:r>
            <w:r w:rsidRPr="006636C9">
              <w:rPr>
                <w:rStyle w:val="citation-540"/>
                <w:rFonts w:eastAsiaTheme="majorEastAsia"/>
                <w:color w:val="000000"/>
                <w:sz w:val="20"/>
                <w:szCs w:val="20"/>
              </w:rPr>
              <w:t>e a criação de conhecimento</w:t>
            </w:r>
            <w:r w:rsidRPr="006636C9">
              <w:rPr>
                <w:color w:val="000000"/>
                <w:sz w:val="20"/>
                <w:szCs w:val="20"/>
              </w:rPr>
              <w:t>. Portanto, a implementação de uma tecnologia segura é vista como um meio para habilitar o negócio, e não como um fim em si mesma, reforçando o propósito da diretriz.</w:t>
            </w:r>
          </w:p>
        </w:tc>
      </w:tr>
    </w:tbl>
    <w:p w14:paraId="046BB182" w14:textId="77777777" w:rsidR="006636C9" w:rsidRPr="006636C9" w:rsidRDefault="006636C9" w:rsidP="006636C9">
      <w:pPr>
        <w:jc w:val="center"/>
        <w:rPr>
          <w:rFonts w:ascii="Times New Roman" w:hAnsi="Times New Roman" w:cs="Times New Roman"/>
          <w:color w:val="000000"/>
          <w:sz w:val="20"/>
          <w:szCs w:val="20"/>
        </w:rPr>
      </w:pPr>
      <w:r w:rsidRPr="006636C9">
        <w:rPr>
          <w:rFonts w:ascii="Times New Roman" w:hAnsi="Times New Roman" w:cs="Times New Roman"/>
          <w:color w:val="000000"/>
          <w:sz w:val="20"/>
          <w:szCs w:val="20"/>
        </w:rPr>
        <w:t>Fonte: Autores</w:t>
      </w:r>
    </w:p>
    <w:p w14:paraId="32858B24" w14:textId="5566DC19" w:rsidR="006636C9" w:rsidRPr="008F5F9F" w:rsidRDefault="006636C9" w:rsidP="006636C9">
      <w:pPr>
        <w:pStyle w:val="NormalWeb"/>
        <w:numPr>
          <w:ilvl w:val="1"/>
          <w:numId w:val="8"/>
        </w:numPr>
        <w:spacing w:line="360" w:lineRule="auto"/>
        <w:ind w:left="0" w:firstLine="0"/>
        <w:jc w:val="both"/>
        <w:rPr>
          <w:color w:val="000000"/>
        </w:rPr>
      </w:pPr>
      <w:r w:rsidRPr="006636C9">
        <w:rPr>
          <w:color w:val="000000"/>
        </w:rPr>
        <w:t xml:space="preserve"> </w:t>
      </w:r>
      <w:r w:rsidR="008F5F9F" w:rsidRPr="008F5F9F">
        <w:rPr>
          <w:color w:val="000000"/>
        </w:rPr>
        <w:t>Discussão dos resultados obtidos</w:t>
      </w:r>
      <w:r w:rsidR="008F5F9F">
        <w:rPr>
          <w:color w:val="000000"/>
        </w:rPr>
        <w:t>.</w:t>
      </w:r>
    </w:p>
    <w:p w14:paraId="48379F6C" w14:textId="77777777" w:rsidR="006636C9" w:rsidRPr="006636C9" w:rsidRDefault="006636C9" w:rsidP="006636C9">
      <w:pPr>
        <w:pStyle w:val="NormalWeb"/>
        <w:spacing w:line="360" w:lineRule="auto"/>
        <w:ind w:firstLine="709"/>
        <w:jc w:val="both"/>
        <w:rPr>
          <w:color w:val="000000"/>
        </w:rPr>
      </w:pPr>
      <w:r w:rsidRPr="006636C9">
        <w:rPr>
          <w:color w:val="000000"/>
        </w:rPr>
        <w:t xml:space="preserve">A eficácia do framework proposto reside em sua abordagem completa, que atua em várias frentes. </w:t>
      </w:r>
    </w:p>
    <w:p w14:paraId="18EBC6AE" w14:textId="69D3E53F" w:rsidR="006636C9" w:rsidRPr="006636C9" w:rsidRDefault="006636C9" w:rsidP="006636C9">
      <w:pPr>
        <w:pStyle w:val="NormalWeb"/>
        <w:spacing w:line="360" w:lineRule="auto"/>
        <w:ind w:firstLine="709"/>
        <w:jc w:val="both"/>
        <w:rPr>
          <w:rStyle w:val="apple-converted-space"/>
          <w:rFonts w:eastAsiaTheme="majorEastAsia"/>
          <w:color w:val="000000"/>
        </w:rPr>
      </w:pPr>
      <w:r w:rsidRPr="006636C9">
        <w:rPr>
          <w:color w:val="000000"/>
        </w:rPr>
        <w:t>As diretrizes 1 (</w:t>
      </w:r>
      <w:r w:rsidRPr="00E07FE3">
        <w:rPr>
          <w:rStyle w:val="Forte"/>
          <w:rFonts w:eastAsiaTheme="majorEastAsia"/>
          <w:b w:val="0"/>
          <w:bCs w:val="0"/>
          <w:color w:val="000000"/>
        </w:rPr>
        <w:t>Instituir uma política de classificação do conhecimento</w:t>
      </w:r>
      <w:r w:rsidRPr="006636C9">
        <w:rPr>
          <w:color w:val="000000"/>
        </w:rPr>
        <w:t>) e 4 (Utilização de práticas da Gestão do Conhecimento) atuam diretamente na redução dos "atritos" do dia a dia. A ideia de que controles rígidos atrapalham a colaboração é um obstáculo real, mas parte do erro de tratar toda informação como ultrassecreta.</w:t>
      </w:r>
      <w:r w:rsidRPr="006636C9">
        <w:rPr>
          <w:rStyle w:val="apple-converted-space"/>
          <w:rFonts w:eastAsiaTheme="majorEastAsia"/>
          <w:color w:val="000000"/>
        </w:rPr>
        <w:t> </w:t>
      </w:r>
    </w:p>
    <w:p w14:paraId="2831CFE3" w14:textId="77777777" w:rsidR="006636C9" w:rsidRPr="006636C9" w:rsidRDefault="006636C9" w:rsidP="006636C9">
      <w:pPr>
        <w:pStyle w:val="NormalWeb"/>
        <w:spacing w:line="360" w:lineRule="auto"/>
        <w:ind w:firstLine="709"/>
        <w:jc w:val="both"/>
        <w:rPr>
          <w:color w:val="000000"/>
        </w:rPr>
      </w:pPr>
      <w:r w:rsidRPr="006636C9">
        <w:rPr>
          <w:rStyle w:val="citation-83"/>
          <w:rFonts w:eastAsiaTheme="majorEastAsia"/>
          <w:color w:val="000000"/>
        </w:rPr>
        <w:t>Ao criar uma política de classificação, inspirada em controles como o</w:t>
      </w:r>
      <w:r w:rsidRPr="006636C9">
        <w:rPr>
          <w:rStyle w:val="apple-converted-space"/>
          <w:rFonts w:eastAsiaTheme="majorEastAsia"/>
          <w:color w:val="000000"/>
        </w:rPr>
        <w:t> </w:t>
      </w:r>
      <w:r w:rsidRPr="006636C9">
        <w:rPr>
          <w:rStyle w:val="citation-83"/>
          <w:rFonts w:eastAsiaTheme="majorEastAsia"/>
          <w:color w:val="000000"/>
        </w:rPr>
        <w:t>A.5.12 da ISO 27001</w:t>
      </w:r>
      <w:r w:rsidRPr="006636C9">
        <w:rPr>
          <w:rStyle w:val="apple-converted-space"/>
          <w:rFonts w:eastAsiaTheme="majorEastAsia"/>
          <w:color w:val="000000"/>
        </w:rPr>
        <w:t> </w:t>
      </w:r>
      <w:r w:rsidRPr="006636C9">
        <w:rPr>
          <w:rStyle w:val="citation-82"/>
          <w:rFonts w:eastAsiaTheme="majorEastAsia"/>
          <w:color w:val="000000"/>
        </w:rPr>
        <w:t>e a categoria</w:t>
      </w:r>
      <w:r w:rsidRPr="006636C9">
        <w:rPr>
          <w:rStyle w:val="apple-converted-space"/>
          <w:rFonts w:eastAsiaTheme="majorEastAsia"/>
          <w:color w:val="000000"/>
        </w:rPr>
        <w:t> </w:t>
      </w:r>
      <w:r w:rsidRPr="006636C9">
        <w:rPr>
          <w:rStyle w:val="citation-82"/>
          <w:rFonts w:eastAsiaTheme="majorEastAsia"/>
          <w:color w:val="000000"/>
        </w:rPr>
        <w:t>ID.AM-05 do NIST CSF</w:t>
      </w:r>
      <w:r w:rsidRPr="006636C9">
        <w:rPr>
          <w:color w:val="000000"/>
        </w:rPr>
        <w:t xml:space="preserve">, a organização pode aplicar proteções fortes </w:t>
      </w:r>
      <w:r w:rsidRPr="006636C9">
        <w:rPr>
          <w:color w:val="000000"/>
        </w:rPr>
        <w:lastRenderedPageBreak/>
        <w:t>apenas onde é realmente necessário. A tecnologia flexível, por sua vez, aplica esse controle detalhado de forma inteligente, diminuindo a necessidade de os funcionários buscarem a "TI Sombra" (</w:t>
      </w:r>
      <w:r w:rsidRPr="006636C9">
        <w:rPr>
          <w:rStyle w:val="nfase"/>
          <w:rFonts w:eastAsiaTheme="majorEastAsia"/>
          <w:color w:val="000000"/>
        </w:rPr>
        <w:t>Shadow IT</w:t>
      </w:r>
      <w:r w:rsidRPr="006636C9">
        <w:rPr>
          <w:color w:val="000000"/>
        </w:rPr>
        <w:t>) para conseguir trabalhar com agilidade.</w:t>
      </w:r>
    </w:p>
    <w:p w14:paraId="1A0106AB" w14:textId="77777777" w:rsidR="006636C9" w:rsidRPr="006636C9" w:rsidRDefault="006636C9" w:rsidP="006636C9">
      <w:pPr>
        <w:pStyle w:val="NormalWeb"/>
        <w:spacing w:line="360" w:lineRule="auto"/>
        <w:ind w:firstLine="709"/>
        <w:jc w:val="both"/>
        <w:rPr>
          <w:color w:val="000000"/>
        </w:rPr>
      </w:pPr>
      <w:r w:rsidRPr="006636C9">
        <w:rPr>
          <w:rStyle w:val="citation-81"/>
          <w:rFonts w:eastAsiaTheme="majorEastAsia"/>
          <w:color w:val="000000"/>
        </w:rPr>
        <w:t>Por outro lado, as diretrizes 2 (</w:t>
      </w:r>
      <w:r w:rsidRPr="006636C9">
        <w:rPr>
          <w:color w:val="000000"/>
        </w:rPr>
        <w:t>Estruturar uma governança integrada e multidisciplinar</w:t>
      </w:r>
      <w:r w:rsidRPr="006636C9">
        <w:rPr>
          <w:rStyle w:val="citation-81"/>
          <w:rFonts w:eastAsiaTheme="majorEastAsia"/>
          <w:color w:val="000000"/>
        </w:rPr>
        <w:t>) e 3 (</w:t>
      </w:r>
      <w:r w:rsidRPr="006636C9">
        <w:rPr>
          <w:color w:val="000000"/>
        </w:rPr>
        <w:t>Adotar uma comunicação de segurança da informação contínua e contextualizada</w:t>
      </w:r>
      <w:r w:rsidRPr="006636C9">
        <w:rPr>
          <w:rStyle w:val="citation-81"/>
          <w:rFonts w:eastAsiaTheme="majorEastAsia"/>
          <w:color w:val="000000"/>
        </w:rPr>
        <w:t xml:space="preserve">) resolvem o lado humano e cultural do problema, que, como demonstrado por </w:t>
      </w:r>
      <w:proofErr w:type="spellStart"/>
      <w:r w:rsidRPr="006636C9">
        <w:rPr>
          <w:rStyle w:val="citation-81"/>
          <w:rFonts w:eastAsiaTheme="majorEastAsia"/>
          <w:color w:val="000000"/>
        </w:rPr>
        <w:t>Failla</w:t>
      </w:r>
      <w:proofErr w:type="spellEnd"/>
      <w:r w:rsidRPr="006636C9">
        <w:rPr>
          <w:rStyle w:val="citation-81"/>
          <w:rFonts w:eastAsiaTheme="majorEastAsia"/>
          <w:color w:val="000000"/>
        </w:rPr>
        <w:t xml:space="preserve"> (2020)</w:t>
      </w:r>
      <w:r w:rsidRPr="006636C9">
        <w:rPr>
          <w:rStyle w:val="citation-80"/>
          <w:rFonts w:eastAsiaTheme="majorEastAsia"/>
          <w:color w:val="000000"/>
        </w:rPr>
        <w:t xml:space="preserve">, influencia diretamente os resultados da governança de segurança. A criação de um comitê com membros de várias áreas quebra os silos e o conflito de visões entre negócio e tecnologia. A diretriz 3, em particular, oferece uma solução prática para a falha dos métodos tradicionais de comunicação apontada por </w:t>
      </w:r>
      <w:proofErr w:type="spellStart"/>
      <w:r w:rsidRPr="006636C9">
        <w:rPr>
          <w:rStyle w:val="citation-80"/>
          <w:rFonts w:eastAsiaTheme="majorEastAsia"/>
          <w:color w:val="000000"/>
        </w:rPr>
        <w:t>Pham</w:t>
      </w:r>
      <w:proofErr w:type="spellEnd"/>
      <w:r w:rsidRPr="006636C9">
        <w:rPr>
          <w:rStyle w:val="citation-80"/>
          <w:rFonts w:eastAsiaTheme="majorEastAsia"/>
          <w:color w:val="000000"/>
        </w:rPr>
        <w:t xml:space="preserve"> </w:t>
      </w:r>
      <w:r w:rsidRPr="006636C9">
        <w:rPr>
          <w:rStyle w:val="citation-80"/>
          <w:rFonts w:eastAsiaTheme="majorEastAsia"/>
          <w:i/>
          <w:iCs/>
          <w:color w:val="000000"/>
        </w:rPr>
        <w:t>et al.</w:t>
      </w:r>
      <w:r w:rsidRPr="006636C9">
        <w:rPr>
          <w:rStyle w:val="apple-converted-space"/>
          <w:rFonts w:eastAsiaTheme="majorEastAsia"/>
          <w:color w:val="000000"/>
        </w:rPr>
        <w:t> </w:t>
      </w:r>
      <w:r w:rsidRPr="006636C9">
        <w:rPr>
          <w:rStyle w:val="citation-80"/>
          <w:rFonts w:eastAsiaTheme="majorEastAsia"/>
          <w:color w:val="000000" w:themeColor="text1"/>
        </w:rPr>
        <w:t>(2021)</w:t>
      </w:r>
      <w:r w:rsidRPr="006636C9">
        <w:rPr>
          <w:color w:val="000000" w:themeColor="text1"/>
        </w:rPr>
        <w:t xml:space="preserve">. </w:t>
      </w:r>
      <w:r w:rsidRPr="006636C9">
        <w:rPr>
          <w:color w:val="000000"/>
        </w:rPr>
        <w:t>Ao propor a criação de</w:t>
      </w:r>
      <w:r w:rsidRPr="006636C9">
        <w:rPr>
          <w:rStyle w:val="apple-converted-space"/>
          <w:rFonts w:eastAsiaTheme="majorEastAsia"/>
          <w:color w:val="000000"/>
        </w:rPr>
        <w:t> “</w:t>
      </w:r>
      <w:r w:rsidRPr="006636C9">
        <w:rPr>
          <w:rStyle w:val="apple-converted-space"/>
          <w:rFonts w:eastAsiaTheme="majorEastAsia"/>
          <w:i/>
          <w:iCs/>
          <w:color w:val="000000"/>
        </w:rPr>
        <w:t xml:space="preserve">Security </w:t>
      </w:r>
      <w:proofErr w:type="spellStart"/>
      <w:r w:rsidRPr="006636C9">
        <w:rPr>
          <w:rStyle w:val="apple-converted-space"/>
          <w:rFonts w:eastAsiaTheme="majorEastAsia"/>
          <w:i/>
          <w:iCs/>
          <w:color w:val="000000"/>
        </w:rPr>
        <w:t>Champions</w:t>
      </w:r>
      <w:proofErr w:type="spellEnd"/>
      <w:r w:rsidRPr="006636C9">
        <w:rPr>
          <w:rStyle w:val="apple-converted-space"/>
          <w:rFonts w:eastAsiaTheme="majorEastAsia"/>
          <w:color w:val="000000"/>
        </w:rPr>
        <w:t>”</w:t>
      </w:r>
      <w:r w:rsidRPr="006636C9">
        <w:rPr>
          <w:color w:val="000000"/>
        </w:rPr>
        <w:t>, a diretriz implementa um canal de ajuda e compartilhamento de conhecimento baseado na confiança e no contexto do dia a dia exatamente os elementos que, segundo a pesquisa, funcionam melhor que os treinamentos formais.</w:t>
      </w:r>
    </w:p>
    <w:p w14:paraId="34698160" w14:textId="77777777" w:rsidR="006636C9" w:rsidRPr="006636C9" w:rsidRDefault="006636C9" w:rsidP="006636C9">
      <w:pPr>
        <w:pStyle w:val="NormalWeb"/>
        <w:spacing w:line="360" w:lineRule="auto"/>
        <w:ind w:firstLine="709"/>
        <w:jc w:val="both"/>
        <w:rPr>
          <w:color w:val="000000"/>
        </w:rPr>
      </w:pPr>
      <w:r w:rsidRPr="006636C9">
        <w:rPr>
          <w:color w:val="000000"/>
        </w:rPr>
        <w:t>O verdadeiro resultado, portanto, não vem da aplicação isolada de cada diretriz, mas do seu trabalho em conjunto. A Governança Corporativa define as regras para a classificação do conhecimento; essa classificação guia a configuração das tecnologias; e todo o sistema é fortalecido por uma cultura de comunicação e responsabilidade. Ao operar de forma integrada, este framework transforma o conflito cultural em alinhamento estratégico, permitindo que as organizações inovem com velocidade e segurança.</w:t>
      </w:r>
    </w:p>
    <w:p w14:paraId="4E94FCA4" w14:textId="77777777" w:rsidR="006636C9" w:rsidRPr="006636C9" w:rsidRDefault="006636C9" w:rsidP="006636C9">
      <w:pPr>
        <w:pStyle w:val="NormalWeb"/>
        <w:numPr>
          <w:ilvl w:val="0"/>
          <w:numId w:val="8"/>
        </w:numPr>
        <w:spacing w:line="360" w:lineRule="auto"/>
        <w:ind w:left="0" w:firstLine="0"/>
        <w:jc w:val="both"/>
        <w:rPr>
          <w:b/>
          <w:bCs/>
          <w:color w:val="000000"/>
          <w:sz w:val="28"/>
          <w:szCs w:val="28"/>
        </w:rPr>
      </w:pPr>
      <w:r w:rsidRPr="006636C9">
        <w:rPr>
          <w:b/>
          <w:bCs/>
          <w:color w:val="000000"/>
          <w:sz w:val="28"/>
          <w:szCs w:val="28"/>
        </w:rPr>
        <w:t>CONSIDERAÇÕES FINAIS E IMPLICAÇÕES</w:t>
      </w:r>
    </w:p>
    <w:p w14:paraId="44AD0555" w14:textId="4CF1A890" w:rsidR="006636C9" w:rsidRPr="006636C9" w:rsidRDefault="008F5F9F" w:rsidP="006636C9">
      <w:pPr>
        <w:pStyle w:val="NormalWeb"/>
        <w:spacing w:line="360" w:lineRule="auto"/>
        <w:jc w:val="both"/>
        <w:rPr>
          <w:rStyle w:val="apple-converted-space"/>
          <w:rFonts w:eastAsiaTheme="majorEastAsia"/>
          <w:b/>
          <w:bCs/>
          <w:color w:val="000000"/>
        </w:rPr>
      </w:pPr>
      <w:r w:rsidRPr="008F5F9F">
        <w:rPr>
          <w:rStyle w:val="Forte"/>
          <w:rFonts w:eastAsiaTheme="majorEastAsia"/>
          <w:b w:val="0"/>
          <w:bCs w:val="0"/>
          <w:color w:val="000000"/>
        </w:rPr>
        <w:t xml:space="preserve">5.1 </w:t>
      </w:r>
      <w:r w:rsidRPr="008F5F9F">
        <w:rPr>
          <w:rStyle w:val="Forte"/>
          <w:rFonts w:eastAsiaTheme="majorEastAsia"/>
          <w:b w:val="0"/>
          <w:bCs w:val="0"/>
          <w:color w:val="000000"/>
        </w:rPr>
        <w:tab/>
      </w:r>
      <w:r>
        <w:rPr>
          <w:rStyle w:val="Forte"/>
          <w:rFonts w:eastAsiaTheme="majorEastAsia"/>
          <w:b w:val="0"/>
          <w:bCs w:val="0"/>
          <w:color w:val="000000"/>
        </w:rPr>
        <w:t>C</w:t>
      </w:r>
      <w:r w:rsidRPr="008F5F9F">
        <w:rPr>
          <w:rStyle w:val="Forte"/>
          <w:rFonts w:eastAsiaTheme="majorEastAsia"/>
          <w:b w:val="0"/>
          <w:bCs w:val="0"/>
          <w:color w:val="000000"/>
        </w:rPr>
        <w:t>ONTRIBUIÇÃO DO TRABALHO</w:t>
      </w:r>
      <w:r w:rsidRPr="006636C9">
        <w:rPr>
          <w:rStyle w:val="apple-converted-space"/>
          <w:rFonts w:eastAsiaTheme="majorEastAsia"/>
          <w:b/>
          <w:bCs/>
          <w:color w:val="000000"/>
        </w:rPr>
        <w:t> </w:t>
      </w:r>
    </w:p>
    <w:p w14:paraId="3CB25AFB" w14:textId="77777777" w:rsidR="006636C9" w:rsidRPr="006636C9" w:rsidRDefault="006636C9" w:rsidP="006636C9">
      <w:pPr>
        <w:pStyle w:val="NormalWeb"/>
        <w:spacing w:line="360" w:lineRule="auto"/>
        <w:ind w:firstLine="709"/>
        <w:jc w:val="both"/>
        <w:rPr>
          <w:color w:val="000000"/>
        </w:rPr>
      </w:pPr>
      <w:r w:rsidRPr="006636C9">
        <w:rPr>
          <w:color w:val="000000"/>
        </w:rPr>
        <w:t xml:space="preserve">Este artigo abordou o conflito estratégico entre a necessidade de colaboração aberta e a exigência de proteção rigorosa da informação e do conhecimento. A principal contribuição é um framework de quatro diretrizes práticas e integradas, que oferece um modelo conceitual para que as organizações transformem a tensão entre agilidade e controle em sinergia, promovendo um ambiente de inovação fortalecido pelas boas práticas de GC. </w:t>
      </w:r>
    </w:p>
    <w:p w14:paraId="21592581" w14:textId="4601DB64" w:rsidR="006636C9" w:rsidRPr="006636C9" w:rsidRDefault="006636C9" w:rsidP="006636C9">
      <w:pPr>
        <w:pStyle w:val="NormalWeb"/>
        <w:spacing w:line="360" w:lineRule="auto"/>
        <w:ind w:firstLine="709"/>
        <w:jc w:val="both"/>
        <w:rPr>
          <w:color w:val="000000"/>
        </w:rPr>
      </w:pPr>
      <w:r w:rsidRPr="006636C9">
        <w:rPr>
          <w:color w:val="000000"/>
        </w:rPr>
        <w:t>Para as organizações</w:t>
      </w:r>
      <w:r w:rsidR="008F5F9F">
        <w:rPr>
          <w:color w:val="000000"/>
        </w:rPr>
        <w:t>,</w:t>
      </w:r>
      <w:r w:rsidRPr="006636C9">
        <w:rPr>
          <w:color w:val="000000"/>
        </w:rPr>
        <w:t xml:space="preserve"> este trabalho contribui abordando o dilema vivido pelas empresas modernas: equilibrar a inovação baseada em compartilhamento de conhecimento com a necessidade de proteger ativos digitais. A proposta central do trabalho visa criar um ambiente </w:t>
      </w:r>
      <w:r w:rsidRPr="006636C9">
        <w:rPr>
          <w:color w:val="000000"/>
        </w:rPr>
        <w:lastRenderedPageBreak/>
        <w:t>colaborativo e seguro. O framework proposto fornece quatro diretrizes práticas, como a classificação estratégica da informação, governança integrada, comunicação contextualizada e práticas de GC, capazes de minimizar atritos operacionais e culturais, promovendo agilidade com proteção. Assim, a GC torna-se um pilar estratégico da Governança Corporativa, promovendo inovação, vantagem competitiva e mitigação de riscos digitais.</w:t>
      </w:r>
    </w:p>
    <w:p w14:paraId="740082ED" w14:textId="504A5F3F" w:rsidR="006636C9" w:rsidRPr="006636C9" w:rsidRDefault="006636C9" w:rsidP="006636C9">
      <w:pPr>
        <w:pStyle w:val="NormalWeb"/>
        <w:spacing w:line="360" w:lineRule="auto"/>
        <w:ind w:firstLine="709"/>
        <w:jc w:val="both"/>
        <w:rPr>
          <w:color w:val="000000"/>
        </w:rPr>
      </w:pPr>
      <w:r w:rsidRPr="006636C9">
        <w:rPr>
          <w:color w:val="000000"/>
        </w:rPr>
        <w:t>Como contribuição para a academia</w:t>
      </w:r>
      <w:r w:rsidR="008F5F9F">
        <w:rPr>
          <w:color w:val="000000"/>
        </w:rPr>
        <w:t>,</w:t>
      </w:r>
      <w:r w:rsidRPr="006636C9">
        <w:rPr>
          <w:color w:val="000000"/>
        </w:rPr>
        <w:t xml:space="preserve"> o texto é fundamentado em uma base bibliográfica sólida, com autores como </w:t>
      </w:r>
      <w:proofErr w:type="spellStart"/>
      <w:r w:rsidRPr="006636C9">
        <w:rPr>
          <w:color w:val="000000"/>
        </w:rPr>
        <w:t>Nonaka</w:t>
      </w:r>
      <w:proofErr w:type="spellEnd"/>
      <w:r w:rsidRPr="006636C9">
        <w:rPr>
          <w:color w:val="000000"/>
        </w:rPr>
        <w:t xml:space="preserve"> e </w:t>
      </w:r>
      <w:proofErr w:type="spellStart"/>
      <w:r w:rsidRPr="006636C9">
        <w:rPr>
          <w:color w:val="000000"/>
        </w:rPr>
        <w:t>Takeuchi</w:t>
      </w:r>
      <w:proofErr w:type="spellEnd"/>
      <w:r w:rsidRPr="006636C9">
        <w:rPr>
          <w:color w:val="000000"/>
        </w:rPr>
        <w:t xml:space="preserve">, </w:t>
      </w:r>
      <w:proofErr w:type="spellStart"/>
      <w:r w:rsidRPr="006636C9">
        <w:rPr>
          <w:color w:val="000000"/>
        </w:rPr>
        <w:t>Zuboff</w:t>
      </w:r>
      <w:proofErr w:type="spellEnd"/>
      <w:r w:rsidRPr="006636C9">
        <w:rPr>
          <w:color w:val="000000"/>
        </w:rPr>
        <w:t xml:space="preserve">, </w:t>
      </w:r>
      <w:proofErr w:type="spellStart"/>
      <w:r w:rsidRPr="006636C9">
        <w:rPr>
          <w:color w:val="000000"/>
        </w:rPr>
        <w:t>Lam</w:t>
      </w:r>
      <w:proofErr w:type="spellEnd"/>
      <w:r w:rsidRPr="006636C9">
        <w:rPr>
          <w:color w:val="000000"/>
        </w:rPr>
        <w:t>, entre outros, abordando o entrelaçamento de temas emergentes como economia da vigilância, cultura organizacional e segurança da informação. O trabalho avança ao propor um modelo prático que responde criticamente a lacunas apontadas na literatura, como a ineficácia de treinamentos formais ou as barreiras culturais na segurança. Oferece também um diálogo entre frameworks internacionais (ISO 27001, NIST CSF) e nacionais (MRGC-SBGC), promovendo uma visão integrada e aplicada da GC à segurança cibernética, que pode inspirar futuras pesquisas interdisciplinares.</w:t>
      </w:r>
    </w:p>
    <w:p w14:paraId="52ABBFB9" w14:textId="4D398D3E" w:rsidR="006636C9" w:rsidRPr="006636C9" w:rsidRDefault="006636C9" w:rsidP="006636C9">
      <w:pPr>
        <w:pStyle w:val="NormalWeb"/>
        <w:spacing w:line="360" w:lineRule="auto"/>
        <w:ind w:firstLine="709"/>
        <w:jc w:val="both"/>
        <w:rPr>
          <w:color w:val="000000"/>
        </w:rPr>
      </w:pPr>
      <w:r w:rsidRPr="006636C9">
        <w:rPr>
          <w:color w:val="000000"/>
        </w:rPr>
        <w:t>Já para a sociedade</w:t>
      </w:r>
      <w:r w:rsidR="008F5F9F">
        <w:rPr>
          <w:color w:val="000000"/>
        </w:rPr>
        <w:t>,</w:t>
      </w:r>
      <w:r w:rsidRPr="006636C9">
        <w:rPr>
          <w:color w:val="000000"/>
        </w:rPr>
        <w:t xml:space="preserve"> a pesquisa mostra que a digitalização crescente e o trabalho remoto elevaram a importância da proteção de dados pessoais e da cultura de segurança. O texto alerta para riscos crescentes como fraudes e vazamentos de dados, que impactam não apenas empresas, mas a sociedade como um todo. Além disso, expõe tensões culturais em torno da transparência e </w:t>
      </w:r>
      <w:r w:rsidR="008F5F9F">
        <w:rPr>
          <w:color w:val="000000"/>
        </w:rPr>
        <w:t xml:space="preserve">do </w:t>
      </w:r>
      <w:r w:rsidRPr="006636C9">
        <w:rPr>
          <w:color w:val="000000"/>
        </w:rPr>
        <w:t>compartilhamento de incidentes, destacando como a relutância em aderir a normativas pode prejudicar o ecossistema de segurança. Ao propor um conjunto de diretrizes como modelo de governança integrada, o trabalho contribui para o fortalecimento da confiança pública, da cidadania digital e da proteção coletiva na era da informação.</w:t>
      </w:r>
    </w:p>
    <w:p w14:paraId="21E6FF31" w14:textId="77777777" w:rsidR="006636C9" w:rsidRPr="006636C9" w:rsidRDefault="006636C9" w:rsidP="006636C9">
      <w:pPr>
        <w:pStyle w:val="NormalWeb"/>
        <w:spacing w:line="360" w:lineRule="auto"/>
        <w:jc w:val="both"/>
        <w:rPr>
          <w:rStyle w:val="apple-converted-space"/>
          <w:rFonts w:eastAsiaTheme="majorEastAsia"/>
          <w:b/>
          <w:bCs/>
          <w:color w:val="000000"/>
        </w:rPr>
      </w:pPr>
      <w:r w:rsidRPr="008F5F9F">
        <w:rPr>
          <w:rStyle w:val="Forte"/>
          <w:rFonts w:eastAsiaTheme="majorEastAsia"/>
          <w:b w:val="0"/>
          <w:bCs w:val="0"/>
          <w:color w:val="000000"/>
        </w:rPr>
        <w:t>5.2</w:t>
      </w:r>
      <w:r w:rsidRPr="006636C9">
        <w:rPr>
          <w:rStyle w:val="Forte"/>
          <w:rFonts w:eastAsiaTheme="majorEastAsia"/>
          <w:color w:val="000000"/>
        </w:rPr>
        <w:t xml:space="preserve"> </w:t>
      </w:r>
      <w:r w:rsidRPr="006636C9">
        <w:rPr>
          <w:rStyle w:val="Forte"/>
          <w:rFonts w:eastAsiaTheme="majorEastAsia"/>
          <w:color w:val="000000"/>
        </w:rPr>
        <w:tab/>
      </w:r>
      <w:r w:rsidRPr="008F5F9F">
        <w:rPr>
          <w:rStyle w:val="Forte"/>
          <w:rFonts w:eastAsiaTheme="majorEastAsia"/>
          <w:b w:val="0"/>
          <w:bCs w:val="0"/>
          <w:color w:val="000000"/>
        </w:rPr>
        <w:t>IMPLICAÇÕES TEÓRICAS E PRÁTICAS</w:t>
      </w:r>
      <w:r w:rsidRPr="006636C9">
        <w:rPr>
          <w:rStyle w:val="apple-converted-space"/>
          <w:rFonts w:eastAsiaTheme="majorEastAsia"/>
          <w:b/>
          <w:bCs/>
          <w:color w:val="000000"/>
        </w:rPr>
        <w:t> </w:t>
      </w:r>
    </w:p>
    <w:p w14:paraId="35D8AC41" w14:textId="77777777" w:rsidR="006636C9" w:rsidRPr="006636C9" w:rsidRDefault="006636C9" w:rsidP="006636C9">
      <w:pPr>
        <w:pStyle w:val="NormalWeb"/>
        <w:spacing w:line="360" w:lineRule="auto"/>
        <w:ind w:firstLine="709"/>
        <w:jc w:val="both"/>
        <w:rPr>
          <w:color w:val="000000"/>
        </w:rPr>
      </w:pPr>
      <w:r w:rsidRPr="006636C9">
        <w:rPr>
          <w:color w:val="000000"/>
        </w:rPr>
        <w:t>Teoricamente, o trabalho avança ao sintetizar frameworks de GTI (COBIT 19), de gestão de segurança (ISO 27001) e de risco (NIST CSF), aplicando-os a um problema cultural e organizacional específico. Na prática, as diretrizes oferecem um roteiro claro para a implementação dos pilares da GC, como políticas de classificação, governança multidisciplinar, comunicação eficaz e uso de tecnologias flexíveis, servindo como um guia para gestores.</w:t>
      </w:r>
    </w:p>
    <w:p w14:paraId="54550EF5" w14:textId="77777777" w:rsidR="006636C9" w:rsidRPr="008F5F9F" w:rsidRDefault="006636C9" w:rsidP="006636C9">
      <w:pPr>
        <w:pStyle w:val="NormalWeb"/>
        <w:spacing w:line="360" w:lineRule="auto"/>
        <w:jc w:val="both"/>
        <w:rPr>
          <w:rStyle w:val="apple-converted-space"/>
          <w:rFonts w:eastAsiaTheme="majorEastAsia"/>
          <w:b/>
          <w:bCs/>
          <w:color w:val="000000"/>
        </w:rPr>
      </w:pPr>
      <w:r w:rsidRPr="008F5F9F">
        <w:rPr>
          <w:rStyle w:val="Forte"/>
          <w:rFonts w:eastAsiaTheme="majorEastAsia"/>
          <w:b w:val="0"/>
          <w:bCs w:val="0"/>
          <w:color w:val="000000"/>
        </w:rPr>
        <w:t xml:space="preserve">5.3 </w:t>
      </w:r>
      <w:r w:rsidRPr="008F5F9F">
        <w:rPr>
          <w:rStyle w:val="Forte"/>
          <w:rFonts w:eastAsiaTheme="majorEastAsia"/>
          <w:b w:val="0"/>
          <w:bCs w:val="0"/>
          <w:color w:val="000000"/>
        </w:rPr>
        <w:tab/>
        <w:t>IMPLICAÇÕES GERENCIAIS</w:t>
      </w:r>
      <w:r w:rsidRPr="008F5F9F">
        <w:rPr>
          <w:rStyle w:val="apple-converted-space"/>
          <w:rFonts w:eastAsiaTheme="majorEastAsia"/>
          <w:b/>
          <w:bCs/>
          <w:color w:val="000000"/>
        </w:rPr>
        <w:t> </w:t>
      </w:r>
    </w:p>
    <w:p w14:paraId="5E2BA292" w14:textId="77777777" w:rsidR="006636C9" w:rsidRPr="006636C9" w:rsidRDefault="006636C9" w:rsidP="006636C9">
      <w:pPr>
        <w:pStyle w:val="NormalWeb"/>
        <w:spacing w:line="360" w:lineRule="auto"/>
        <w:ind w:firstLine="709"/>
        <w:jc w:val="both"/>
        <w:rPr>
          <w:color w:val="000000"/>
        </w:rPr>
      </w:pPr>
      <w:r w:rsidRPr="006636C9">
        <w:rPr>
          <w:color w:val="000000"/>
        </w:rPr>
        <w:lastRenderedPageBreak/>
        <w:t>Para os gestores, a adoção deste framework permite que a área de segurança da informação e Cibersegurança transcenda o papel de barreira e se tornem parceiras estratégicas do negócio. As diretrizes fornecem uma linguagem comum para o diálogo entre TI e áreas de negócio, facilitando a justificativa de investimentos e o alinhamento de metas, resultando em maior agilidade e resiliência organizacional.</w:t>
      </w:r>
    </w:p>
    <w:p w14:paraId="4B08A583" w14:textId="77777777" w:rsidR="006636C9" w:rsidRPr="008F5F9F" w:rsidRDefault="006636C9" w:rsidP="006636C9">
      <w:pPr>
        <w:pStyle w:val="NormalWeb"/>
        <w:spacing w:line="360" w:lineRule="auto"/>
        <w:jc w:val="both"/>
        <w:rPr>
          <w:rStyle w:val="apple-converted-space"/>
          <w:rFonts w:eastAsiaTheme="majorEastAsia"/>
          <w:b/>
          <w:bCs/>
          <w:color w:val="000000"/>
        </w:rPr>
      </w:pPr>
      <w:r w:rsidRPr="008F5F9F">
        <w:rPr>
          <w:rStyle w:val="Forte"/>
          <w:rFonts w:eastAsiaTheme="majorEastAsia"/>
          <w:b w:val="0"/>
          <w:bCs w:val="0"/>
          <w:color w:val="000000"/>
        </w:rPr>
        <w:t xml:space="preserve">5.4 </w:t>
      </w:r>
      <w:r w:rsidRPr="008F5F9F">
        <w:rPr>
          <w:rStyle w:val="Forte"/>
          <w:rFonts w:eastAsiaTheme="majorEastAsia"/>
          <w:b w:val="0"/>
          <w:bCs w:val="0"/>
          <w:color w:val="000000"/>
        </w:rPr>
        <w:tab/>
        <w:t>LIMITAÇÕES DA PESQUISA E ESTUDOS FUTUROS</w:t>
      </w:r>
      <w:r w:rsidRPr="008F5F9F">
        <w:rPr>
          <w:rStyle w:val="apple-converted-space"/>
          <w:rFonts w:eastAsiaTheme="majorEastAsia"/>
          <w:b/>
          <w:bCs/>
          <w:color w:val="000000"/>
        </w:rPr>
        <w:t> </w:t>
      </w:r>
    </w:p>
    <w:p w14:paraId="25C270B4" w14:textId="77777777" w:rsidR="006636C9" w:rsidRPr="006636C9" w:rsidRDefault="006636C9" w:rsidP="006636C9">
      <w:pPr>
        <w:pStyle w:val="NormalWeb"/>
        <w:spacing w:line="360" w:lineRule="auto"/>
        <w:ind w:firstLine="709"/>
        <w:jc w:val="both"/>
        <w:rPr>
          <w:rStyle w:val="apple-converted-space"/>
          <w:rFonts w:eastAsiaTheme="majorEastAsia"/>
          <w:color w:val="000000"/>
        </w:rPr>
      </w:pPr>
      <w:r w:rsidRPr="006636C9">
        <w:rPr>
          <w:color w:val="000000"/>
        </w:rPr>
        <w:t>A principal limitação deste estudo reside em sua natureza teórica e conceitual.</w:t>
      </w:r>
      <w:r w:rsidRPr="006636C9">
        <w:rPr>
          <w:rStyle w:val="apple-converted-space"/>
          <w:rFonts w:eastAsiaTheme="majorEastAsia"/>
          <w:color w:val="000000"/>
        </w:rPr>
        <w:t> </w:t>
      </w:r>
      <w:r w:rsidRPr="006636C9">
        <w:rPr>
          <w:rStyle w:val="citation-107"/>
          <w:rFonts w:eastAsiaTheme="majorEastAsia"/>
          <w:color w:val="000000"/>
        </w:rPr>
        <w:t>O framework de diretrizes proposto foi desenvolvido a partir de uma análise teórica e da síntese de boas práticas, sem uma validação empírica em um ambiente organizacional real</w:t>
      </w:r>
      <w:r w:rsidRPr="006636C9">
        <w:rPr>
          <w:color w:val="000000"/>
        </w:rPr>
        <w:t>.</w:t>
      </w:r>
      <w:r w:rsidRPr="006636C9">
        <w:rPr>
          <w:rStyle w:val="apple-converted-space"/>
          <w:rFonts w:eastAsiaTheme="majorEastAsia"/>
          <w:color w:val="000000"/>
        </w:rPr>
        <w:t> </w:t>
      </w:r>
      <w:r w:rsidRPr="006636C9">
        <w:rPr>
          <w:rStyle w:val="citation-106"/>
          <w:rFonts w:eastAsiaTheme="majorEastAsia"/>
          <w:color w:val="000000"/>
        </w:rPr>
        <w:t>Como consequência, a eficácia e a aplicabilidade das diretrizes podem variar significativamente conforme o contexto, a indústria, o porte e, principalmente, a cultura de cada organização</w:t>
      </w:r>
      <w:r w:rsidRPr="006636C9">
        <w:rPr>
          <w:color w:val="000000"/>
        </w:rPr>
        <w:t>.</w:t>
      </w:r>
      <w:r w:rsidRPr="006636C9">
        <w:rPr>
          <w:rStyle w:val="apple-converted-space"/>
          <w:rFonts w:eastAsiaTheme="majorEastAsia"/>
          <w:color w:val="000000"/>
        </w:rPr>
        <w:t> </w:t>
      </w:r>
    </w:p>
    <w:p w14:paraId="2F6A6243" w14:textId="77777777" w:rsidR="006636C9" w:rsidRPr="006636C9" w:rsidRDefault="006636C9" w:rsidP="006636C9">
      <w:pPr>
        <w:pStyle w:val="NormalWeb"/>
        <w:spacing w:line="360" w:lineRule="auto"/>
        <w:ind w:firstLine="709"/>
        <w:jc w:val="both"/>
        <w:rPr>
          <w:rStyle w:val="citation-105"/>
          <w:rFonts w:eastAsiaTheme="majorEastAsia"/>
          <w:color w:val="000000"/>
        </w:rPr>
      </w:pPr>
      <w:r w:rsidRPr="006636C9">
        <w:rPr>
          <w:rStyle w:val="citation-105"/>
          <w:rFonts w:eastAsiaTheme="majorEastAsia"/>
          <w:color w:val="000000"/>
        </w:rPr>
        <w:t xml:space="preserve">A dissertação de </w:t>
      </w:r>
      <w:proofErr w:type="spellStart"/>
      <w:r w:rsidRPr="006636C9">
        <w:rPr>
          <w:rStyle w:val="citation-105"/>
          <w:rFonts w:eastAsiaTheme="majorEastAsia"/>
          <w:color w:val="000000"/>
        </w:rPr>
        <w:t>Failla</w:t>
      </w:r>
      <w:proofErr w:type="spellEnd"/>
      <w:r w:rsidRPr="006636C9">
        <w:rPr>
          <w:rStyle w:val="citation-105"/>
          <w:rFonts w:eastAsiaTheme="majorEastAsia"/>
          <w:color w:val="000000"/>
        </w:rPr>
        <w:t xml:space="preserve"> (2020), por exemplo, destaca como diferentes dimensões culturais podem impactar os resultados da governança de Cibersegurança, reforçando que uma abordagem única pode não ser universalmente eficaz.</w:t>
      </w:r>
    </w:p>
    <w:p w14:paraId="1F487903" w14:textId="77777777" w:rsidR="006636C9" w:rsidRPr="006636C9" w:rsidRDefault="006636C9" w:rsidP="006636C9">
      <w:pPr>
        <w:pStyle w:val="NormalWeb"/>
        <w:spacing w:line="360" w:lineRule="auto"/>
        <w:ind w:firstLine="709"/>
        <w:jc w:val="both"/>
      </w:pPr>
      <w:r w:rsidRPr="006636C9">
        <w:t>Propõe-se como trabalho futuro a criação de um instrumento de pesquisa quantitativo (como um questionário de avaliação) baseado nas diretrizes do framework proposto.</w:t>
      </w:r>
      <w:r w:rsidRPr="006636C9">
        <w:rPr>
          <w:rStyle w:val="apple-converted-space"/>
          <w:rFonts w:eastAsiaTheme="majorEastAsia"/>
        </w:rPr>
        <w:t> </w:t>
      </w:r>
      <w:r w:rsidRPr="006636C9">
        <w:rPr>
          <w:rStyle w:val="citation-103"/>
          <w:rFonts w:eastAsiaTheme="majorEastAsia"/>
        </w:rPr>
        <w:t>Esse instrumento permitirá a realização de pesquisas em larga escala para mensurar o nível de maturidade das organizações em cada uma das quatro dimensões</w:t>
      </w:r>
      <w:r w:rsidRPr="006636C9">
        <w:rPr>
          <w:rStyle w:val="citation-102"/>
          <w:rFonts w:eastAsiaTheme="majorEastAsia"/>
        </w:rPr>
        <w:t xml:space="preserve">. Será possível, então, correlacionar estatisticamente esses níveis de maturidade com indicadores de negócio, como a quantidade de incidentes de segurança, o tempo de resposta a ameaças e até mesmo métricas de inovação, validando quantitativamente os achados do estudo, uma direção também apontada por </w:t>
      </w:r>
      <w:proofErr w:type="spellStart"/>
      <w:r w:rsidRPr="006636C9">
        <w:rPr>
          <w:rStyle w:val="citation-102"/>
          <w:rFonts w:eastAsiaTheme="majorEastAsia"/>
        </w:rPr>
        <w:t>Pham</w:t>
      </w:r>
      <w:proofErr w:type="spellEnd"/>
      <w:r w:rsidRPr="006636C9">
        <w:rPr>
          <w:rStyle w:val="citation-102"/>
          <w:rFonts w:eastAsiaTheme="majorEastAsia"/>
        </w:rPr>
        <w:t xml:space="preserve"> </w:t>
      </w:r>
      <w:r w:rsidRPr="006636C9">
        <w:rPr>
          <w:rStyle w:val="citation-102"/>
          <w:rFonts w:eastAsiaTheme="majorEastAsia"/>
          <w:i/>
          <w:iCs/>
        </w:rPr>
        <w:t>et al</w:t>
      </w:r>
      <w:r w:rsidRPr="006636C9">
        <w:rPr>
          <w:rStyle w:val="citation-102"/>
          <w:rFonts w:eastAsiaTheme="majorEastAsia"/>
        </w:rPr>
        <w:t>. (2021).</w:t>
      </w:r>
      <w:r w:rsidRPr="006636C9">
        <w:t xml:space="preserve"> </w:t>
      </w:r>
    </w:p>
    <w:p w14:paraId="3A57254F" w14:textId="77777777" w:rsidR="006636C9" w:rsidRPr="006636C9" w:rsidRDefault="006636C9" w:rsidP="006636C9">
      <w:pPr>
        <w:pStyle w:val="NormalWeb"/>
        <w:spacing w:line="360" w:lineRule="auto"/>
        <w:ind w:right="-1" w:firstLine="709"/>
        <w:jc w:val="both"/>
      </w:pPr>
      <w:r w:rsidRPr="006636C9">
        <w:t>Como o framework trabalha com a influência da cultura, pesquisas futuras poderão adotar um design experimental para testar o impacto de intervenções específicas. Por exemplo, um estudo poderá medir as mudanças no comportamento de segurança dos colaboradores antes e depois da implementação de um programa de "</w:t>
      </w:r>
      <w:r w:rsidRPr="006636C9">
        <w:rPr>
          <w:i/>
          <w:iCs/>
        </w:rPr>
        <w:t xml:space="preserve">Security </w:t>
      </w:r>
      <w:proofErr w:type="spellStart"/>
      <w:r w:rsidRPr="006636C9">
        <w:rPr>
          <w:i/>
          <w:iCs/>
        </w:rPr>
        <w:t>Champions</w:t>
      </w:r>
      <w:proofErr w:type="spellEnd"/>
      <w:r w:rsidRPr="006636C9">
        <w:t xml:space="preserve">" (Diretriz 3), avaliando se tal medida de fato aumenta a colaboração e a conformidade, conforme sugerido por </w:t>
      </w:r>
      <w:proofErr w:type="spellStart"/>
      <w:r w:rsidRPr="006636C9">
        <w:t>Failla</w:t>
      </w:r>
      <w:proofErr w:type="spellEnd"/>
      <w:r w:rsidRPr="006636C9">
        <w:t xml:space="preserve"> (2020) para testar a influência de dimensões culturais.</w:t>
      </w:r>
    </w:p>
    <w:p w14:paraId="3C3F0A89" w14:textId="77777777" w:rsidR="006636C9" w:rsidRPr="006636C9" w:rsidRDefault="006636C9" w:rsidP="006636C9">
      <w:pPr>
        <w:pStyle w:val="NormalWeb"/>
        <w:spacing w:line="360" w:lineRule="auto"/>
        <w:ind w:right="-1" w:firstLine="709"/>
        <w:jc w:val="both"/>
      </w:pPr>
      <w:r w:rsidRPr="006636C9">
        <w:lastRenderedPageBreak/>
        <w:t>A estrutura do framework foi postulada de forma flexível. Pesquisas futuras poderiam investigar como as diretrizes podem ser adaptadas para outros contextos regulatórios, como o GDPR na Europa ou a CCPA na Califórnia, avaliando sua aplicabilidade global. Essa internacionalização do modelo, como sugerido por Carvalho (2025), testaria sua resiliência e relevância em diferentes campos jurídicos e culturais.</w:t>
      </w:r>
    </w:p>
    <w:p w14:paraId="59840482" w14:textId="77777777" w:rsidR="006636C9" w:rsidRPr="006636C9" w:rsidRDefault="006636C9" w:rsidP="006636C9">
      <w:pPr>
        <w:pStyle w:val="NormalWeb"/>
        <w:numPr>
          <w:ilvl w:val="0"/>
          <w:numId w:val="8"/>
        </w:numPr>
        <w:spacing w:line="360" w:lineRule="auto"/>
        <w:ind w:left="0" w:firstLine="0"/>
        <w:jc w:val="both"/>
        <w:rPr>
          <w:b/>
          <w:bCs/>
          <w:color w:val="000000"/>
          <w:sz w:val="28"/>
          <w:szCs w:val="28"/>
        </w:rPr>
      </w:pPr>
      <w:r w:rsidRPr="006636C9">
        <w:rPr>
          <w:b/>
          <w:bCs/>
          <w:color w:val="000000"/>
          <w:sz w:val="28"/>
          <w:szCs w:val="28"/>
        </w:rPr>
        <w:t>REFERÊNCIAS</w:t>
      </w:r>
    </w:p>
    <w:p w14:paraId="38ADC7CB" w14:textId="77777777" w:rsidR="006636C9" w:rsidRPr="00773F0C" w:rsidRDefault="006636C9" w:rsidP="006708D1">
      <w:pPr>
        <w:autoSpaceDE w:val="0"/>
        <w:autoSpaceDN w:val="0"/>
        <w:adjustRightInd w:val="0"/>
        <w:rPr>
          <w:rFonts w:ascii="Times New Roman" w:hAnsi="Times New Roman" w:cs="Times New Roman"/>
          <w:color w:val="000000"/>
          <w:sz w:val="24"/>
          <w:szCs w:val="24"/>
          <w:lang w:val="en-US"/>
        </w:rPr>
      </w:pPr>
      <w:r w:rsidRPr="00773F0C">
        <w:rPr>
          <w:rFonts w:ascii="Times New Roman" w:eastAsiaTheme="majorEastAsia" w:hAnsi="Times New Roman" w:cs="Times New Roman"/>
          <w:color w:val="000000"/>
          <w:sz w:val="24"/>
          <w:szCs w:val="24"/>
          <w:lang w:val="en-US"/>
        </w:rPr>
        <w:t>ALSHAIKH, M.; MEHMOOD, S.; AMIN, R.; ALSUBAEI, F. S. The Impact of Cybersecurity Through Knowledge Sharing Practices: Limitations, Analysis of Current Trends and Future Research Directions. </w:t>
      </w:r>
      <w:r w:rsidRPr="00773F0C">
        <w:rPr>
          <w:rFonts w:ascii="Times New Roman" w:eastAsiaTheme="majorEastAsia" w:hAnsi="Times New Roman" w:cs="Times New Roman"/>
          <w:b/>
          <w:bCs/>
          <w:color w:val="000000"/>
          <w:sz w:val="24"/>
          <w:szCs w:val="24"/>
          <w:lang w:val="en-US"/>
        </w:rPr>
        <w:t>International Journal of Advanced Computer Science &amp; Applications</w:t>
      </w:r>
      <w:r w:rsidRPr="00773F0C">
        <w:rPr>
          <w:rFonts w:ascii="Times New Roman" w:eastAsiaTheme="majorEastAsia" w:hAnsi="Times New Roman" w:cs="Times New Roman"/>
          <w:color w:val="000000"/>
          <w:sz w:val="24"/>
          <w:szCs w:val="24"/>
          <w:lang w:val="en-US"/>
        </w:rPr>
        <w:t xml:space="preserve">, v. 16, no, 3, </w:t>
      </w:r>
      <w:r w:rsidRPr="00773F0C">
        <w:rPr>
          <w:rFonts w:ascii="Times New Roman" w:eastAsiaTheme="minorHAnsi" w:hAnsi="Times New Roman" w:cs="Times New Roman"/>
          <w:sz w:val="24"/>
          <w:szCs w:val="24"/>
          <w:lang w:val="en-US" w:eastAsia="en-US"/>
          <w14:ligatures w14:val="standardContextual"/>
        </w:rPr>
        <w:t>2025</w:t>
      </w:r>
      <w:r w:rsidRPr="00773F0C">
        <w:rPr>
          <w:rFonts w:ascii="Times New Roman" w:hAnsi="Times New Roman" w:cs="Times New Roman"/>
          <w:color w:val="000000"/>
          <w:sz w:val="24"/>
          <w:szCs w:val="24"/>
          <w:lang w:val="en-US"/>
        </w:rPr>
        <w:t>.</w:t>
      </w:r>
    </w:p>
    <w:p w14:paraId="58354519" w14:textId="77777777" w:rsidR="00773F0C" w:rsidRPr="00773F0C" w:rsidRDefault="00773F0C" w:rsidP="006708D1">
      <w:pPr>
        <w:pStyle w:val="NormalWeb"/>
        <w:rPr>
          <w:color w:val="000000"/>
        </w:rPr>
      </w:pPr>
      <w:r w:rsidRPr="00773F0C">
        <w:rPr>
          <w:color w:val="000000"/>
        </w:rPr>
        <w:t>ASSOCIAÇÃO BRASILEIRA DE NORMAS TÉCNICAS.</w:t>
      </w:r>
      <w:r w:rsidRPr="00773F0C">
        <w:rPr>
          <w:rStyle w:val="apple-converted-space"/>
          <w:color w:val="000000"/>
        </w:rPr>
        <w:t> </w:t>
      </w:r>
      <w:r w:rsidRPr="00773F0C">
        <w:rPr>
          <w:b/>
          <w:bCs/>
          <w:color w:val="000000"/>
        </w:rPr>
        <w:t>NBR ISO/IEC 27001: Segurança da informação, segurança cibernética e proteção de privacidade — Sistemas de gestão da segurança da informação — Requisitos</w:t>
      </w:r>
      <w:r w:rsidRPr="00773F0C">
        <w:rPr>
          <w:color w:val="000000"/>
        </w:rPr>
        <w:t>. Rio de Janeiro: ABNT, 2022.</w:t>
      </w:r>
    </w:p>
    <w:p w14:paraId="0EA8AF2B" w14:textId="77777777" w:rsidR="00773F0C" w:rsidRPr="00773F0C" w:rsidRDefault="00773F0C" w:rsidP="006708D1">
      <w:pPr>
        <w:pStyle w:val="NormalWeb"/>
        <w:rPr>
          <w:color w:val="000000"/>
        </w:rPr>
      </w:pPr>
      <w:r w:rsidRPr="00773F0C">
        <w:rPr>
          <w:color w:val="000000"/>
        </w:rPr>
        <w:t>ASSOCIAÇÃO BRASILEIRA DE NORMAS TÉCNICAS.</w:t>
      </w:r>
      <w:r w:rsidRPr="00773F0C">
        <w:rPr>
          <w:rStyle w:val="apple-converted-space"/>
          <w:color w:val="000000"/>
        </w:rPr>
        <w:t> </w:t>
      </w:r>
      <w:r w:rsidRPr="00773F0C">
        <w:rPr>
          <w:b/>
          <w:bCs/>
          <w:color w:val="000000"/>
        </w:rPr>
        <w:t>NBR ISO/IEC 27032: Tecnologia da informação — Técnicas de segurança — Diretrizes para a cibersegurança</w:t>
      </w:r>
      <w:r w:rsidRPr="00773F0C">
        <w:rPr>
          <w:color w:val="000000"/>
        </w:rPr>
        <w:t>. Rio de Janeiro: ABNT, 2023.</w:t>
      </w:r>
    </w:p>
    <w:p w14:paraId="7DD6850B" w14:textId="77777777" w:rsidR="006636C9" w:rsidRPr="006636C9" w:rsidRDefault="006636C9" w:rsidP="006708D1">
      <w:pPr>
        <w:pStyle w:val="NormalWeb"/>
        <w:rPr>
          <w:color w:val="000000"/>
        </w:rPr>
      </w:pPr>
      <w:r w:rsidRPr="008F5F9F">
        <w:rPr>
          <w:rStyle w:val="Forte"/>
          <w:rFonts w:eastAsiaTheme="majorEastAsia"/>
          <w:b w:val="0"/>
          <w:bCs w:val="0"/>
          <w:color w:val="000000"/>
          <w:lang w:val="en-US"/>
        </w:rPr>
        <w:t>BRASIL</w:t>
      </w:r>
      <w:r w:rsidRPr="006636C9">
        <w:rPr>
          <w:rStyle w:val="Forte"/>
          <w:rFonts w:eastAsiaTheme="majorEastAsia"/>
          <w:color w:val="000000"/>
          <w:lang w:val="en-US"/>
        </w:rPr>
        <w:t>.</w:t>
      </w:r>
      <w:r w:rsidRPr="006636C9">
        <w:rPr>
          <w:rStyle w:val="apple-converted-space"/>
          <w:rFonts w:eastAsiaTheme="majorEastAsia"/>
          <w:color w:val="000000"/>
          <w:lang w:val="en-US"/>
        </w:rPr>
        <w:t> </w:t>
      </w:r>
      <w:r w:rsidRPr="006636C9">
        <w:rPr>
          <w:color w:val="000000"/>
        </w:rPr>
        <w:t>Conselho Monetário Nacional. Resolução CMN nº 4.893, de 26 de fevereiro de 2021. Dispõe sobre a política de segurança cibernética e sobre os requisitos para a contratação de serviços de processamento e armazenamento de dados e de computação em nuvem a serem observados pelas instituições autorizadas a funcionar pelo Banco Central do Brasil.</w:t>
      </w:r>
      <w:r w:rsidRPr="006636C9">
        <w:rPr>
          <w:rStyle w:val="apple-converted-space"/>
          <w:rFonts w:eastAsiaTheme="majorEastAsia"/>
          <w:color w:val="000000"/>
        </w:rPr>
        <w:t> </w:t>
      </w:r>
      <w:r w:rsidRPr="006636C9">
        <w:rPr>
          <w:rStyle w:val="Forte"/>
          <w:rFonts w:eastAsiaTheme="majorEastAsia"/>
          <w:color w:val="000000"/>
        </w:rPr>
        <w:t>Diário Oficial da União</w:t>
      </w:r>
      <w:r w:rsidRPr="006636C9">
        <w:rPr>
          <w:color w:val="000000"/>
        </w:rPr>
        <w:t>, Brasília, DF, 2 mar. 2021.</w:t>
      </w:r>
    </w:p>
    <w:p w14:paraId="29BAF015" w14:textId="77777777" w:rsidR="006636C9" w:rsidRPr="006636C9" w:rsidRDefault="006636C9" w:rsidP="006708D1">
      <w:pPr>
        <w:pStyle w:val="NormalWeb"/>
        <w:rPr>
          <w:color w:val="000000"/>
          <w:lang w:val="en-US"/>
        </w:rPr>
      </w:pPr>
      <w:r w:rsidRPr="008F5F9F">
        <w:rPr>
          <w:rStyle w:val="Forte"/>
          <w:rFonts w:eastAsiaTheme="majorEastAsia"/>
          <w:b w:val="0"/>
          <w:bCs w:val="0"/>
          <w:color w:val="000000"/>
        </w:rPr>
        <w:t xml:space="preserve">CARVALHO, R. J. C. </w:t>
      </w:r>
      <w:r w:rsidRPr="007360DD">
        <w:rPr>
          <w:rStyle w:val="Forte"/>
          <w:rFonts w:eastAsiaTheme="majorEastAsia"/>
          <w:color w:val="000000"/>
        </w:rPr>
        <w:t>Integração entre ISO 27001:2022 e NIST CSF 2.0</w:t>
      </w:r>
      <w:r w:rsidRPr="007360DD">
        <w:rPr>
          <w:color w:val="000000"/>
        </w:rPr>
        <w:t>: proposta de modelo híbrido para adequação à LGPD</w:t>
      </w:r>
      <w:r w:rsidRPr="006636C9">
        <w:rPr>
          <w:color w:val="000000"/>
        </w:rPr>
        <w:t xml:space="preserve">. 2025. </w:t>
      </w:r>
      <w:proofErr w:type="spellStart"/>
      <w:r w:rsidRPr="006636C9">
        <w:rPr>
          <w:color w:val="000000"/>
          <w:lang w:val="en-US"/>
        </w:rPr>
        <w:t>Dissertação</w:t>
      </w:r>
      <w:proofErr w:type="spellEnd"/>
      <w:r w:rsidRPr="006636C9">
        <w:rPr>
          <w:color w:val="000000"/>
          <w:lang w:val="en-US"/>
        </w:rPr>
        <w:t xml:space="preserve"> (</w:t>
      </w:r>
      <w:proofErr w:type="spellStart"/>
      <w:r w:rsidRPr="006636C9">
        <w:rPr>
          <w:color w:val="000000"/>
          <w:lang w:val="en-US"/>
        </w:rPr>
        <w:t>Mestrado</w:t>
      </w:r>
      <w:proofErr w:type="spellEnd"/>
      <w:r w:rsidRPr="006636C9">
        <w:rPr>
          <w:color w:val="000000"/>
          <w:lang w:val="en-US"/>
        </w:rPr>
        <w:t xml:space="preserve"> </w:t>
      </w:r>
      <w:proofErr w:type="spellStart"/>
      <w:r w:rsidRPr="006636C9">
        <w:rPr>
          <w:color w:val="000000"/>
          <w:lang w:val="en-US"/>
        </w:rPr>
        <w:t>em</w:t>
      </w:r>
      <w:proofErr w:type="spellEnd"/>
      <w:r w:rsidRPr="006636C9">
        <w:rPr>
          <w:color w:val="000000"/>
          <w:lang w:val="en-US"/>
        </w:rPr>
        <w:t xml:space="preserve"> Business Administration) – </w:t>
      </w:r>
      <w:r w:rsidRPr="007360DD">
        <w:rPr>
          <w:color w:val="000000"/>
          <w:lang w:val="en-US"/>
        </w:rPr>
        <w:t>Must University</w:t>
      </w:r>
      <w:r w:rsidRPr="006636C9">
        <w:rPr>
          <w:color w:val="000000"/>
          <w:lang w:val="en-US"/>
        </w:rPr>
        <w:t xml:space="preserve">, </w:t>
      </w:r>
      <w:proofErr w:type="spellStart"/>
      <w:r w:rsidRPr="006636C9">
        <w:rPr>
          <w:color w:val="000000"/>
          <w:lang w:val="en-US"/>
        </w:rPr>
        <w:t>Flórida</w:t>
      </w:r>
      <w:proofErr w:type="spellEnd"/>
      <w:r w:rsidRPr="006636C9">
        <w:rPr>
          <w:color w:val="000000"/>
          <w:lang w:val="en-US"/>
        </w:rPr>
        <w:t>, 2025.</w:t>
      </w:r>
    </w:p>
    <w:p w14:paraId="03991D7D" w14:textId="77777777" w:rsidR="006636C9" w:rsidRPr="006636C9" w:rsidRDefault="006636C9" w:rsidP="006708D1">
      <w:pPr>
        <w:rPr>
          <w:rFonts w:ascii="Times New Roman" w:hAnsi="Times New Roman" w:cs="Times New Roman"/>
          <w:lang w:val="en-US"/>
        </w:rPr>
      </w:pPr>
      <w:r w:rsidRPr="006636C9">
        <w:rPr>
          <w:rFonts w:ascii="Times New Roman" w:hAnsi="Times New Roman" w:cs="Times New Roman"/>
          <w:lang w:val="en-US"/>
        </w:rPr>
        <w:t xml:space="preserve">DOAN, T. N. T.; NGUYEN, H. H.; NGUYEN, T. K. V. The importance of knowledge management in organizations: An application of SECE model and suggestions for Vietnamese enterprises. </w:t>
      </w:r>
      <w:r w:rsidRPr="006636C9">
        <w:rPr>
          <w:rFonts w:ascii="Times New Roman" w:hAnsi="Times New Roman" w:cs="Times New Roman"/>
          <w:b/>
          <w:bCs/>
          <w:lang w:val="en-US"/>
        </w:rPr>
        <w:t>International Journal of Education and Social Science Research</w:t>
      </w:r>
      <w:r w:rsidRPr="006636C9">
        <w:rPr>
          <w:rFonts w:ascii="Times New Roman" w:hAnsi="Times New Roman" w:cs="Times New Roman"/>
          <w:lang w:val="en-US"/>
        </w:rPr>
        <w:t xml:space="preserve">, v. 4 n.6, p. 312–320, 2021. </w:t>
      </w:r>
    </w:p>
    <w:p w14:paraId="240CFF4E" w14:textId="77777777" w:rsidR="006636C9" w:rsidRPr="006636C9" w:rsidRDefault="006636C9" w:rsidP="006708D1">
      <w:pPr>
        <w:pStyle w:val="NormalWeb"/>
        <w:rPr>
          <w:color w:val="000000"/>
        </w:rPr>
      </w:pPr>
      <w:r w:rsidRPr="008F5F9F">
        <w:rPr>
          <w:rStyle w:val="Forte"/>
          <w:rFonts w:eastAsiaTheme="majorEastAsia"/>
          <w:b w:val="0"/>
          <w:bCs w:val="0"/>
          <w:color w:val="000000"/>
          <w:lang w:val="en-US"/>
        </w:rPr>
        <w:t>FAILLA, R. J.</w:t>
      </w:r>
      <w:r w:rsidRPr="008F5F9F">
        <w:rPr>
          <w:rStyle w:val="apple-converted-space"/>
          <w:rFonts w:eastAsiaTheme="majorEastAsia"/>
          <w:b/>
          <w:bCs/>
          <w:color w:val="000000"/>
          <w:lang w:val="en-US"/>
        </w:rPr>
        <w:t> </w:t>
      </w:r>
      <w:r w:rsidRPr="007360DD">
        <w:rPr>
          <w:rStyle w:val="Forte"/>
          <w:rFonts w:eastAsiaTheme="majorEastAsia"/>
          <w:color w:val="000000"/>
          <w:lang w:val="en-US"/>
        </w:rPr>
        <w:t>The Influence of Organizational Culture on Cybersecurity Governance in Breached Organizations</w:t>
      </w:r>
      <w:r w:rsidRPr="008F5F9F">
        <w:rPr>
          <w:b/>
          <w:bCs/>
          <w:color w:val="000000"/>
          <w:lang w:val="en-US"/>
        </w:rPr>
        <w:t>.</w:t>
      </w:r>
      <w:r w:rsidRPr="006636C9">
        <w:rPr>
          <w:color w:val="000000"/>
          <w:lang w:val="en-US"/>
        </w:rPr>
        <w:t xml:space="preserve"> </w:t>
      </w:r>
      <w:r w:rsidRPr="006636C9">
        <w:rPr>
          <w:color w:val="000000"/>
        </w:rPr>
        <w:t xml:space="preserve">2020. Tese (Doutorado em Cibersegurança) – </w:t>
      </w:r>
      <w:r w:rsidRPr="007360DD">
        <w:rPr>
          <w:color w:val="000000"/>
        </w:rPr>
        <w:t xml:space="preserve">Capitol Technology </w:t>
      </w:r>
      <w:proofErr w:type="spellStart"/>
      <w:r w:rsidRPr="007360DD">
        <w:rPr>
          <w:color w:val="000000"/>
        </w:rPr>
        <w:t>University</w:t>
      </w:r>
      <w:proofErr w:type="spellEnd"/>
      <w:r w:rsidRPr="007360DD">
        <w:rPr>
          <w:color w:val="000000"/>
        </w:rPr>
        <w:t>,</w:t>
      </w:r>
      <w:r w:rsidRPr="006636C9">
        <w:rPr>
          <w:color w:val="000000"/>
        </w:rPr>
        <w:t xml:space="preserve"> Laurel, 2020.</w:t>
      </w:r>
    </w:p>
    <w:p w14:paraId="21AB2456" w14:textId="77777777" w:rsidR="006636C9" w:rsidRPr="006636C9" w:rsidRDefault="006636C9" w:rsidP="006708D1">
      <w:pPr>
        <w:pStyle w:val="NormalWeb"/>
        <w:rPr>
          <w:color w:val="000000"/>
          <w:lang w:val="en-US"/>
        </w:rPr>
      </w:pPr>
      <w:r w:rsidRPr="008F5F9F">
        <w:rPr>
          <w:rStyle w:val="Forte"/>
          <w:rFonts w:eastAsiaTheme="majorEastAsia"/>
          <w:b w:val="0"/>
          <w:bCs w:val="0"/>
          <w:color w:val="000000"/>
        </w:rPr>
        <w:t xml:space="preserve">FERNANDES, A. A.; ABREU, V. F. </w:t>
      </w:r>
      <w:r w:rsidRPr="007360DD">
        <w:rPr>
          <w:rStyle w:val="Forte"/>
          <w:rFonts w:eastAsiaTheme="majorEastAsia"/>
          <w:color w:val="000000"/>
        </w:rPr>
        <w:t>Implantação da governança de TI</w:t>
      </w:r>
      <w:r w:rsidRPr="007360DD">
        <w:rPr>
          <w:color w:val="000000"/>
        </w:rPr>
        <w:t>: da estratégia à gestão dos processos e serviços</w:t>
      </w:r>
      <w:r w:rsidRPr="006636C9">
        <w:rPr>
          <w:color w:val="000000"/>
        </w:rPr>
        <w:t xml:space="preserve">. </w:t>
      </w:r>
      <w:r w:rsidRPr="006636C9">
        <w:rPr>
          <w:color w:val="000000"/>
          <w:lang w:val="en-US"/>
        </w:rPr>
        <w:t xml:space="preserve">4. ed. Rio de Janeiro: </w:t>
      </w:r>
      <w:proofErr w:type="spellStart"/>
      <w:r w:rsidRPr="007360DD">
        <w:rPr>
          <w:color w:val="000000"/>
          <w:lang w:val="en-US"/>
        </w:rPr>
        <w:t>Brasport</w:t>
      </w:r>
      <w:proofErr w:type="spellEnd"/>
      <w:r w:rsidRPr="006636C9">
        <w:rPr>
          <w:b/>
          <w:bCs/>
          <w:color w:val="000000"/>
          <w:lang w:val="en-US"/>
        </w:rPr>
        <w:t>,</w:t>
      </w:r>
      <w:r w:rsidRPr="006636C9">
        <w:rPr>
          <w:color w:val="000000"/>
          <w:lang w:val="en-US"/>
        </w:rPr>
        <w:t xml:space="preserve"> 2020.</w:t>
      </w:r>
    </w:p>
    <w:p w14:paraId="3D9DB848" w14:textId="77777777" w:rsidR="006636C9" w:rsidRPr="006636C9" w:rsidRDefault="006636C9" w:rsidP="006708D1">
      <w:pPr>
        <w:pStyle w:val="NormalWeb"/>
        <w:rPr>
          <w:rStyle w:val="Forte"/>
          <w:rFonts w:eastAsiaTheme="majorEastAsia"/>
          <w:b w:val="0"/>
          <w:bCs w:val="0"/>
          <w:color w:val="000000"/>
          <w:lang w:val="en-US"/>
        </w:rPr>
      </w:pPr>
      <w:r w:rsidRPr="006636C9">
        <w:rPr>
          <w:lang w:val="en-US"/>
        </w:rPr>
        <w:t xml:space="preserve">HISLOP, D.; BOSUA, R.; HELMS, R. </w:t>
      </w:r>
      <w:r w:rsidRPr="008F5F9F">
        <w:rPr>
          <w:b/>
          <w:bCs/>
          <w:lang w:val="en-US"/>
        </w:rPr>
        <w:t>Knowledge management in organizations</w:t>
      </w:r>
      <w:r w:rsidRPr="006636C9">
        <w:rPr>
          <w:lang w:val="en-US"/>
        </w:rPr>
        <w:t xml:space="preserve">: A critical introduction. </w:t>
      </w:r>
      <w:r w:rsidRPr="008F5F9F">
        <w:rPr>
          <w:lang w:val="en-US"/>
        </w:rPr>
        <w:t>Oxford: Oxford University Press</w:t>
      </w:r>
      <w:r w:rsidRPr="006636C9">
        <w:rPr>
          <w:lang w:val="en-US"/>
        </w:rPr>
        <w:t>, 2018</w:t>
      </w:r>
    </w:p>
    <w:p w14:paraId="66B36F1B" w14:textId="77777777" w:rsidR="006636C9" w:rsidRPr="006636C9" w:rsidRDefault="006636C9" w:rsidP="006708D1">
      <w:pPr>
        <w:pStyle w:val="NormalWeb"/>
        <w:rPr>
          <w:color w:val="000000"/>
        </w:rPr>
      </w:pPr>
      <w:r w:rsidRPr="008F5F9F">
        <w:rPr>
          <w:rStyle w:val="Forte"/>
          <w:rFonts w:eastAsiaTheme="majorEastAsia"/>
          <w:b w:val="0"/>
          <w:bCs w:val="0"/>
          <w:color w:val="000000"/>
          <w:lang w:val="en-US"/>
        </w:rPr>
        <w:lastRenderedPageBreak/>
        <w:t>ISACA.</w:t>
      </w:r>
      <w:r w:rsidRPr="008F5F9F">
        <w:rPr>
          <w:rStyle w:val="apple-converted-space"/>
          <w:rFonts w:eastAsiaTheme="majorEastAsia"/>
          <w:b/>
          <w:bCs/>
          <w:color w:val="000000"/>
          <w:lang w:val="en-US"/>
        </w:rPr>
        <w:t> </w:t>
      </w:r>
      <w:r w:rsidRPr="007360DD">
        <w:rPr>
          <w:rStyle w:val="Forte"/>
          <w:rFonts w:eastAsiaTheme="majorEastAsia"/>
          <w:color w:val="000000"/>
          <w:lang w:val="en-US"/>
        </w:rPr>
        <w:t>COBIT 2019 Framework</w:t>
      </w:r>
      <w:r w:rsidRPr="007360DD">
        <w:rPr>
          <w:color w:val="000000"/>
          <w:lang w:val="en-US"/>
        </w:rPr>
        <w:t xml:space="preserve">: </w:t>
      </w:r>
      <w:r w:rsidRPr="007360DD">
        <w:rPr>
          <w:b/>
          <w:bCs/>
          <w:color w:val="000000"/>
          <w:lang w:val="en-US"/>
        </w:rPr>
        <w:t>Introduction and Methodology</w:t>
      </w:r>
      <w:r w:rsidRPr="006636C9">
        <w:rPr>
          <w:color w:val="000000"/>
          <w:lang w:val="en-US"/>
        </w:rPr>
        <w:t xml:space="preserve">. </w:t>
      </w:r>
      <w:proofErr w:type="spellStart"/>
      <w:r w:rsidRPr="006636C9">
        <w:rPr>
          <w:color w:val="000000"/>
        </w:rPr>
        <w:t>Schaumburg</w:t>
      </w:r>
      <w:proofErr w:type="spellEnd"/>
      <w:r w:rsidRPr="006636C9">
        <w:rPr>
          <w:color w:val="000000"/>
        </w:rPr>
        <w:t xml:space="preserve">, IL: </w:t>
      </w:r>
      <w:r w:rsidRPr="007360DD">
        <w:rPr>
          <w:color w:val="000000"/>
        </w:rPr>
        <w:t>ISACA</w:t>
      </w:r>
      <w:r w:rsidRPr="006636C9">
        <w:rPr>
          <w:color w:val="000000"/>
        </w:rPr>
        <w:t>, 2018.</w:t>
      </w:r>
    </w:p>
    <w:p w14:paraId="0CBA4D8E" w14:textId="77777777" w:rsidR="006636C9" w:rsidRPr="006636C9" w:rsidRDefault="006636C9" w:rsidP="006708D1">
      <w:pPr>
        <w:pStyle w:val="NormalWeb"/>
        <w:rPr>
          <w:color w:val="000000"/>
        </w:rPr>
      </w:pPr>
      <w:r w:rsidRPr="006636C9">
        <w:rPr>
          <w:color w:val="000000"/>
        </w:rPr>
        <w:t>KOTLER, P.; KARTAJAYA, H.; SETIAWAN, I.</w:t>
      </w:r>
      <w:r w:rsidRPr="006636C9">
        <w:rPr>
          <w:rStyle w:val="apple-converted-space"/>
          <w:rFonts w:eastAsiaTheme="majorEastAsia"/>
          <w:color w:val="000000"/>
        </w:rPr>
        <w:t> </w:t>
      </w:r>
      <w:r w:rsidRPr="008F5F9F">
        <w:rPr>
          <w:b/>
          <w:bCs/>
          <w:color w:val="000000"/>
        </w:rPr>
        <w:t>Marketing 4.0</w:t>
      </w:r>
      <w:r w:rsidRPr="006636C9">
        <w:rPr>
          <w:color w:val="000000"/>
        </w:rPr>
        <w:t xml:space="preserve">: </w:t>
      </w:r>
      <w:r w:rsidRPr="007360DD">
        <w:rPr>
          <w:b/>
          <w:bCs/>
          <w:color w:val="000000"/>
        </w:rPr>
        <w:t>do tradicional ao digital</w:t>
      </w:r>
      <w:r w:rsidRPr="006636C9">
        <w:rPr>
          <w:color w:val="000000"/>
        </w:rPr>
        <w:t>. Rio de Janeiro: Sextante, 2017.</w:t>
      </w:r>
    </w:p>
    <w:p w14:paraId="623E05E5" w14:textId="60AB1887" w:rsidR="006636C9" w:rsidRPr="006636C9" w:rsidRDefault="006636C9" w:rsidP="006708D1">
      <w:pPr>
        <w:pStyle w:val="NormalWeb"/>
        <w:rPr>
          <w:color w:val="000000"/>
        </w:rPr>
      </w:pPr>
      <w:r w:rsidRPr="006636C9">
        <w:rPr>
          <w:color w:val="000000"/>
        </w:rPr>
        <w:t xml:space="preserve">KRAUSE, M. G. </w:t>
      </w:r>
      <w:r w:rsidRPr="007360DD">
        <w:rPr>
          <w:b/>
          <w:bCs/>
          <w:color w:val="000000"/>
        </w:rPr>
        <w:t>Marketing interno em apoio às práticas de gestão do conhecimento em organizações de base tecnológica</w:t>
      </w:r>
      <w:r w:rsidRPr="006636C9">
        <w:rPr>
          <w:color w:val="000000"/>
        </w:rPr>
        <w:t>. 185</w:t>
      </w:r>
      <w:r w:rsidR="00773F0C">
        <w:rPr>
          <w:color w:val="000000"/>
        </w:rPr>
        <w:t>f</w:t>
      </w:r>
      <w:r w:rsidRPr="006636C9">
        <w:rPr>
          <w:color w:val="000000"/>
        </w:rPr>
        <w:t xml:space="preserve">. Dissertação (Mestrado em Engenharia e Gestão do Conhecimento) – Programa de Pós-Graduação em Engenharia e Gestão do Conhecimento, </w:t>
      </w:r>
      <w:r w:rsidRPr="007360DD">
        <w:rPr>
          <w:color w:val="000000"/>
        </w:rPr>
        <w:t>Universidade Federal de Santa Catarina</w:t>
      </w:r>
      <w:r w:rsidRPr="006636C9">
        <w:rPr>
          <w:color w:val="000000"/>
        </w:rPr>
        <w:t>, Florianópolis, 2014.</w:t>
      </w:r>
    </w:p>
    <w:p w14:paraId="0074FCB6" w14:textId="77777777" w:rsidR="006636C9" w:rsidRPr="00773F0C" w:rsidRDefault="006636C9" w:rsidP="006708D1">
      <w:pPr>
        <w:pStyle w:val="NormalWeb"/>
        <w:rPr>
          <w:color w:val="000000"/>
          <w:lang w:val="en-US"/>
        </w:rPr>
      </w:pPr>
      <w:r w:rsidRPr="006636C9">
        <w:rPr>
          <w:color w:val="000000"/>
          <w:lang w:val="en-US"/>
        </w:rPr>
        <w:t xml:space="preserve">LAM, </w:t>
      </w:r>
      <w:proofErr w:type="gramStart"/>
      <w:r w:rsidRPr="006636C9">
        <w:rPr>
          <w:color w:val="000000"/>
          <w:lang w:val="en-US"/>
        </w:rPr>
        <w:t>J..</w:t>
      </w:r>
      <w:proofErr w:type="gramEnd"/>
      <w:r w:rsidRPr="006636C9">
        <w:rPr>
          <w:lang w:val="en-US"/>
        </w:rPr>
        <w:t> </w:t>
      </w:r>
      <w:r w:rsidRPr="00773F0C">
        <w:rPr>
          <w:b/>
          <w:bCs/>
          <w:color w:val="000000"/>
          <w:lang w:val="en-US"/>
        </w:rPr>
        <w:t>Enterprise Risk Management: from incentives to controls</w:t>
      </w:r>
      <w:r w:rsidRPr="006636C9">
        <w:rPr>
          <w:color w:val="000000"/>
          <w:lang w:val="en-US"/>
        </w:rPr>
        <w:t xml:space="preserve">. 2. ed. </w:t>
      </w:r>
      <w:r w:rsidRPr="00773F0C">
        <w:rPr>
          <w:color w:val="000000"/>
          <w:lang w:val="en-US"/>
        </w:rPr>
        <w:t>Hoboken: Wiley, 2014.</w:t>
      </w:r>
    </w:p>
    <w:p w14:paraId="230F6F6B" w14:textId="11221F13" w:rsidR="006636C9" w:rsidRPr="006636C9" w:rsidRDefault="006636C9" w:rsidP="006708D1">
      <w:pPr>
        <w:pStyle w:val="NormalWeb"/>
        <w:rPr>
          <w:color w:val="000000"/>
        </w:rPr>
      </w:pPr>
      <w:r w:rsidRPr="006636C9">
        <w:rPr>
          <w:lang w:val="en-US"/>
        </w:rPr>
        <w:t xml:space="preserve">LEE, K. C.; LEE, S.; KANG, I. KMPI: </w:t>
      </w:r>
      <w:r w:rsidR="00773F0C">
        <w:rPr>
          <w:lang w:val="en-US"/>
        </w:rPr>
        <w:t>M</w:t>
      </w:r>
      <w:r w:rsidRPr="006636C9">
        <w:rPr>
          <w:lang w:val="en-US"/>
        </w:rPr>
        <w:t xml:space="preserve">easuring knowledge management performance. </w:t>
      </w:r>
      <w:proofErr w:type="spellStart"/>
      <w:r w:rsidRPr="006636C9">
        <w:rPr>
          <w:b/>
          <w:bCs/>
        </w:rPr>
        <w:t>Information</w:t>
      </w:r>
      <w:proofErr w:type="spellEnd"/>
      <w:r w:rsidRPr="006636C9">
        <w:rPr>
          <w:b/>
          <w:bCs/>
        </w:rPr>
        <w:t xml:space="preserve"> &amp; Management</w:t>
      </w:r>
      <w:r w:rsidRPr="006636C9">
        <w:t>, v. 42, n. 3, p. 469-482, 2005</w:t>
      </w:r>
    </w:p>
    <w:p w14:paraId="2A59A827" w14:textId="77777777" w:rsidR="00773F0C" w:rsidRPr="00773F0C" w:rsidRDefault="00773F0C" w:rsidP="006708D1">
      <w:pPr>
        <w:pStyle w:val="NormalWeb"/>
        <w:rPr>
          <w:color w:val="000000"/>
        </w:rPr>
      </w:pPr>
      <w:r w:rsidRPr="00773F0C">
        <w:rPr>
          <w:color w:val="000000"/>
        </w:rPr>
        <w:t xml:space="preserve">LOPES, E. C.; VALENTIM, M. L. P. Ambientes e Fluxos de Informação. In: VALENTIM, Marta Lígia </w:t>
      </w:r>
      <w:proofErr w:type="spellStart"/>
      <w:r w:rsidRPr="00773F0C">
        <w:rPr>
          <w:color w:val="000000"/>
        </w:rPr>
        <w:t>Pamim</w:t>
      </w:r>
      <w:proofErr w:type="spellEnd"/>
      <w:r w:rsidRPr="00773F0C">
        <w:rPr>
          <w:color w:val="000000"/>
        </w:rPr>
        <w:t xml:space="preserve"> (Org.).</w:t>
      </w:r>
      <w:r w:rsidRPr="00773F0C">
        <w:rPr>
          <w:rStyle w:val="apple-converted-space"/>
          <w:color w:val="000000"/>
        </w:rPr>
        <w:t> </w:t>
      </w:r>
      <w:r w:rsidRPr="00773F0C">
        <w:rPr>
          <w:b/>
          <w:bCs/>
          <w:color w:val="000000"/>
        </w:rPr>
        <w:t>Governança Corporativa</w:t>
      </w:r>
      <w:r w:rsidRPr="00773F0C">
        <w:rPr>
          <w:color w:val="000000"/>
        </w:rPr>
        <w:t>. São Paulo: Cultura Acadêmica, 2010. cap. 8</w:t>
      </w:r>
    </w:p>
    <w:p w14:paraId="75A34514" w14:textId="44EF45E8" w:rsidR="006636C9" w:rsidRPr="006636C9" w:rsidRDefault="006636C9" w:rsidP="006708D1">
      <w:pPr>
        <w:pStyle w:val="NormalWeb"/>
        <w:rPr>
          <w:rFonts w:eastAsiaTheme="majorEastAsia"/>
          <w:color w:val="000000"/>
        </w:rPr>
      </w:pPr>
      <w:r w:rsidRPr="006636C9">
        <w:rPr>
          <w:rFonts w:eastAsiaTheme="majorEastAsia"/>
          <w:color w:val="000000"/>
        </w:rPr>
        <w:t xml:space="preserve">LORENZON, L. N. Análise comparada entre regulamentações de dados pessoais no Brasil e na União Europeia (LGPD e GDPR) e seus respectivos instrumentos de </w:t>
      </w:r>
      <w:proofErr w:type="spellStart"/>
      <w:r w:rsidRPr="006636C9">
        <w:rPr>
          <w:rFonts w:eastAsiaTheme="majorEastAsia"/>
          <w:color w:val="000000"/>
        </w:rPr>
        <w:t>enforcement</w:t>
      </w:r>
      <w:proofErr w:type="spellEnd"/>
      <w:r w:rsidRPr="006636C9">
        <w:rPr>
          <w:rFonts w:eastAsiaTheme="majorEastAsia"/>
          <w:color w:val="000000"/>
        </w:rPr>
        <w:t>. </w:t>
      </w:r>
      <w:r w:rsidRPr="006636C9">
        <w:rPr>
          <w:rFonts w:eastAsiaTheme="majorEastAsia"/>
          <w:b/>
          <w:bCs/>
          <w:color w:val="000000"/>
        </w:rPr>
        <w:t>Revista do Programa de Direito da União Europeia</w:t>
      </w:r>
      <w:r w:rsidRPr="006636C9">
        <w:rPr>
          <w:rFonts w:eastAsiaTheme="majorEastAsia"/>
          <w:color w:val="000000"/>
        </w:rPr>
        <w:t xml:space="preserve">, v. 1, p. 39-52, 2021. </w:t>
      </w:r>
    </w:p>
    <w:p w14:paraId="0875F2F4" w14:textId="77777777" w:rsidR="004B0FF4" w:rsidRPr="004B0FF4" w:rsidRDefault="004B0FF4" w:rsidP="006708D1">
      <w:pPr>
        <w:pStyle w:val="NormalWeb"/>
        <w:rPr>
          <w:color w:val="000000"/>
        </w:rPr>
      </w:pPr>
      <w:r w:rsidRPr="004B0FF4">
        <w:rPr>
          <w:color w:val="000000"/>
        </w:rPr>
        <w:t>NATIONAL INSTITUTE OF STANDARDS AND TECHNOLOGY.</w:t>
      </w:r>
      <w:r w:rsidRPr="004B0FF4">
        <w:rPr>
          <w:rStyle w:val="apple-converted-space"/>
          <w:color w:val="000000"/>
        </w:rPr>
        <w:t> </w:t>
      </w:r>
      <w:r w:rsidRPr="004B0FF4">
        <w:rPr>
          <w:b/>
          <w:bCs/>
          <w:color w:val="000000"/>
        </w:rPr>
        <w:t xml:space="preserve">The NIST </w:t>
      </w:r>
      <w:proofErr w:type="spellStart"/>
      <w:r w:rsidRPr="004B0FF4">
        <w:rPr>
          <w:b/>
          <w:bCs/>
          <w:color w:val="000000"/>
        </w:rPr>
        <w:t>Cybersecurity</w:t>
      </w:r>
      <w:proofErr w:type="spellEnd"/>
      <w:r w:rsidRPr="004B0FF4">
        <w:rPr>
          <w:b/>
          <w:bCs/>
          <w:color w:val="000000"/>
        </w:rPr>
        <w:t xml:space="preserve"> Framework (CSF) 2.0</w:t>
      </w:r>
      <w:r w:rsidRPr="004B0FF4">
        <w:rPr>
          <w:color w:val="000000"/>
        </w:rPr>
        <w:t xml:space="preserve">. </w:t>
      </w:r>
      <w:proofErr w:type="spellStart"/>
      <w:r w:rsidRPr="004B0FF4">
        <w:rPr>
          <w:color w:val="000000"/>
        </w:rPr>
        <w:t>Gaithersburg</w:t>
      </w:r>
      <w:proofErr w:type="spellEnd"/>
      <w:r w:rsidRPr="004B0FF4">
        <w:rPr>
          <w:color w:val="000000"/>
        </w:rPr>
        <w:t xml:space="preserve">, MD: U.S. </w:t>
      </w:r>
      <w:proofErr w:type="spellStart"/>
      <w:r w:rsidRPr="004B0FF4">
        <w:rPr>
          <w:color w:val="000000"/>
        </w:rPr>
        <w:t>Department</w:t>
      </w:r>
      <w:proofErr w:type="spellEnd"/>
      <w:r w:rsidRPr="004B0FF4">
        <w:rPr>
          <w:color w:val="000000"/>
        </w:rPr>
        <w:t xml:space="preserve"> </w:t>
      </w:r>
      <w:proofErr w:type="spellStart"/>
      <w:r w:rsidRPr="004B0FF4">
        <w:rPr>
          <w:color w:val="000000"/>
        </w:rPr>
        <w:t>of</w:t>
      </w:r>
      <w:proofErr w:type="spellEnd"/>
      <w:r w:rsidRPr="004B0FF4">
        <w:rPr>
          <w:color w:val="000000"/>
        </w:rPr>
        <w:t xml:space="preserve"> </w:t>
      </w:r>
      <w:proofErr w:type="spellStart"/>
      <w:r w:rsidRPr="004B0FF4">
        <w:rPr>
          <w:color w:val="000000"/>
        </w:rPr>
        <w:t>Commerce</w:t>
      </w:r>
      <w:proofErr w:type="spellEnd"/>
      <w:r w:rsidRPr="004B0FF4">
        <w:rPr>
          <w:color w:val="000000"/>
        </w:rPr>
        <w:t>, 2024.</w:t>
      </w:r>
    </w:p>
    <w:p w14:paraId="1D70BE75" w14:textId="4FB63ECB" w:rsidR="006636C9" w:rsidRPr="006636C9" w:rsidRDefault="006636C9" w:rsidP="006708D1">
      <w:pPr>
        <w:pStyle w:val="NormalWeb"/>
        <w:rPr>
          <w:color w:val="000000"/>
          <w:lang w:val="en-US"/>
        </w:rPr>
      </w:pPr>
      <w:r w:rsidRPr="004B0FF4">
        <w:rPr>
          <w:rStyle w:val="Forte"/>
          <w:rFonts w:eastAsiaTheme="majorEastAsia"/>
          <w:b w:val="0"/>
          <w:bCs w:val="0"/>
          <w:color w:val="000000"/>
          <w:lang w:val="en-US"/>
        </w:rPr>
        <w:t>NONAKA, I.; TAKEUCHI, H</w:t>
      </w:r>
      <w:r w:rsidRPr="006636C9">
        <w:rPr>
          <w:rStyle w:val="Forte"/>
          <w:rFonts w:eastAsiaTheme="majorEastAsia"/>
          <w:color w:val="000000"/>
          <w:lang w:val="en-US"/>
        </w:rPr>
        <w:t>.</w:t>
      </w:r>
      <w:r w:rsidRPr="006636C9">
        <w:rPr>
          <w:rStyle w:val="apple-converted-space"/>
          <w:rFonts w:eastAsiaTheme="majorEastAsia"/>
          <w:b/>
          <w:bCs/>
          <w:color w:val="000000"/>
          <w:lang w:val="en-US"/>
        </w:rPr>
        <w:t> </w:t>
      </w:r>
      <w:r w:rsidRPr="006636C9">
        <w:rPr>
          <w:rStyle w:val="Forte"/>
          <w:rFonts w:eastAsiaTheme="majorEastAsia"/>
          <w:color w:val="000000"/>
          <w:lang w:val="en-US"/>
        </w:rPr>
        <w:t>The knowledge-creating company</w:t>
      </w:r>
      <w:r w:rsidRPr="004B0FF4">
        <w:rPr>
          <w:b/>
          <w:bCs/>
          <w:color w:val="000000"/>
          <w:lang w:val="en-US"/>
        </w:rPr>
        <w:t>:</w:t>
      </w:r>
      <w:r w:rsidRPr="006636C9">
        <w:rPr>
          <w:color w:val="000000"/>
          <w:lang w:val="en-US"/>
        </w:rPr>
        <w:t xml:space="preserve"> </w:t>
      </w:r>
      <w:r w:rsidR="004B0FF4">
        <w:rPr>
          <w:b/>
          <w:bCs/>
          <w:color w:val="000000"/>
          <w:lang w:val="en-US"/>
        </w:rPr>
        <w:t>H</w:t>
      </w:r>
      <w:r w:rsidRPr="004B0FF4">
        <w:rPr>
          <w:b/>
          <w:bCs/>
          <w:color w:val="000000"/>
          <w:lang w:val="en-US"/>
        </w:rPr>
        <w:t>ow Japanese companies create the dynamics of innovation</w:t>
      </w:r>
      <w:r w:rsidRPr="006636C9">
        <w:rPr>
          <w:color w:val="000000"/>
          <w:lang w:val="en-US"/>
        </w:rPr>
        <w:t xml:space="preserve">. New York: </w:t>
      </w:r>
      <w:r w:rsidRPr="004B0FF4">
        <w:rPr>
          <w:color w:val="000000"/>
          <w:lang w:val="en-US"/>
        </w:rPr>
        <w:t>Oxford University Press</w:t>
      </w:r>
      <w:r w:rsidRPr="006636C9">
        <w:rPr>
          <w:color w:val="000000"/>
          <w:lang w:val="en-US"/>
        </w:rPr>
        <w:t>, 1995.</w:t>
      </w:r>
    </w:p>
    <w:p w14:paraId="09475FE1" w14:textId="77777777" w:rsidR="006636C9" w:rsidRPr="006636C9" w:rsidRDefault="006636C9" w:rsidP="006708D1">
      <w:pPr>
        <w:pStyle w:val="NormalWeb"/>
        <w:rPr>
          <w:rStyle w:val="Forte"/>
          <w:rFonts w:eastAsiaTheme="majorEastAsia"/>
          <w:b w:val="0"/>
          <w:bCs w:val="0"/>
        </w:rPr>
      </w:pPr>
      <w:r w:rsidRPr="004B0FF4">
        <w:rPr>
          <w:rStyle w:val="Forte"/>
          <w:rFonts w:eastAsiaTheme="majorEastAsia"/>
          <w:b w:val="0"/>
          <w:bCs w:val="0"/>
          <w:lang w:val="en-US"/>
        </w:rPr>
        <w:t xml:space="preserve">PHAM, H. C.; ULHAQ, I.; NGUYEN, M.; NKHOMA, </w:t>
      </w:r>
      <w:r w:rsidRPr="004B0FF4">
        <w:rPr>
          <w:rStyle w:val="Forte"/>
          <w:b w:val="0"/>
          <w:bCs w:val="0"/>
          <w:lang w:val="en-US"/>
        </w:rPr>
        <w:t>M. An exploratory study of the effects of knowledge sharing methods on cyber security practice. </w:t>
      </w:r>
      <w:proofErr w:type="spellStart"/>
      <w:r w:rsidRPr="004B0FF4">
        <w:rPr>
          <w:rStyle w:val="Forte"/>
        </w:rPr>
        <w:t>Australasian</w:t>
      </w:r>
      <w:proofErr w:type="spellEnd"/>
      <w:r w:rsidRPr="004B0FF4">
        <w:rPr>
          <w:rStyle w:val="Forte"/>
        </w:rPr>
        <w:t xml:space="preserve"> </w:t>
      </w:r>
      <w:proofErr w:type="spellStart"/>
      <w:r w:rsidRPr="004B0FF4">
        <w:rPr>
          <w:rStyle w:val="Forte"/>
        </w:rPr>
        <w:t>Journal</w:t>
      </w:r>
      <w:proofErr w:type="spellEnd"/>
      <w:r w:rsidRPr="004B0FF4">
        <w:rPr>
          <w:rStyle w:val="Forte"/>
        </w:rPr>
        <w:t xml:space="preserve"> </w:t>
      </w:r>
      <w:proofErr w:type="spellStart"/>
      <w:r w:rsidRPr="004B0FF4">
        <w:rPr>
          <w:rStyle w:val="Forte"/>
        </w:rPr>
        <w:t>of</w:t>
      </w:r>
      <w:proofErr w:type="spellEnd"/>
      <w:r w:rsidRPr="004B0FF4">
        <w:rPr>
          <w:rStyle w:val="Forte"/>
        </w:rPr>
        <w:t xml:space="preserve"> </w:t>
      </w:r>
      <w:proofErr w:type="spellStart"/>
      <w:r w:rsidRPr="004B0FF4">
        <w:rPr>
          <w:rStyle w:val="Forte"/>
        </w:rPr>
        <w:t>Information</w:t>
      </w:r>
      <w:proofErr w:type="spellEnd"/>
      <w:r w:rsidRPr="004B0FF4">
        <w:rPr>
          <w:rStyle w:val="Forte"/>
        </w:rPr>
        <w:t xml:space="preserve"> Systems</w:t>
      </w:r>
      <w:r w:rsidRPr="004B0FF4">
        <w:rPr>
          <w:rStyle w:val="Forte"/>
          <w:b w:val="0"/>
          <w:bCs w:val="0"/>
        </w:rPr>
        <w:t>,</w:t>
      </w:r>
      <w:r w:rsidRPr="006636C9">
        <w:rPr>
          <w:rStyle w:val="Forte"/>
        </w:rPr>
        <w:t> </w:t>
      </w:r>
      <w:r w:rsidRPr="006636C9">
        <w:t>v. 25, 2021</w:t>
      </w:r>
      <w:r w:rsidRPr="006636C9">
        <w:rPr>
          <w:rStyle w:val="Forte"/>
        </w:rPr>
        <w:t xml:space="preserve">. </w:t>
      </w:r>
    </w:p>
    <w:p w14:paraId="1235F842" w14:textId="77777777" w:rsidR="006636C9" w:rsidRPr="006636C9" w:rsidRDefault="006636C9" w:rsidP="006708D1">
      <w:pPr>
        <w:pStyle w:val="NormalWeb"/>
        <w:rPr>
          <w:color w:val="000000"/>
        </w:rPr>
      </w:pPr>
      <w:r w:rsidRPr="006636C9">
        <w:rPr>
          <w:color w:val="000000"/>
        </w:rPr>
        <w:t>PRATES, J. C. M.; SILVA, A G.; PICCIN, M. M.; LIMA, S. S. O reflexo da pandemia no aumento de incidentes de segurança da informação.</w:t>
      </w:r>
      <w:r w:rsidRPr="006636C9">
        <w:rPr>
          <w:rStyle w:val="apple-converted-space"/>
          <w:rFonts w:eastAsiaTheme="majorEastAsia"/>
          <w:color w:val="000000"/>
        </w:rPr>
        <w:t> </w:t>
      </w:r>
      <w:r w:rsidRPr="006636C9">
        <w:rPr>
          <w:rStyle w:val="apple-converted-space"/>
          <w:rFonts w:eastAsiaTheme="majorEastAsia"/>
          <w:b/>
          <w:bCs/>
          <w:color w:val="000000"/>
        </w:rPr>
        <w:t xml:space="preserve">Revista Científica </w:t>
      </w:r>
      <w:r w:rsidRPr="006636C9">
        <w:rPr>
          <w:rStyle w:val="Forte"/>
          <w:rFonts w:eastAsiaTheme="majorEastAsia"/>
          <w:color w:val="000000"/>
        </w:rPr>
        <w:t>Semana Acadêmica</w:t>
      </w:r>
      <w:r w:rsidRPr="006636C9">
        <w:rPr>
          <w:color w:val="000000"/>
        </w:rPr>
        <w:t xml:space="preserve">, </w:t>
      </w:r>
      <w:r w:rsidRPr="006636C9">
        <w:rPr>
          <w:b/>
          <w:bCs/>
          <w:color w:val="000000"/>
        </w:rPr>
        <w:t>Fortaleza</w:t>
      </w:r>
      <w:r w:rsidRPr="006636C9">
        <w:rPr>
          <w:color w:val="000000"/>
        </w:rPr>
        <w:t>, v. 10, n. 228, p. 1-19, 2022.</w:t>
      </w:r>
    </w:p>
    <w:p w14:paraId="3B81B453" w14:textId="5096E665" w:rsidR="006636C9" w:rsidRPr="006636C9" w:rsidRDefault="006636C9" w:rsidP="006708D1">
      <w:pPr>
        <w:pStyle w:val="NormalWeb"/>
        <w:rPr>
          <w:color w:val="000000"/>
          <w:lang w:val="en-US"/>
        </w:rPr>
      </w:pPr>
      <w:r w:rsidRPr="006636C9">
        <w:rPr>
          <w:color w:val="000000"/>
        </w:rPr>
        <w:t>SOCIEDADE BRASILEIRA DE GESTÃO DO CONHECIMENTO. Modelo de referência da Sociedade Brasileira de Gestão do Conhecimento - SBGC.</w:t>
      </w:r>
      <w:r w:rsidRPr="006636C9">
        <w:rPr>
          <w:rStyle w:val="apple-converted-space"/>
          <w:rFonts w:eastAsiaTheme="majorEastAsia"/>
          <w:color w:val="000000"/>
        </w:rPr>
        <w:t> </w:t>
      </w:r>
      <w:r w:rsidRPr="006636C9">
        <w:rPr>
          <w:color w:val="000000"/>
        </w:rPr>
        <w:t>In: SAITO, A.; FUKUNAGA, F. (</w:t>
      </w:r>
      <w:proofErr w:type="spellStart"/>
      <w:r w:rsidRPr="006636C9">
        <w:rPr>
          <w:color w:val="000000"/>
        </w:rPr>
        <w:t>Orgs</w:t>
      </w:r>
      <w:proofErr w:type="spellEnd"/>
      <w:r w:rsidRPr="006636C9">
        <w:rPr>
          <w:color w:val="000000"/>
        </w:rPr>
        <w:t>.).</w:t>
      </w:r>
      <w:r w:rsidRPr="006636C9">
        <w:rPr>
          <w:rStyle w:val="apple-converted-space"/>
          <w:rFonts w:eastAsiaTheme="majorEastAsia"/>
          <w:color w:val="000000"/>
        </w:rPr>
        <w:t> </w:t>
      </w:r>
      <w:r w:rsidRPr="006636C9">
        <w:rPr>
          <w:b/>
          <w:bCs/>
          <w:color w:val="000000"/>
        </w:rPr>
        <w:t>Modelo de referência SBGC</w:t>
      </w:r>
      <w:r w:rsidRPr="004B0FF4">
        <w:rPr>
          <w:b/>
          <w:bCs/>
          <w:color w:val="000000"/>
        </w:rPr>
        <w:t>: guia de referência da gestão do conhecimento</w:t>
      </w:r>
      <w:r w:rsidRPr="006636C9">
        <w:rPr>
          <w:color w:val="000000"/>
        </w:rPr>
        <w:t xml:space="preserve">. </w:t>
      </w:r>
      <w:r w:rsidRPr="006636C9">
        <w:rPr>
          <w:color w:val="000000"/>
          <w:lang w:val="en-US"/>
        </w:rPr>
        <w:t>São Paulo: SBGC, 2020.</w:t>
      </w:r>
    </w:p>
    <w:p w14:paraId="79EF9E67" w14:textId="77777777" w:rsidR="006636C9" w:rsidRPr="004B0FF4" w:rsidRDefault="006636C9" w:rsidP="006708D1">
      <w:pPr>
        <w:rPr>
          <w:rFonts w:ascii="Times New Roman" w:hAnsi="Times New Roman" w:cs="Times New Roman"/>
          <w:sz w:val="24"/>
          <w:szCs w:val="24"/>
          <w:lang w:val="en-US"/>
        </w:rPr>
      </w:pPr>
      <w:r w:rsidRPr="004B0FF4">
        <w:rPr>
          <w:rFonts w:ascii="Times New Roman" w:hAnsi="Times New Roman" w:cs="Times New Roman"/>
          <w:sz w:val="24"/>
          <w:szCs w:val="24"/>
          <w:lang w:val="en-US"/>
        </w:rPr>
        <w:t xml:space="preserve">SOKOH, G. C.; OKOLIE, U. C. Knowledge management and its importance in modern organizations. </w:t>
      </w:r>
      <w:r w:rsidRPr="004B0FF4">
        <w:rPr>
          <w:rFonts w:ascii="Times New Roman" w:hAnsi="Times New Roman" w:cs="Times New Roman"/>
          <w:b/>
          <w:bCs/>
          <w:sz w:val="24"/>
          <w:szCs w:val="24"/>
          <w:lang w:val="en-US"/>
        </w:rPr>
        <w:t>Journal of Public Administration, Finance and Law</w:t>
      </w:r>
      <w:r w:rsidRPr="004B0FF4">
        <w:rPr>
          <w:rFonts w:ascii="Times New Roman" w:hAnsi="Times New Roman" w:cs="Times New Roman"/>
          <w:sz w:val="24"/>
          <w:szCs w:val="24"/>
          <w:lang w:val="en-US"/>
        </w:rPr>
        <w:t xml:space="preserve">, v. 10 n.20, p. 283–300, 2021. </w:t>
      </w:r>
    </w:p>
    <w:p w14:paraId="789CD5D8" w14:textId="5022AF1E" w:rsidR="006636C9" w:rsidRPr="006636C9" w:rsidRDefault="006636C9" w:rsidP="006708D1">
      <w:pPr>
        <w:pStyle w:val="NormalWeb"/>
        <w:rPr>
          <w:color w:val="000000"/>
        </w:rPr>
      </w:pPr>
      <w:r w:rsidRPr="006636C9">
        <w:rPr>
          <w:color w:val="000000"/>
        </w:rPr>
        <w:lastRenderedPageBreak/>
        <w:t>ZUBOFF, S.</w:t>
      </w:r>
      <w:r w:rsidRPr="006636C9">
        <w:rPr>
          <w:rStyle w:val="apple-converted-space"/>
          <w:rFonts w:eastAsiaTheme="majorEastAsia"/>
          <w:color w:val="000000"/>
        </w:rPr>
        <w:t> </w:t>
      </w:r>
      <w:r w:rsidRPr="004B0FF4">
        <w:rPr>
          <w:b/>
          <w:bCs/>
          <w:color w:val="000000"/>
        </w:rPr>
        <w:t>A era do capitalismo de vigilância: a luta por um futuro humano na nova fronteira do poder</w:t>
      </w:r>
      <w:r w:rsidRPr="006636C9">
        <w:rPr>
          <w:color w:val="000000"/>
        </w:rPr>
        <w:t xml:space="preserve">. Tradução de George S. d’Avila. Rio de Janeiro: </w:t>
      </w:r>
      <w:r w:rsidRPr="004B0FF4">
        <w:rPr>
          <w:color w:val="000000"/>
        </w:rPr>
        <w:t>Intrínseca</w:t>
      </w:r>
      <w:r w:rsidRPr="006636C9">
        <w:rPr>
          <w:color w:val="000000"/>
        </w:rPr>
        <w:t>, 2020</w:t>
      </w:r>
      <w:r w:rsidR="004B0FF4">
        <w:rPr>
          <w:color w:val="000000"/>
        </w:rPr>
        <w:t>.</w:t>
      </w:r>
    </w:p>
    <w:p w14:paraId="041C275B" w14:textId="77777777" w:rsidR="007D5801" w:rsidRPr="006636C9" w:rsidRDefault="007D5801" w:rsidP="007D5801">
      <w:pPr>
        <w:spacing w:line="240" w:lineRule="auto"/>
        <w:rPr>
          <w:rFonts w:ascii="Times New Roman" w:eastAsia="Times New Roman" w:hAnsi="Times New Roman" w:cs="Times New Roman"/>
          <w:sz w:val="24"/>
          <w:szCs w:val="24"/>
        </w:rPr>
      </w:pPr>
    </w:p>
    <w:sectPr w:rsidR="007D5801" w:rsidRPr="006636C9" w:rsidSect="00B009E4">
      <w:headerReference w:type="default" r:id="rId14"/>
      <w:footerReference w:type="default" r:id="rId15"/>
      <w:headerReference w:type="first" r:id="rId16"/>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908EA" w14:textId="77777777" w:rsidR="00C855C9" w:rsidRDefault="00C855C9">
      <w:pPr>
        <w:spacing w:line="240" w:lineRule="auto"/>
      </w:pPr>
      <w:r>
        <w:separator/>
      </w:r>
    </w:p>
  </w:endnote>
  <w:endnote w:type="continuationSeparator" w:id="0">
    <w:p w14:paraId="45960B20" w14:textId="77777777" w:rsidR="00C855C9" w:rsidRDefault="00C85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F462EB-DB71-E547-A270-29F83A564445}"/>
    <w:embedBold r:id="rId2" w:fontKey="{68F5FB2E-2F04-C944-809D-44377C9A823E}"/>
    <w:embedItalic r:id="rId3" w:fontKey="{82FA764E-F822-B84F-842A-8958051E396E}"/>
  </w:font>
  <w:font w:name="Symbol">
    <w:panose1 w:val="05050102010706020507"/>
    <w:charset w:val="02"/>
    <w:family w:val="decorative"/>
    <w:pitch w:val="variable"/>
    <w:sig w:usb0="00000000" w:usb1="10000000" w:usb2="00000000" w:usb3="00000000" w:csb0="80000000" w:csb1="00000000"/>
    <w:embedRegular r:id="rId4" w:fontKey="{47B4FDCD-1246-0445-B921-505CAEDED82A}"/>
  </w:font>
  <w:font w:name="Courier New">
    <w:panose1 w:val="02070309020205020404"/>
    <w:charset w:val="00"/>
    <w:family w:val="modern"/>
    <w:pitch w:val="fixed"/>
    <w:sig w:usb0="E0002EFF" w:usb1="C0007843" w:usb2="00000009" w:usb3="00000000" w:csb0="000001FF" w:csb1="00000000"/>
    <w:embedRegular r:id="rId5" w:fontKey="{24D6FBAF-A7C4-D24C-82A8-6004590B5A84}"/>
  </w:font>
  <w:font w:name="Wingdings">
    <w:panose1 w:val="05000000000000000000"/>
    <w:charset w:val="4D"/>
    <w:family w:val="decorative"/>
    <w:pitch w:val="variable"/>
    <w:sig w:usb0="00000003" w:usb1="00000000" w:usb2="00000000" w:usb3="00000000" w:csb0="80000001" w:csb1="00000000"/>
    <w:embedRegular r:id="rId6" w:fontKey="{096A873D-17BF-024A-9F0B-5B7E3FBA5A7B}"/>
  </w:font>
  <w:font w:name="Calibri">
    <w:panose1 w:val="020F0502020204030204"/>
    <w:charset w:val="00"/>
    <w:family w:val="swiss"/>
    <w:pitch w:val="variable"/>
    <w:sig w:usb0="E4002EFF" w:usb1="C000247B" w:usb2="00000009" w:usb3="00000000" w:csb0="000001FF" w:csb1="00000000"/>
    <w:embedRegular r:id="rId7" w:fontKey="{E93D26CC-BB7B-D345-9022-C5751056E813}"/>
  </w:font>
  <w:font w:name="Noto Sans">
    <w:panose1 w:val="020B0502040504020204"/>
    <w:charset w:val="00"/>
    <w:family w:val="swiss"/>
    <w:pitch w:val="variable"/>
    <w:sig w:usb0="E00082FF" w:usb1="400078FF" w:usb2="00000021" w:usb3="00000000" w:csb0="0000019F" w:csb1="00000000"/>
  </w:font>
  <w:font w:name="Noto Sans Symbols">
    <w:charset w:val="00"/>
    <w:family w:val="auto"/>
    <w:pitch w:val="default"/>
    <w:embedRegular r:id="rId8" w:fontKey="{D84E6018-7DD7-954E-8933-FA7467A58CFF}"/>
  </w:font>
  <w:font w:name="Arial">
    <w:panose1 w:val="020B0604020202020204"/>
    <w:charset w:val="00"/>
    <w:family w:val="swiss"/>
    <w:pitch w:val="variable"/>
    <w:sig w:usb0="E0002EFF" w:usb1="C000785B" w:usb2="00000009" w:usb3="00000000" w:csb0="000001FF" w:csb1="00000000"/>
    <w:embedRegular r:id="rId9" w:fontKey="{DAF87565-02A2-384D-A929-31D83196CCB4}"/>
    <w:embedBold r:id="rId10" w:fontKey="{248CEA57-3C03-BB44-B794-D3AFACA8F4D2}"/>
    <w:embedItalic r:id="rId11" w:fontKey="{4353E69C-EBAE-3148-AE8B-EC667D4CA53A}"/>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3" w:fontKey="{2EDAC22E-5FBE-794A-B485-00DCEF4C6BF2}"/>
    <w:embedItalic r:id="rId14" w:fontKey="{FB6E6874-4352-2D4C-BFAC-F33DB7347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1815D" w14:textId="77777777" w:rsidR="00C855C9" w:rsidRDefault="00C855C9">
      <w:pPr>
        <w:spacing w:line="240" w:lineRule="auto"/>
      </w:pPr>
      <w:r>
        <w:separator/>
      </w:r>
    </w:p>
  </w:footnote>
  <w:footnote w:type="continuationSeparator" w:id="0">
    <w:p w14:paraId="1DD0A7D3" w14:textId="77777777" w:rsidR="00C855C9" w:rsidRDefault="00C855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0EFA37F4"/>
    <w:multiLevelType w:val="hybridMultilevel"/>
    <w:tmpl w:val="B6EE68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D021D5"/>
    <w:multiLevelType w:val="multilevel"/>
    <w:tmpl w:val="A268096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val="0"/>
        <w:bCs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376968A1"/>
    <w:multiLevelType w:val="multilevel"/>
    <w:tmpl w:val="584C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61C36"/>
    <w:multiLevelType w:val="hybridMultilevel"/>
    <w:tmpl w:val="B8786D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547840A0"/>
    <w:multiLevelType w:val="multilevel"/>
    <w:tmpl w:val="09B0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F23506"/>
    <w:multiLevelType w:val="multilevel"/>
    <w:tmpl w:val="35F424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EA2C51"/>
    <w:multiLevelType w:val="hybridMultilevel"/>
    <w:tmpl w:val="4EF47DE4"/>
    <w:lvl w:ilvl="0" w:tplc="0EE01208">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EED2EBA"/>
    <w:multiLevelType w:val="multilevel"/>
    <w:tmpl w:val="56F68B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323819">
    <w:abstractNumId w:val="7"/>
  </w:num>
  <w:num w:numId="2" w16cid:durableId="691417632">
    <w:abstractNumId w:val="5"/>
  </w:num>
  <w:num w:numId="3" w16cid:durableId="754589262">
    <w:abstractNumId w:val="0"/>
  </w:num>
  <w:num w:numId="4" w16cid:durableId="1267276839">
    <w:abstractNumId w:val="6"/>
  </w:num>
  <w:num w:numId="5" w16cid:durableId="405616016">
    <w:abstractNumId w:val="10"/>
  </w:num>
  <w:num w:numId="6" w16cid:durableId="2064208269">
    <w:abstractNumId w:val="8"/>
  </w:num>
  <w:num w:numId="7" w16cid:durableId="1338388998">
    <w:abstractNumId w:val="3"/>
  </w:num>
  <w:num w:numId="8" w16cid:durableId="234707201">
    <w:abstractNumId w:val="2"/>
  </w:num>
  <w:num w:numId="9" w16cid:durableId="1092966601">
    <w:abstractNumId w:val="9"/>
  </w:num>
  <w:num w:numId="10" w16cid:durableId="1760560593">
    <w:abstractNumId w:val="4"/>
  </w:num>
  <w:num w:numId="11" w16cid:durableId="702024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27E19"/>
    <w:rsid w:val="00136729"/>
    <w:rsid w:val="00421B29"/>
    <w:rsid w:val="004B0FF4"/>
    <w:rsid w:val="00512D7C"/>
    <w:rsid w:val="005D4DC6"/>
    <w:rsid w:val="006636C9"/>
    <w:rsid w:val="006708D1"/>
    <w:rsid w:val="006A4F8D"/>
    <w:rsid w:val="006F452E"/>
    <w:rsid w:val="007360DD"/>
    <w:rsid w:val="00773530"/>
    <w:rsid w:val="00773F0C"/>
    <w:rsid w:val="007D5801"/>
    <w:rsid w:val="008F5F9F"/>
    <w:rsid w:val="0092081D"/>
    <w:rsid w:val="009E5BAC"/>
    <w:rsid w:val="00B009E4"/>
    <w:rsid w:val="00B72C81"/>
    <w:rsid w:val="00C03DAE"/>
    <w:rsid w:val="00C855C9"/>
    <w:rsid w:val="00D8471E"/>
    <w:rsid w:val="00DD1E49"/>
    <w:rsid w:val="00E07FE3"/>
    <w:rsid w:val="00F16BCE"/>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customStyle="1" w:styleId="p1">
    <w:name w:val="p1"/>
    <w:basedOn w:val="Normal"/>
    <w:rsid w:val="007D5801"/>
    <w:pPr>
      <w:spacing w:line="240" w:lineRule="auto"/>
    </w:pPr>
    <w:rPr>
      <w:rFonts w:ascii="Times New Roman" w:eastAsia="Times New Roman" w:hAnsi="Times New Roman" w:cs="Times New Roman"/>
      <w:color w:val="000000"/>
      <w:sz w:val="21"/>
      <w:szCs w:val="21"/>
    </w:rPr>
  </w:style>
  <w:style w:type="character" w:styleId="MenoPendente">
    <w:name w:val="Unresolved Mention"/>
    <w:basedOn w:val="Fontepargpadro"/>
    <w:uiPriority w:val="99"/>
    <w:semiHidden/>
    <w:unhideWhenUsed/>
    <w:rsid w:val="009E5BAC"/>
    <w:rPr>
      <w:color w:val="605E5C"/>
      <w:shd w:val="clear" w:color="auto" w:fill="E1DFDD"/>
    </w:rPr>
  </w:style>
  <w:style w:type="character" w:styleId="HiperlinkVisitado">
    <w:name w:val="FollowedHyperlink"/>
    <w:basedOn w:val="Fontepargpadro"/>
    <w:uiPriority w:val="99"/>
    <w:semiHidden/>
    <w:unhideWhenUsed/>
    <w:rsid w:val="006636C9"/>
    <w:rPr>
      <w:color w:val="800080" w:themeColor="followedHyperlink"/>
      <w:u w:val="single"/>
    </w:rPr>
  </w:style>
  <w:style w:type="character" w:customStyle="1" w:styleId="apple-converted-space">
    <w:name w:val="apple-converted-space"/>
    <w:basedOn w:val="Fontepargpadro"/>
    <w:rsid w:val="006636C9"/>
  </w:style>
  <w:style w:type="character" w:styleId="Forte">
    <w:name w:val="Strong"/>
    <w:basedOn w:val="Fontepargpadro"/>
    <w:uiPriority w:val="22"/>
    <w:qFormat/>
    <w:rsid w:val="006636C9"/>
    <w:rPr>
      <w:b/>
      <w:bCs/>
    </w:rPr>
  </w:style>
  <w:style w:type="character" w:customStyle="1" w:styleId="citation-253">
    <w:name w:val="citation-253"/>
    <w:basedOn w:val="Fontepargpadro"/>
    <w:rsid w:val="006636C9"/>
  </w:style>
  <w:style w:type="character" w:customStyle="1" w:styleId="citation-252">
    <w:name w:val="citation-252"/>
    <w:basedOn w:val="Fontepargpadro"/>
    <w:rsid w:val="006636C9"/>
  </w:style>
  <w:style w:type="character" w:customStyle="1" w:styleId="citation-251">
    <w:name w:val="citation-251"/>
    <w:basedOn w:val="Fontepargpadro"/>
    <w:rsid w:val="006636C9"/>
  </w:style>
  <w:style w:type="character" w:customStyle="1" w:styleId="citation-250">
    <w:name w:val="citation-250"/>
    <w:basedOn w:val="Fontepargpadro"/>
    <w:rsid w:val="006636C9"/>
  </w:style>
  <w:style w:type="character" w:customStyle="1" w:styleId="citation-53">
    <w:name w:val="citation-53"/>
    <w:basedOn w:val="Fontepargpadro"/>
    <w:rsid w:val="006636C9"/>
  </w:style>
  <w:style w:type="character" w:customStyle="1" w:styleId="citation-83">
    <w:name w:val="citation-83"/>
    <w:basedOn w:val="Fontepargpadro"/>
    <w:rsid w:val="006636C9"/>
  </w:style>
  <w:style w:type="character" w:customStyle="1" w:styleId="citation-82">
    <w:name w:val="citation-82"/>
    <w:basedOn w:val="Fontepargpadro"/>
    <w:rsid w:val="006636C9"/>
  </w:style>
  <w:style w:type="character" w:customStyle="1" w:styleId="citation-81">
    <w:name w:val="citation-81"/>
    <w:basedOn w:val="Fontepargpadro"/>
    <w:rsid w:val="006636C9"/>
  </w:style>
  <w:style w:type="character" w:customStyle="1" w:styleId="citation-80">
    <w:name w:val="citation-80"/>
    <w:basedOn w:val="Fontepargpadro"/>
    <w:rsid w:val="006636C9"/>
  </w:style>
  <w:style w:type="character" w:customStyle="1" w:styleId="citation-107">
    <w:name w:val="citation-107"/>
    <w:basedOn w:val="Fontepargpadro"/>
    <w:rsid w:val="006636C9"/>
  </w:style>
  <w:style w:type="character" w:customStyle="1" w:styleId="citation-106">
    <w:name w:val="citation-106"/>
    <w:basedOn w:val="Fontepargpadro"/>
    <w:rsid w:val="006636C9"/>
  </w:style>
  <w:style w:type="character" w:customStyle="1" w:styleId="citation-105">
    <w:name w:val="citation-105"/>
    <w:basedOn w:val="Fontepargpadro"/>
    <w:rsid w:val="006636C9"/>
  </w:style>
  <w:style w:type="character" w:customStyle="1" w:styleId="citation-103">
    <w:name w:val="citation-103"/>
    <w:basedOn w:val="Fontepargpadro"/>
    <w:rsid w:val="006636C9"/>
  </w:style>
  <w:style w:type="character" w:customStyle="1" w:styleId="citation-102">
    <w:name w:val="citation-102"/>
    <w:basedOn w:val="Fontepargpadro"/>
    <w:rsid w:val="006636C9"/>
  </w:style>
  <w:style w:type="character" w:customStyle="1" w:styleId="citation-91">
    <w:name w:val="citation-91"/>
    <w:basedOn w:val="Fontepargpadro"/>
    <w:rsid w:val="006636C9"/>
  </w:style>
  <w:style w:type="character" w:customStyle="1" w:styleId="citation-90">
    <w:name w:val="citation-90"/>
    <w:basedOn w:val="Fontepargpadro"/>
    <w:rsid w:val="006636C9"/>
  </w:style>
  <w:style w:type="character" w:customStyle="1" w:styleId="citation-183">
    <w:name w:val="citation-183"/>
    <w:basedOn w:val="Fontepargpadro"/>
    <w:rsid w:val="006636C9"/>
  </w:style>
  <w:style w:type="character" w:customStyle="1" w:styleId="citation-182">
    <w:name w:val="citation-182"/>
    <w:basedOn w:val="Fontepargpadro"/>
    <w:rsid w:val="006636C9"/>
  </w:style>
  <w:style w:type="character" w:customStyle="1" w:styleId="citation-203">
    <w:name w:val="citation-203"/>
    <w:basedOn w:val="Fontepargpadro"/>
    <w:rsid w:val="006636C9"/>
  </w:style>
  <w:style w:type="character" w:customStyle="1" w:styleId="citation-202">
    <w:name w:val="citation-202"/>
    <w:basedOn w:val="Fontepargpadro"/>
    <w:rsid w:val="006636C9"/>
  </w:style>
  <w:style w:type="table" w:styleId="Tabelacomgrade">
    <w:name w:val="Table Grid"/>
    <w:basedOn w:val="Tabelanormal"/>
    <w:uiPriority w:val="39"/>
    <w:rsid w:val="006636C9"/>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540">
    <w:name w:val="citation-540"/>
    <w:basedOn w:val="Fontepargpadro"/>
    <w:rsid w:val="006636C9"/>
  </w:style>
  <w:style w:type="character" w:customStyle="1" w:styleId="citation-577">
    <w:name w:val="citation-577"/>
    <w:basedOn w:val="Fontepargpadro"/>
    <w:rsid w:val="006636C9"/>
  </w:style>
  <w:style w:type="character" w:customStyle="1" w:styleId="citation-576">
    <w:name w:val="citation-576"/>
    <w:basedOn w:val="Fontepargpadro"/>
    <w:rsid w:val="00663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geraldo.prod@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cardu.castilho.rc@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norbiato@msn.com" TargetMode="External"/><Relationship Id="rId4" Type="http://schemas.openxmlformats.org/officeDocument/2006/relationships/styles" Target="styles.xml"/><Relationship Id="rId9" Type="http://schemas.openxmlformats.org/officeDocument/2006/relationships/hyperlink" Target="mailto:philippvalim@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19</Pages>
  <Words>6394</Words>
  <Characters>34532</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Valim</dc:creator>
  <cp:lastModifiedBy>Philipp Valim</cp:lastModifiedBy>
  <cp:revision>3</cp:revision>
  <dcterms:created xsi:type="dcterms:W3CDTF">2025-08-31T18:58:00Z</dcterms:created>
  <dcterms:modified xsi:type="dcterms:W3CDTF">2025-08-31T20:32:00Z</dcterms:modified>
</cp:coreProperties>
</file>