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A14A7" w:rsidP="00CC75E9" w:rsidRDefault="00BA14A7" w14:paraId="672A6659" w14:textId="77777777">
      <w:pPr>
        <w:pStyle w:val="01Title"/>
        <w:spacing w:before="0" w:after="0" w:line="240" w:lineRule="auto"/>
        <w:rPr>
          <w:sz w:val="24"/>
          <w:szCs w:val="24"/>
        </w:rPr>
      </w:pPr>
    </w:p>
    <w:p w:rsidR="1C49DE7D" w:rsidP="4C1A04C9" w:rsidRDefault="1C49DE7D" w14:paraId="534EF598" w14:textId="6681550B">
      <w:pPr>
        <w:jc w:val="center"/>
        <w:rPr>
          <w:rFonts w:ascii="Times New Roman" w:hAnsi="Times New Roman"/>
          <w:b/>
          <w:bCs/>
          <w:sz w:val="24"/>
          <w:szCs w:val="24"/>
        </w:rPr>
      </w:pPr>
      <w:r w:rsidRPr="4C1A04C9">
        <w:rPr>
          <w:rFonts w:ascii="Times New Roman" w:hAnsi="Times New Roman"/>
          <w:b/>
          <w:bCs/>
          <w:sz w:val="24"/>
          <w:szCs w:val="24"/>
        </w:rPr>
        <w:t xml:space="preserve">Process Parameters </w:t>
      </w:r>
      <w:r w:rsidRPr="4C1A04C9" w:rsidR="7E611845">
        <w:rPr>
          <w:rFonts w:ascii="Times New Roman" w:hAnsi="Times New Roman"/>
          <w:b/>
          <w:bCs/>
          <w:sz w:val="24"/>
          <w:szCs w:val="24"/>
        </w:rPr>
        <w:t xml:space="preserve">Investigation of </w:t>
      </w:r>
      <w:r w:rsidRPr="4C1A04C9">
        <w:rPr>
          <w:rFonts w:ascii="Times New Roman" w:hAnsi="Times New Roman"/>
          <w:b/>
          <w:bCs/>
          <w:sz w:val="24"/>
          <w:szCs w:val="24"/>
        </w:rPr>
        <w:t>Lignin Content in Residual Biomass</w:t>
      </w:r>
    </w:p>
    <w:p w:rsidRPr="00956DFD" w:rsidR="00FE40B5" w:rsidP="4C1A04C9" w:rsidRDefault="12D0CE7D" w14:paraId="6FEABEF3" w14:textId="36C6B4AF">
      <w:pPr>
        <w:pStyle w:val="02Author"/>
        <w:spacing w:before="0" w:after="0"/>
        <w:rPr>
          <w:lang w:val="pt-BR"/>
        </w:rPr>
      </w:pPr>
      <w:r w:rsidRPr="4C1A04C9">
        <w:rPr>
          <w:lang w:val="pt-BR"/>
        </w:rPr>
        <w:t>Davi Vieira Rosa</w:t>
      </w:r>
      <w:r w:rsidRPr="4C1A04C9" w:rsidR="4B96A6E0">
        <w:rPr>
          <w:vertAlign w:val="superscript"/>
          <w:lang w:val="pt-BR"/>
        </w:rPr>
        <w:t>1</w:t>
      </w:r>
      <w:r w:rsidRPr="4C1A04C9" w:rsidR="4AC99F0C">
        <w:rPr>
          <w:vertAlign w:val="superscript"/>
          <w:lang w:val="pt-BR"/>
        </w:rPr>
        <w:t>*</w:t>
      </w:r>
      <w:r w:rsidRPr="4C1A04C9" w:rsidR="0B2577E4">
        <w:rPr>
          <w:lang w:val="pt-BR"/>
        </w:rPr>
        <w:t>,</w:t>
      </w:r>
      <w:r w:rsidRPr="4C1A04C9" w:rsidR="4B96A6E0">
        <w:rPr>
          <w:lang w:val="pt-BR"/>
        </w:rPr>
        <w:t xml:space="preserve"> </w:t>
      </w:r>
      <w:r w:rsidRPr="4C1A04C9" w:rsidR="2BAEBE88">
        <w:rPr>
          <w:lang w:val="pt-BR"/>
        </w:rPr>
        <w:t xml:space="preserve">Diana Catalina Cubides Roman </w:t>
      </w:r>
      <w:r w:rsidRPr="4C1A04C9" w:rsidR="0B2577E4">
        <w:rPr>
          <w:vertAlign w:val="superscript"/>
          <w:lang w:val="pt-BR"/>
        </w:rPr>
        <w:t>2</w:t>
      </w:r>
      <w:r w:rsidRPr="4C1A04C9" w:rsidR="0B2577E4">
        <w:rPr>
          <w:lang w:val="pt-BR"/>
        </w:rPr>
        <w:t>,</w:t>
      </w:r>
      <w:r w:rsidRPr="4C1A04C9" w:rsidR="12FE1CE4">
        <w:rPr>
          <w:lang w:val="pt-BR"/>
        </w:rPr>
        <w:t xml:space="preserve"> Paulo Victor Rocha Brandao </w:t>
      </w:r>
      <w:r w:rsidRPr="4C1A04C9" w:rsidR="7753AC23">
        <w:rPr>
          <w:vertAlign w:val="superscript"/>
          <w:lang w:val="pt-BR"/>
        </w:rPr>
        <w:t>2</w:t>
      </w:r>
    </w:p>
    <w:p w:rsidRPr="000C39A1" w:rsidR="002B7B99" w:rsidP="68F828EA" w:rsidRDefault="2D5F885E" w14:paraId="77FAB5D3" w14:textId="3114C2CF">
      <w:pPr>
        <w:pStyle w:val="03AuthorAffiliation"/>
        <w:spacing w:line="240" w:lineRule="auto"/>
        <w:rPr>
          <w:i/>
          <w:iCs/>
          <w:sz w:val="20"/>
          <w:szCs w:val="20"/>
        </w:rPr>
      </w:pPr>
      <w:r w:rsidRPr="000C39A1">
        <w:rPr>
          <w:i/>
          <w:iCs/>
          <w:sz w:val="20"/>
          <w:szCs w:val="20"/>
        </w:rPr>
        <w:t>1</w:t>
      </w:r>
      <w:r w:rsidRPr="000C39A1" w:rsidR="6265A0D7">
        <w:rPr>
          <w:i/>
          <w:iCs/>
          <w:sz w:val="20"/>
          <w:szCs w:val="20"/>
        </w:rPr>
        <w:t xml:space="preserve"> </w:t>
      </w:r>
      <w:r w:rsidRPr="000C39A1" w:rsidR="386F1E8D">
        <w:rPr>
          <w:i/>
          <w:iCs/>
          <w:sz w:val="20"/>
          <w:szCs w:val="20"/>
        </w:rPr>
        <w:t xml:space="preserve">SENAI CIMATEC University, </w:t>
      </w:r>
      <w:r w:rsidRPr="000C39A1" w:rsidR="5A8CA18D">
        <w:rPr>
          <w:i/>
          <w:iCs/>
          <w:sz w:val="20"/>
          <w:szCs w:val="20"/>
        </w:rPr>
        <w:t>Chemistry, Petrochemistry, and Biotechnology,</w:t>
      </w:r>
      <w:r w:rsidRPr="000C39A1" w:rsidR="386F1E8D">
        <w:rPr>
          <w:i/>
          <w:iCs/>
          <w:sz w:val="20"/>
          <w:szCs w:val="20"/>
        </w:rPr>
        <w:t xml:space="preserve"> Salvador, Bahia, Brazil</w:t>
      </w:r>
    </w:p>
    <w:p w:rsidRPr="006B3AF1" w:rsidR="00CC3C86" w:rsidP="4D1451C9" w:rsidRDefault="43530215" w14:paraId="6C519F81" w14:textId="243AF19C">
      <w:pPr>
        <w:pStyle w:val="03AuthorAffiliation"/>
        <w:spacing w:line="240" w:lineRule="auto"/>
        <w:rPr>
          <w:i/>
          <w:iCs/>
          <w:sz w:val="20"/>
          <w:szCs w:val="20"/>
          <w:vertAlign w:val="superscript"/>
        </w:rPr>
      </w:pPr>
      <w:r w:rsidRPr="4D1451C9">
        <w:rPr>
          <w:i/>
          <w:iCs/>
          <w:sz w:val="20"/>
          <w:szCs w:val="20"/>
          <w:vertAlign w:val="superscript"/>
        </w:rPr>
        <w:t>2</w:t>
      </w:r>
      <w:r w:rsidRPr="4D1451C9" w:rsidR="54D5A036">
        <w:rPr>
          <w:i/>
          <w:iCs/>
          <w:sz w:val="20"/>
          <w:szCs w:val="20"/>
        </w:rPr>
        <w:t xml:space="preserve"> </w:t>
      </w:r>
      <w:r w:rsidRPr="4D1451C9" w:rsidR="58D4B994">
        <w:rPr>
          <w:i/>
          <w:iCs/>
          <w:sz w:val="20"/>
          <w:szCs w:val="20"/>
        </w:rPr>
        <w:t>SENAI CIMATEC University, Chemical, Petrochemical, and Refining Processes, Salvador, Bahia, Brazil</w:t>
      </w:r>
    </w:p>
    <w:p w:rsidRPr="00CC3C86" w:rsidR="00FE40B5" w:rsidP="68F828EA" w:rsidRDefault="37F2B9F0" w14:paraId="67B3F16F" w14:textId="73C6E28E">
      <w:pPr>
        <w:pStyle w:val="03AuthorAffiliation"/>
        <w:rPr>
          <w:i/>
          <w:iCs/>
          <w:sz w:val="20"/>
          <w:szCs w:val="20"/>
          <w:lang w:eastAsia="zh-CN"/>
        </w:rPr>
      </w:pPr>
      <w:r w:rsidRPr="68F828EA">
        <w:rPr>
          <w:i/>
          <w:iCs/>
          <w:sz w:val="20"/>
          <w:szCs w:val="20"/>
        </w:rPr>
        <w:t>*</w:t>
      </w:r>
      <w:r w:rsidRPr="68F828EA" w:rsidR="000D6EA0">
        <w:rPr>
          <w:i/>
          <w:iCs/>
          <w:sz w:val="20"/>
          <w:szCs w:val="20"/>
        </w:rPr>
        <w:t>Corresponding author: SENAI CIMATEC University; Salvador-BA; davieiros@gmail.com</w:t>
      </w:r>
    </w:p>
    <w:p w:rsidR="00FE40B5" w:rsidP="68F828EA" w:rsidRDefault="00FE40B5" w14:paraId="3F6A9045" w14:textId="5A206D8A">
      <w:pPr>
        <w:pStyle w:val="03AuthorAffiliation"/>
        <w:rPr>
          <w:i/>
          <w:iCs/>
          <w:sz w:val="20"/>
          <w:szCs w:val="20"/>
          <w:lang w:eastAsia="zh-CN"/>
        </w:rPr>
      </w:pPr>
    </w:p>
    <w:p w:rsidRPr="00CC3C86" w:rsidR="00545B30" w:rsidP="68F828EA" w:rsidRDefault="00545B30" w14:paraId="2F36D3EB" w14:textId="77777777">
      <w:pPr>
        <w:pStyle w:val="03AuthorAffiliation"/>
        <w:rPr>
          <w:i/>
          <w:iCs/>
          <w:sz w:val="20"/>
          <w:szCs w:val="20"/>
          <w:lang w:eastAsia="zh-CN"/>
        </w:rPr>
      </w:pPr>
    </w:p>
    <w:p w:rsidR="00BA14A7" w:rsidP="00CF1FCC" w:rsidRDefault="00BA14A7" w14:paraId="5DAB6C7B" w14:textId="77777777">
      <w:pPr>
        <w:pStyle w:val="06Abstract"/>
        <w:spacing w:line="240" w:lineRule="auto"/>
        <w:rPr>
          <w:b/>
          <w:szCs w:val="20"/>
          <w:lang w:eastAsia="zh-CN"/>
        </w:rPr>
      </w:pPr>
    </w:p>
    <w:p w:rsidRPr="000C39A1" w:rsidR="770F213A" w:rsidP="4C1A04C9" w:rsidRDefault="770F213A" w14:paraId="0DB46C03" w14:textId="4C512B8A">
      <w:pPr>
        <w:pStyle w:val="06Abstract"/>
        <w:spacing w:line="240" w:lineRule="auto"/>
        <w:rPr>
          <w:b/>
          <w:bCs/>
          <w:lang w:eastAsia="zh-CN"/>
        </w:rPr>
      </w:pPr>
      <w:r w:rsidRPr="000C39A1">
        <w:rPr>
          <w:b/>
          <w:bCs/>
          <w:lang w:eastAsia="zh-CN"/>
        </w:rPr>
        <w:t>Abstract</w:t>
      </w:r>
      <w:r w:rsidRPr="000C39A1" w:rsidR="4ECFAA5B">
        <w:rPr>
          <w:b/>
          <w:bCs/>
          <w:lang w:eastAsia="zh-CN"/>
        </w:rPr>
        <w:t>:</w:t>
      </w:r>
      <w:r w:rsidRPr="000C39A1">
        <w:rPr>
          <w:b/>
          <w:bCs/>
          <w:lang w:eastAsia="zh-CN"/>
        </w:rPr>
        <w:t xml:space="preserve"> </w:t>
      </w:r>
      <w:r w:rsidRPr="4C1A04C9" w:rsidR="029942B0">
        <w:rPr>
          <w:b/>
          <w:bCs/>
          <w:lang w:eastAsia="zh-CN"/>
        </w:rPr>
        <w:t>The pulping stage is critical for lignin removal in lignocellulosic biomass, directly influencing the efficiency of subsequent stages. In the case of residual biomass from already established production chains, its use represents a strategic alternative to add value to byproducts and reduce environmental liabilities. This exploratory study evaluated the influence of sodium hydroxide concentration and solid-to-liquid ratio on the residual lignin content. Trials were conducted at 80 °C for one hour, using NaOH at 4%, 8%, and 16%, with fiber-to-solution ratios of 1:10 and 1:20. Agitation was controlled and standardized for all samples, ensuring homogeneous mixing. Lignin quantification was performed using the Kappa number method (TAPPI T 236 om-22). The condition of 4% NaOH and a 1:20 ratio presented the lowest Kappa number, indicating high efficiency with lower reagent consumption. The results guide the definition of operational parameters that combine performance with rational use of inputs.</w:t>
      </w:r>
    </w:p>
    <w:p w:rsidR="6099DF13" w:rsidP="68F828EA" w:rsidRDefault="6099DF13" w14:paraId="500DFC89" w14:textId="63B77D41">
      <w:pPr>
        <w:pStyle w:val="06Abstract"/>
        <w:spacing w:line="240" w:lineRule="auto"/>
      </w:pPr>
      <w:r w:rsidRPr="4C1A04C9">
        <w:rPr>
          <w:b/>
          <w:bCs/>
          <w:lang w:eastAsia="zh-CN"/>
        </w:rPr>
        <w:t xml:space="preserve">Keywords: </w:t>
      </w:r>
      <w:r w:rsidRPr="4C1A04C9" w:rsidR="4EFB6549">
        <w:rPr>
          <w:b/>
          <w:bCs/>
          <w:lang w:eastAsia="zh-CN"/>
        </w:rPr>
        <w:t>lignin, pulping, biomass, Kappa number.</w:t>
      </w:r>
    </w:p>
    <w:p w:rsidR="6099DF13" w:rsidP="68F828EA" w:rsidRDefault="6099DF13" w14:paraId="2C395BBA" w14:textId="12BBB262">
      <w:pPr>
        <w:pStyle w:val="06Abstract"/>
        <w:spacing w:line="240" w:lineRule="auto"/>
        <w:rPr>
          <w:b/>
          <w:bCs/>
          <w:lang w:val="pt-BR" w:eastAsia="zh-CN"/>
        </w:rPr>
      </w:pPr>
      <w:r w:rsidRPr="000C39A1">
        <w:rPr>
          <w:b/>
          <w:bCs/>
          <w:lang w:val="pt-BR" w:eastAsia="zh-CN"/>
        </w:rPr>
        <w:t xml:space="preserve">Abbreviations: </w:t>
      </w:r>
      <w:r w:rsidRPr="000C39A1" w:rsidR="51FA35EE">
        <w:rPr>
          <w:b/>
          <w:bCs/>
          <w:lang w:val="pt-BR" w:eastAsia="zh-CN"/>
        </w:rPr>
        <w:t>NaOH – sodium hydroxide; KMnO₄ – potassium permanganate.</w:t>
      </w:r>
    </w:p>
    <w:p w:rsidR="00CF1FCC" w:rsidP="006B3AF1" w:rsidRDefault="00CF1FCC" w14:paraId="6A05A809" w14:textId="77777777">
      <w:pPr>
        <w:pStyle w:val="09BodyIndent"/>
      </w:pPr>
    </w:p>
    <w:p w:rsidRPr="00920A8B" w:rsidR="00920A8B" w:rsidP="006B3AF1" w:rsidRDefault="00920A8B" w14:paraId="5A39BBE3" w14:textId="77777777">
      <w:pPr>
        <w:pStyle w:val="09BodyIndent"/>
        <w:sectPr w:rsidRPr="00920A8B" w:rsidR="00920A8B" w:rsidSect="00DB0A02">
          <w:headerReference w:type="default" r:id="rId10"/>
          <w:footerReference w:type="default" r:id="rId11"/>
          <w:pgSz w:w="11907" w:h="16839" w:orient="portrait" w:code="9"/>
          <w:pgMar w:top="851" w:right="992" w:bottom="851" w:left="1134" w:header="720" w:footer="720" w:gutter="0"/>
          <w:cols w:space="720"/>
          <w:docGrid w:linePitch="360"/>
        </w:sectPr>
      </w:pPr>
    </w:p>
    <w:p w:rsidRPr="000C39A1" w:rsidR="00031EC0" w:rsidP="006B3AF1" w:rsidRDefault="68F828EA" w14:paraId="01249A09" w14:textId="15D65535">
      <w:pPr>
        <w:pStyle w:val="20Heading1"/>
        <w:rPr>
          <w:lang w:val="en-US"/>
        </w:rPr>
      </w:pPr>
      <w:r>
        <w:t xml:space="preserve">1. </w:t>
      </w:r>
      <w:r w:rsidR="20C580DB">
        <w:t xml:space="preserve"> Introdu</w:t>
      </w:r>
      <w:r w:rsidR="23B71B9C">
        <w:t>ction</w:t>
      </w:r>
    </w:p>
    <w:p w:rsidR="00E156AD" w:rsidP="006B3AF1" w:rsidRDefault="00E156AD" w14:paraId="5605C684" w14:textId="06B17B07">
      <w:pPr>
        <w:pStyle w:val="09BodyIndent"/>
      </w:pPr>
    </w:p>
    <w:p w:rsidR="14CA8C18" w:rsidP="4C1A04C9" w:rsidRDefault="14CA8C18" w14:paraId="40EA2BC0" w14:textId="7F0B514E">
      <w:pPr>
        <w:pStyle w:val="09BodyIndent"/>
        <w:rPr>
          <w:lang w:val="en-US"/>
        </w:rPr>
      </w:pPr>
      <w:r w:rsidRPr="621D173A" w:rsidR="30B6F03E">
        <w:rPr>
          <w:lang w:val="en-US"/>
        </w:rPr>
        <w:t>Lig</w:t>
      </w:r>
      <w:r w:rsidRPr="621D173A" w:rsidR="30B6F03E">
        <w:rPr>
          <w:lang w:val="en-US"/>
        </w:rPr>
        <w:t>nocellulos</w:t>
      </w:r>
      <w:r w:rsidRPr="621D173A" w:rsidR="30B6F03E">
        <w:rPr>
          <w:lang w:val="en-US"/>
        </w:rPr>
        <w:t xml:space="preserve">ic biomass is primarily composed </w:t>
      </w:r>
      <w:r w:rsidRPr="621D173A" w:rsidR="05E45153">
        <w:rPr>
          <w:lang w:val="en-US"/>
        </w:rPr>
        <w:t>by</w:t>
      </w:r>
      <w:r w:rsidRPr="621D173A" w:rsidR="05E45153">
        <w:rPr>
          <w:lang w:val="en-US"/>
        </w:rPr>
        <w:t xml:space="preserve"> </w:t>
      </w:r>
      <w:r w:rsidRPr="621D173A" w:rsidR="30B6F03E">
        <w:rPr>
          <w:lang w:val="en-US"/>
        </w:rPr>
        <w:t>cellulose, hemicelluloses, and lignin, along with small fractions of ex</w:t>
      </w:r>
      <w:r w:rsidRPr="621D173A" w:rsidR="30B6F03E">
        <w:rPr>
          <w:lang w:val="en-US"/>
        </w:rPr>
        <w:t xml:space="preserve">tractives </w:t>
      </w:r>
      <w:r w:rsidRPr="621D173A" w:rsidR="30B6F03E">
        <w:rPr>
          <w:lang w:val="en-US"/>
        </w:rPr>
        <w:t xml:space="preserve">and minerals </w:t>
      </w:r>
      <w:r w:rsidRPr="621D173A" w:rsidR="4996B835">
        <w:rPr>
          <w:lang w:val="en-US"/>
        </w:rPr>
        <w:t>[1]</w:t>
      </w:r>
      <w:r w:rsidRPr="621D173A" w:rsidR="30B6F03E">
        <w:rPr>
          <w:lang w:val="en-US"/>
        </w:rPr>
        <w:t xml:space="preserve">. Cellulose is a fibrous polysaccharide with high crystallinity that provides mechanical strength; hemicelluloses are amorphous polymers that contribute to matrix flexibility; and lignin acts as a binding agent, imparting </w:t>
      </w:r>
      <w:r w:rsidRPr="621D173A" w:rsidR="30B6F03E">
        <w:rPr>
          <w:lang w:val="en-US"/>
        </w:rPr>
        <w:t>rigidity</w:t>
      </w:r>
      <w:r w:rsidRPr="621D173A" w:rsidR="30B6F03E">
        <w:rPr>
          <w:lang w:val="en-US"/>
        </w:rPr>
        <w:t xml:space="preserve"> and impermeability to cell walls. This complex structure ensures plant stability but hinders</w:t>
      </w:r>
      <w:r w:rsidRPr="621D173A" w:rsidR="30B6F03E">
        <w:rPr>
          <w:lang w:val="en-US"/>
        </w:rPr>
        <w:t xml:space="preserve"> separation p</w:t>
      </w:r>
      <w:r w:rsidRPr="621D173A" w:rsidR="30B6F03E">
        <w:rPr>
          <w:lang w:val="en-US"/>
        </w:rPr>
        <w:t xml:space="preserve">rocesses and industrial </w:t>
      </w:r>
      <w:r w:rsidRPr="621D173A" w:rsidR="30B6F03E">
        <w:rPr>
          <w:lang w:val="en-US"/>
        </w:rPr>
        <w:t>utilization</w:t>
      </w:r>
      <w:r w:rsidRPr="621D173A" w:rsidR="30B6F03E">
        <w:rPr>
          <w:lang w:val="en-US"/>
        </w:rPr>
        <w:t xml:space="preserve"> </w:t>
      </w:r>
      <w:r w:rsidRPr="621D173A" w:rsidR="7CC2E876">
        <w:rPr>
          <w:lang w:val="en-US"/>
        </w:rPr>
        <w:t>[2]</w:t>
      </w:r>
      <w:r w:rsidRPr="621D173A" w:rsidR="30B6F03E">
        <w:rPr>
          <w:lang w:val="en-US"/>
        </w:rPr>
        <w:t>.</w:t>
      </w:r>
      <w:r w:rsidRPr="621D173A" w:rsidR="1A3D677F">
        <w:rPr>
          <w:lang w:val="en-US"/>
        </w:rPr>
        <w:t xml:space="preserve"> </w:t>
      </w:r>
    </w:p>
    <w:p w:rsidR="1F217E45" w:rsidP="4C1A04C9" w:rsidRDefault="1F217E45" w14:paraId="0F3177E5" w14:textId="21831D78">
      <w:pPr>
        <w:pStyle w:val="09BodyIndent"/>
        <w:rPr>
          <w:lang w:val="en-US"/>
        </w:rPr>
      </w:pPr>
      <w:r w:rsidRPr="4C1A04C9">
        <w:rPr>
          <w:lang w:val="en-US"/>
        </w:rPr>
        <w:t>P</w:t>
      </w:r>
      <w:r w:rsidRPr="4C1A04C9" w:rsidR="6B81BF5A">
        <w:rPr>
          <w:lang w:val="en-US"/>
        </w:rPr>
        <w:t>roportions of these constituents vary according to plant species, age, and growth conditions, directly impacting the selection and optimization of treatments.</w:t>
      </w:r>
    </w:p>
    <w:p w:rsidR="003D141E" w:rsidP="4C1A04C9" w:rsidRDefault="003D141E" w14:paraId="35417A1F" w14:textId="77777777">
      <w:pPr>
        <w:pStyle w:val="09BodyIndent"/>
        <w:rPr>
          <w:lang w:val="en-US"/>
        </w:rPr>
      </w:pPr>
    </w:p>
    <w:p w:rsidR="003D141E" w:rsidP="4C1A04C9" w:rsidRDefault="003D141E" w14:paraId="35A1310D" w14:textId="77777777">
      <w:pPr>
        <w:pStyle w:val="09BodyIndent"/>
        <w:rPr>
          <w:lang w:val="en-US"/>
        </w:rPr>
      </w:pPr>
    </w:p>
    <w:p w:rsidR="002228F9" w:rsidP="621D173A" w:rsidRDefault="002228F9" w14:paraId="270D2DBE" w14:textId="576A78C1">
      <w:pPr>
        <w:pStyle w:val="19FigureMulti-LinesCaption"/>
        <w:rPr>
          <w:rFonts w:eastAsia="Malgun Gothic" w:cs="Times New Roman"/>
        </w:rPr>
      </w:pPr>
      <w:r w:rsidRPr="621D173A" w:rsidR="49AE305C">
        <w:rPr>
          <w:b w:val="1"/>
          <w:bCs w:val="1"/>
        </w:rPr>
        <w:t>Figure 1.</w:t>
      </w:r>
      <w:r w:rsidR="49AE305C">
        <w:rPr/>
        <w:t xml:space="preserve"> </w:t>
      </w:r>
      <w:r w:rsidR="4497721B">
        <w:rPr/>
        <w:t>A</w:t>
      </w:r>
      <w:r w:rsidRPr="621D173A" w:rsidR="4497721B">
        <w:rPr>
          <w:rFonts w:eastAsia="Malgun Gothic" w:cs="Times New Roman"/>
        </w:rPr>
        <w:t>rrangement of cellulose, hemicellulose, and lignin in plant cell walls. Source: Adapted from Hosokawa Alpine Group 2025</w:t>
      </w:r>
      <w:r w:rsidRPr="621D173A" w:rsidR="3D00D817">
        <w:rPr>
          <w:rFonts w:eastAsia="Malgun Gothic" w:cs="Times New Roman"/>
        </w:rPr>
        <w:t xml:space="preserve"> [3]</w:t>
      </w:r>
      <w:r w:rsidRPr="621D173A" w:rsidR="4497721B">
        <w:rPr>
          <w:rFonts w:eastAsia="Malgun Gothic" w:cs="Times New Roman"/>
        </w:rPr>
        <w:t>.</w:t>
      </w:r>
    </w:p>
    <w:p w:rsidR="002228F9" w:rsidP="4C1A04C9" w:rsidRDefault="002228F9" w14:paraId="4C3EEA28" w14:textId="24A9DD85">
      <w:pPr>
        <w:pStyle w:val="09BodyIndent"/>
        <w:rPr>
          <w:lang w:val="en-US"/>
        </w:rPr>
      </w:pPr>
      <w:r>
        <w:rPr>
          <w:noProof/>
        </w:rPr>
        <w:drawing>
          <wp:inline distT="0" distB="0" distL="0" distR="0" wp14:anchorId="23A3FAC1" wp14:editId="20FCA459">
            <wp:extent cx="3007510" cy="2522220"/>
            <wp:effectExtent l="0" t="0" r="0" b="0"/>
            <wp:docPr id="3" name="Imagem 3" descr="Lignin | Hosokawa Al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nin | Hosokawa Alp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498" cy="2540660"/>
                    </a:xfrm>
                    <a:prstGeom prst="rect">
                      <a:avLst/>
                    </a:prstGeom>
                    <a:noFill/>
                    <a:ln>
                      <a:noFill/>
                    </a:ln>
                  </pic:spPr>
                </pic:pic>
              </a:graphicData>
            </a:graphic>
          </wp:inline>
        </w:drawing>
      </w:r>
    </w:p>
    <w:p w:rsidR="6B81BF5A" w:rsidP="621D173A" w:rsidRDefault="6B81BF5A" w14:paraId="281AB9B2" w14:textId="031A0CA2">
      <w:pPr>
        <w:pStyle w:val="09BodyIndent"/>
        <w:rPr>
          <w:lang w:val="en-US"/>
        </w:rPr>
      </w:pPr>
      <w:r w:rsidRPr="621D173A" w:rsidR="41D320CF">
        <w:rPr>
          <w:lang w:val="en-US"/>
        </w:rPr>
        <w:t xml:space="preserve">When this biomass originates from residues of other industrial processes, as in the case of this study, its utilization represents a strategic opportunity within the concept of a circular economy. The use of residual biomass reduces the need for virgin raw materials, mitigates the environmental impacts associated with disposal, </w:t>
      </w:r>
      <w:r w:rsidRPr="621D173A" w:rsidR="41D320CF">
        <w:rPr>
          <w:lang w:val="en-US"/>
        </w:rPr>
        <w:t>and adds value to underutilized streams, aligning production with more sustainable practices</w:t>
      </w:r>
      <w:r w:rsidRPr="621D173A" w:rsidR="5DCF49EC">
        <w:rPr>
          <w:lang w:val="en-US"/>
        </w:rPr>
        <w:t xml:space="preserve"> </w:t>
      </w:r>
      <w:r w:rsidRPr="621D173A" w:rsidR="5DCF49EC">
        <w:rPr>
          <w:lang w:val="en-US"/>
        </w:rPr>
        <w:t>[4]</w:t>
      </w:r>
      <w:r w:rsidRPr="621D173A" w:rsidR="41D320CF">
        <w:rPr>
          <w:lang w:val="en-US"/>
        </w:rPr>
        <w:t>.</w:t>
      </w:r>
    </w:p>
    <w:p w:rsidRPr="000C39A1" w:rsidR="00BF1345" w:rsidP="4C1A04C9" w:rsidRDefault="6B81BF5A" w14:paraId="6DB0FD5A" w14:textId="490138D4">
      <w:pPr>
        <w:pStyle w:val="09BodyIndent"/>
        <w:rPr>
          <w:lang w:val="en-US"/>
        </w:rPr>
      </w:pPr>
      <w:r w:rsidRPr="621D173A" w:rsidR="41D320CF">
        <w:rPr>
          <w:lang w:val="en-US"/>
        </w:rPr>
        <w:t>Lignin</w:t>
      </w:r>
      <w:bookmarkStart w:name="_Int_fwJmYYeW" w:id="0"/>
      <w:r w:rsidRPr="621D173A" w:rsidR="41D320CF">
        <w:rPr>
          <w:lang w:val="en-US"/>
        </w:rPr>
        <w:t>, in particular, represents</w:t>
      </w:r>
      <w:bookmarkEnd w:id="0"/>
      <w:r w:rsidRPr="621D173A" w:rsidR="41D320CF">
        <w:rPr>
          <w:lang w:val="en-US"/>
        </w:rPr>
        <w:t xml:space="preserve"> a physical and chemical barrier to reagent penetration, making its removal essential for fiber liberation. Pulping aims to break this barrier. It is one of the key stages in </w:t>
      </w:r>
      <w:r w:rsidRPr="621D173A" w:rsidR="41D320CF">
        <w:rPr>
          <w:lang w:val="en-US"/>
        </w:rPr>
        <w:t xml:space="preserve">the processing of </w:t>
      </w:r>
      <w:r w:rsidRPr="621D173A" w:rsidR="41D320CF">
        <w:rPr>
          <w:lang w:val="en-US"/>
        </w:rPr>
        <w:t xml:space="preserve">lignocellulosic biomass, </w:t>
      </w:r>
      <w:r w:rsidRPr="621D173A" w:rsidR="41D320CF">
        <w:rPr>
          <w:lang w:val="en-US"/>
        </w:rPr>
        <w:t>being responsible for</w:t>
      </w:r>
      <w:r w:rsidRPr="621D173A" w:rsidR="41D320CF">
        <w:rPr>
          <w:lang w:val="en-US"/>
        </w:rPr>
        <w:t xml:space="preserve"> fiber sepa</w:t>
      </w:r>
      <w:r w:rsidRPr="621D173A" w:rsidR="41D320CF">
        <w:rPr>
          <w:lang w:val="en-US"/>
        </w:rPr>
        <w:t>ration and</w:t>
      </w:r>
      <w:r w:rsidRPr="621D173A" w:rsidR="41D320CF">
        <w:rPr>
          <w:lang w:val="en-US"/>
        </w:rPr>
        <w:t xml:space="preserve"> lignin removal, with a direct impact on pulp quality and the performance of </w:t>
      </w:r>
      <w:r w:rsidRPr="621D173A" w:rsidR="41D320CF">
        <w:rPr>
          <w:lang w:val="en-US"/>
        </w:rPr>
        <w:t>subsequent</w:t>
      </w:r>
      <w:r w:rsidRPr="621D173A" w:rsidR="41D320CF">
        <w:rPr>
          <w:lang w:val="en-US"/>
        </w:rPr>
        <w:t xml:space="preserve"> processes. In non-woody biomass, chemical composition and anatomical structure differ significantly from those of traditional woods, requiring the adaptation of operational parameters </w:t>
      </w:r>
      <w:r w:rsidRPr="621D173A" w:rsidR="5D21D8AE">
        <w:rPr>
          <w:lang w:val="en-US"/>
        </w:rPr>
        <w:t>[1]</w:t>
      </w:r>
      <w:r w:rsidRPr="621D173A" w:rsidR="41D320CF">
        <w:rPr>
          <w:lang w:val="en-US"/>
        </w:rPr>
        <w:t>.</w:t>
      </w:r>
    </w:p>
    <w:p w:rsidR="6B81BF5A" w:rsidP="4C1A04C9" w:rsidRDefault="6B81BF5A" w14:paraId="5191F3CC" w14:textId="1BD1C785">
      <w:pPr>
        <w:pStyle w:val="09BodyIndent"/>
        <w:rPr>
          <w:lang w:val="en-US"/>
        </w:rPr>
      </w:pPr>
      <w:r w:rsidRPr="621D173A" w:rsidR="41D320CF">
        <w:rPr>
          <w:lang w:val="en-US"/>
        </w:rPr>
        <w:t xml:space="preserve">To evaluate lignin removal efficiency, the Kappa number is commonly employed. This method, based on oxidation titration, indirectly quantifies the fraction of residual lignin in the pulp. The reaction occurs </w:t>
      </w:r>
      <w:r w:rsidRPr="621D173A" w:rsidR="41D320CF">
        <w:rPr>
          <w:lang w:val="en-US"/>
        </w:rPr>
        <w:t>predominantly with</w:t>
      </w:r>
      <w:r w:rsidRPr="621D173A" w:rsidR="41D320CF">
        <w:rPr>
          <w:lang w:val="en-US"/>
        </w:rPr>
        <w:t xml:space="preserve"> lignin but may also involve other non-lignin structures </w:t>
      </w:r>
      <w:r w:rsidRPr="621D173A" w:rsidR="41D320CF">
        <w:rPr>
          <w:lang w:val="en-US"/>
        </w:rPr>
        <w:t>containing</w:t>
      </w:r>
      <w:r w:rsidRPr="621D173A" w:rsidR="41D320CF">
        <w:rPr>
          <w:lang w:val="en-US"/>
        </w:rPr>
        <w:t xml:space="preserve"> carbonyl groups or double bonds, such as </w:t>
      </w:r>
      <w:r w:rsidRPr="621D173A" w:rsidR="41D320CF">
        <w:rPr>
          <w:lang w:val="en-US"/>
        </w:rPr>
        <w:t>α,β</w:t>
      </w:r>
      <w:r w:rsidRPr="621D173A" w:rsidR="41D320CF">
        <w:rPr>
          <w:lang w:val="en-US"/>
        </w:rPr>
        <w:t xml:space="preserve">-unsaturated aldehydes and α-ketocarboxylic acids, which likewise consume potassium permanganate (KMnO₄) in an acidic medium </w:t>
      </w:r>
      <w:r w:rsidRPr="621D173A" w:rsidR="19695035">
        <w:rPr>
          <w:lang w:val="en-US"/>
        </w:rPr>
        <w:t>[5]</w:t>
      </w:r>
      <w:r w:rsidRPr="621D173A" w:rsidR="41D320CF">
        <w:rPr>
          <w:lang w:val="en-US"/>
        </w:rPr>
        <w:t xml:space="preserve">. Under specific conditions, the formation of oxidizable byproducts, such as </w:t>
      </w:r>
      <w:r w:rsidRPr="621D173A" w:rsidR="41D320CF">
        <w:rPr>
          <w:lang w:val="en-US"/>
        </w:rPr>
        <w:t>hexenuronic</w:t>
      </w:r>
      <w:r w:rsidRPr="621D173A" w:rsidR="41D320CF">
        <w:rPr>
          <w:lang w:val="en-US"/>
        </w:rPr>
        <w:t xml:space="preserve"> acids (</w:t>
      </w:r>
      <w:r w:rsidRPr="621D173A" w:rsidR="41D320CF">
        <w:rPr>
          <w:lang w:val="en-US"/>
        </w:rPr>
        <w:t>HexA</w:t>
      </w:r>
      <w:r w:rsidRPr="621D173A" w:rsidR="41D320CF">
        <w:rPr>
          <w:lang w:val="en-US"/>
        </w:rPr>
        <w:t xml:space="preserve">), may contribute to an increase in the measured </w:t>
      </w:r>
      <w:r w:rsidRPr="621D173A" w:rsidR="41D320CF">
        <w:rPr>
          <w:lang w:val="en-US"/>
        </w:rPr>
        <w:t>value, since</w:t>
      </w:r>
      <w:r w:rsidRPr="621D173A" w:rsidR="41D320CF">
        <w:rPr>
          <w:lang w:val="en-US"/>
        </w:rPr>
        <w:t xml:space="preserve"> they also react with the oxidant. Thus, although traditionally used in the pulp industry to estimate lignin content and </w:t>
      </w:r>
      <w:r w:rsidRPr="621D173A" w:rsidR="41D320CF">
        <w:rPr>
          <w:lang w:val="en-US"/>
        </w:rPr>
        <w:t>determine</w:t>
      </w:r>
      <w:r w:rsidRPr="621D173A" w:rsidR="41D320CF">
        <w:rPr>
          <w:lang w:val="en-US"/>
        </w:rPr>
        <w:t xml:space="preserve"> reagent charges for </w:t>
      </w:r>
      <w:r w:rsidRPr="621D173A" w:rsidR="41D320CF">
        <w:rPr>
          <w:lang w:val="en-US"/>
        </w:rPr>
        <w:t>subsequent</w:t>
      </w:r>
      <w:r w:rsidRPr="621D173A" w:rsidR="41D320CF">
        <w:rPr>
          <w:lang w:val="en-US"/>
        </w:rPr>
        <w:t xml:space="preserve"> stages, the Kappa </w:t>
      </w:r>
      <w:r w:rsidRPr="621D173A" w:rsidR="41D320CF">
        <w:rPr>
          <w:lang w:val="en-US"/>
        </w:rPr>
        <w:t>number reflects the overall oxidant consumption by lignin and other compounds present in the biomass, providing a comprehensive indicator of pulp condition.</w:t>
      </w:r>
    </w:p>
    <w:p w:rsidR="6B81BF5A" w:rsidP="4C1A04C9" w:rsidRDefault="6B81BF5A" w14:paraId="7BEC8C52" w14:textId="0C26F6E2">
      <w:pPr>
        <w:pStyle w:val="09BodyIndent"/>
        <w:rPr>
          <w:lang w:val="en-US"/>
        </w:rPr>
      </w:pPr>
      <w:r w:rsidRPr="4C1A04C9">
        <w:rPr>
          <w:lang w:val="en-US"/>
        </w:rPr>
        <w:t>In this study, we investigated the influence of NaOH concentration and solid-to-liquid ratio on the reduction of lignin content,</w:t>
      </w:r>
      <w:r w:rsidRPr="4C1A04C9" w:rsidR="54FD4C6D">
        <w:rPr>
          <w:lang w:val="en-US"/>
        </w:rPr>
        <w:t xml:space="preserve"> in a non-conventional lignocellulosic biomass,</w:t>
      </w:r>
      <w:r w:rsidRPr="4C1A04C9">
        <w:rPr>
          <w:lang w:val="en-US"/>
        </w:rPr>
        <w:t xml:space="preserve"> determined by the Kappa number, focusing on defining more efficient and economically viable conditions.</w:t>
      </w:r>
    </w:p>
    <w:p w:rsidR="0072647A" w:rsidP="4C1A04C9" w:rsidRDefault="0072647A" w14:paraId="5002E944" w14:textId="77777777">
      <w:pPr>
        <w:pStyle w:val="09BodyIndent"/>
        <w:rPr>
          <w:lang w:val="en-US"/>
        </w:rPr>
      </w:pPr>
    </w:p>
    <w:p w:rsidR="20C580DB" w:rsidP="68F828EA" w:rsidRDefault="20C580DB" w14:paraId="3DD9BC78" w14:textId="33B51541">
      <w:pPr>
        <w:pStyle w:val="20Heading1"/>
      </w:pPr>
      <w:r w:rsidRPr="4C1A04C9">
        <w:rPr>
          <w:lang w:val="pt-BR"/>
        </w:rPr>
        <w:t>2.  Met</w:t>
      </w:r>
      <w:r w:rsidRPr="4C1A04C9" w:rsidR="4E2025B3">
        <w:rPr>
          <w:lang w:val="pt-BR"/>
        </w:rPr>
        <w:t>hodology</w:t>
      </w:r>
    </w:p>
    <w:p w:rsidR="68F828EA" w:rsidP="68F828EA" w:rsidRDefault="68F828EA" w14:paraId="0B5FA20A" w14:textId="50BED752">
      <w:pPr>
        <w:pStyle w:val="20Heading1"/>
        <w:rPr>
          <w:lang w:val="pt-BR"/>
        </w:rPr>
      </w:pPr>
    </w:p>
    <w:p w:rsidR="2BDE4CFC" w:rsidP="68F828EA" w:rsidRDefault="2BDE4CFC" w14:paraId="52B090ED" w14:textId="63E05474">
      <w:pPr>
        <w:pStyle w:val="21Heading2"/>
      </w:pPr>
      <w:r>
        <w:t>2.1</w:t>
      </w:r>
      <w:r w:rsidRPr="4C1A04C9" w:rsidR="3D919A3D">
        <w:rPr>
          <w:rFonts w:eastAsia="SimSun"/>
          <w:lang w:eastAsia="zh-CN"/>
        </w:rPr>
        <w:t>.</w:t>
      </w:r>
      <w:r>
        <w:t xml:space="preserve"> P</w:t>
      </w:r>
      <w:r w:rsidR="5897DA6C">
        <w:t>ulpin</w:t>
      </w:r>
      <w:r w:rsidR="5897DA6C">
        <w:t>g</w:t>
      </w:r>
    </w:p>
    <w:p w:rsidR="5897DA6C" w:rsidP="4C1A04C9" w:rsidRDefault="5897DA6C" w14:paraId="272A05FA" w14:textId="494FEA2F">
      <w:pPr>
        <w:pStyle w:val="09BodyIndent"/>
      </w:pPr>
      <w:r w:rsidRPr="4C1A04C9">
        <w:rPr>
          <w:lang w:val="en-US"/>
        </w:rPr>
        <w:t>Pulping was carried out at 80 °C for one hour, using different sodium hydroxide concentrations (4%, 8%, and 16%) and solid-to-liquid (s/l) ratios of 1:10 and 1:20. The biomass used was previously dried to a moisture content of approximately 15%, milled, and sieved through a 40-mesh screen to standardize particle size. The process consisted of heating and controlled, standardized agitation for all samples, sufficient to maintain a homogeneous mixture throughout the treatment. After draining the black liquor, an intermediate washing of the fibers with distilled water was performed to remove liquor residues and prepare the sample for subsequent stages.</w:t>
      </w:r>
    </w:p>
    <w:p w:rsidR="00545B30" w:rsidP="68F828EA" w:rsidRDefault="00545B30" w14:paraId="64E6E98B" w14:textId="77777777">
      <w:pPr>
        <w:pStyle w:val="09BodyIndent"/>
      </w:pPr>
    </w:p>
    <w:p w:rsidR="621D173A" w:rsidP="621D173A" w:rsidRDefault="621D173A" w14:paraId="13B555B6" w14:textId="67C894C9">
      <w:pPr>
        <w:pStyle w:val="09BodyIndent"/>
      </w:pPr>
    </w:p>
    <w:p w:rsidR="621D173A" w:rsidP="621D173A" w:rsidRDefault="621D173A" w14:paraId="4C5F77EF" w14:textId="68AE26D1">
      <w:pPr>
        <w:pStyle w:val="09BodyIndent"/>
      </w:pPr>
    </w:p>
    <w:p w:rsidR="621D173A" w:rsidP="621D173A" w:rsidRDefault="621D173A" w14:paraId="08D749CB" w14:textId="57205375">
      <w:pPr>
        <w:pStyle w:val="09BodyIndent"/>
      </w:pPr>
    </w:p>
    <w:p w:rsidR="2F89BA67" w:rsidP="4C1A04C9" w:rsidRDefault="2F89BA67" w14:paraId="688D9D95" w14:textId="764A62DB">
      <w:pPr>
        <w:pStyle w:val="22Heading3"/>
        <w:spacing w:before="0" w:after="0" w:line="360" w:lineRule="auto"/>
        <w:rPr>
          <w:lang w:eastAsia="zh-CN"/>
        </w:rPr>
      </w:pPr>
      <w:r>
        <w:t>2.</w:t>
      </w:r>
      <w:r w:rsidR="6FA4ED69">
        <w:t>2</w:t>
      </w:r>
      <w:r w:rsidRPr="4C1A04C9" w:rsidR="3D919A3D">
        <w:rPr>
          <w:rFonts w:eastAsia="SimSun"/>
          <w:lang w:eastAsia="zh-CN"/>
        </w:rPr>
        <w:t>.</w:t>
      </w:r>
      <w:r>
        <w:t xml:space="preserve"> </w:t>
      </w:r>
      <w:r w:rsidR="32EC9556">
        <w:t>Kappa</w:t>
      </w:r>
      <w:r w:rsidR="74AFD69E">
        <w:t xml:space="preserve"> Number Determination</w:t>
      </w:r>
      <w:bookmarkStart w:name="OLE_LINK9" w:id="1"/>
      <w:bookmarkEnd w:id="1"/>
    </w:p>
    <w:p w:rsidR="68F828EA" w:rsidP="68F828EA" w:rsidRDefault="68F828EA" w14:paraId="2764A04B" w14:textId="535E74F5">
      <w:pPr>
        <w:pStyle w:val="22Heading3"/>
        <w:spacing w:before="0" w:after="0" w:line="360" w:lineRule="auto"/>
      </w:pPr>
    </w:p>
    <w:p w:rsidR="74AFD69E" w:rsidP="4C1A04C9" w:rsidRDefault="74AFD69E" w14:paraId="53E73B2B" w14:textId="5D28AB82">
      <w:pPr>
        <w:pStyle w:val="22Heading3"/>
        <w:spacing w:before="0" w:after="0" w:line="360" w:lineRule="auto"/>
        <w:rPr>
          <w:b w:val="0"/>
          <w:bCs w:val="0"/>
          <w:lang w:val="en-US"/>
        </w:rPr>
      </w:pPr>
      <w:r w:rsidRPr="621D173A" w:rsidR="43DC91DD">
        <w:rPr>
          <w:b w:val="0"/>
          <w:bCs w:val="0"/>
          <w:lang w:val="en-US"/>
        </w:rPr>
        <w:t xml:space="preserve">The residual lignin content was estimated using the Kappa number method (ANSI/TAPPI T </w:t>
      </w:r>
      <w:r w:rsidRPr="621D173A" w:rsidR="43DC91DD">
        <w:rPr>
          <w:b w:val="0"/>
          <w:bCs w:val="0"/>
          <w:lang w:val="en-US"/>
        </w:rPr>
        <w:t xml:space="preserve">236 </w:t>
      </w:r>
      <w:r w:rsidRPr="621D173A" w:rsidR="43DC91DD">
        <w:rPr>
          <w:b w:val="0"/>
          <w:bCs w:val="0"/>
          <w:lang w:val="en-US"/>
        </w:rPr>
        <w:t>om</w:t>
      </w:r>
      <w:r w:rsidRPr="621D173A" w:rsidR="43DC91DD">
        <w:rPr>
          <w:b w:val="0"/>
          <w:bCs w:val="0"/>
          <w:lang w:val="en-US"/>
        </w:rPr>
        <w:t>-22). This titration method indirectly quantifies lignin by measuring the consumption of potassium permanganate (</w:t>
      </w:r>
      <w:r w:rsidRPr="621D173A" w:rsidR="43DC91DD">
        <w:rPr>
          <w:b w:val="0"/>
          <w:bCs w:val="0"/>
          <w:lang w:val="en-US"/>
        </w:rPr>
        <w:t>KMnO</w:t>
      </w:r>
      <w:r w:rsidRPr="621D173A" w:rsidR="43DC91DD">
        <w:rPr>
          <w:b w:val="0"/>
          <w:bCs w:val="0"/>
          <w:lang w:val="en-US"/>
        </w:rPr>
        <w:t xml:space="preserve">₄) in an acidic medium. Initially, the sample is weighed considering its moisture content and mechanically dispersed in distilled water to ensure complete fiber separation. Subsequently, 4N sulfuric acid is added to provide the acidic conditions </w:t>
      </w:r>
      <w:r w:rsidRPr="621D173A" w:rsidR="43DC91DD">
        <w:rPr>
          <w:b w:val="0"/>
          <w:bCs w:val="0"/>
          <w:lang w:val="en-US"/>
        </w:rPr>
        <w:t>required</w:t>
      </w:r>
      <w:r w:rsidRPr="621D173A" w:rsidR="43DC91DD">
        <w:rPr>
          <w:b w:val="0"/>
          <w:bCs w:val="0"/>
          <w:lang w:val="en-US"/>
        </w:rPr>
        <w:t xml:space="preserve"> for the reaction, followed </w:t>
      </w:r>
      <w:r w:rsidRPr="621D173A" w:rsidR="43DC91DD">
        <w:rPr>
          <w:b w:val="0"/>
          <w:bCs w:val="0"/>
          <w:lang w:val="en-US"/>
        </w:rPr>
        <w:t>immediately</w:t>
      </w:r>
      <w:r w:rsidRPr="621D173A" w:rsidR="43DC91DD">
        <w:rPr>
          <w:b w:val="0"/>
          <w:bCs w:val="0"/>
          <w:lang w:val="en-US"/>
        </w:rPr>
        <w:t xml:space="preserve"> by the addition of a 0.1N </w:t>
      </w:r>
      <w:r w:rsidRPr="621D173A" w:rsidR="43DC91DD">
        <w:rPr>
          <w:b w:val="0"/>
          <w:bCs w:val="0"/>
          <w:lang w:val="en-US"/>
        </w:rPr>
        <w:t>KMnO</w:t>
      </w:r>
      <w:r w:rsidRPr="621D173A" w:rsidR="43DC91DD">
        <w:rPr>
          <w:b w:val="0"/>
          <w:bCs w:val="0"/>
          <w:lang w:val="en-US"/>
        </w:rPr>
        <w:t>₄ solution. The mixture is kept under constant stirring for 10 minutes. The reaction is then stopped by adding 1N potassium iodide solution, which releases</w:t>
      </w:r>
      <w:r w:rsidRPr="621D173A" w:rsidR="11D415C8">
        <w:rPr>
          <w:b w:val="0"/>
          <w:bCs w:val="0"/>
          <w:lang w:val="en-US"/>
        </w:rPr>
        <w:t xml:space="preserve"> </w:t>
      </w:r>
      <w:r w:rsidRPr="621D173A" w:rsidR="43DC91DD">
        <w:rPr>
          <w:b w:val="0"/>
          <w:bCs w:val="0"/>
          <w:lang w:val="en-US"/>
        </w:rPr>
        <w:t>iodine</w:t>
      </w:r>
      <w:r w:rsidRPr="621D173A" w:rsidR="43DC91DD">
        <w:rPr>
          <w:b w:val="0"/>
          <w:bCs w:val="0"/>
          <w:lang w:val="en-US"/>
        </w:rPr>
        <w:t xml:space="preserve"> proportional to the remaining permanganate. This iodine is titrated with 0.1N sodium thiosulfate until a pale-yellow color is reached, at which point </w:t>
      </w:r>
      <w:r w:rsidRPr="621D173A" w:rsidR="50D6B5FD">
        <w:rPr>
          <w:b w:val="0"/>
          <w:bCs w:val="0"/>
          <w:lang w:val="en-US"/>
        </w:rPr>
        <w:t xml:space="preserve">a </w:t>
      </w:r>
      <w:r w:rsidRPr="621D173A" w:rsidR="43DC91DD">
        <w:rPr>
          <w:b w:val="0"/>
          <w:bCs w:val="0"/>
          <w:lang w:val="en-US"/>
        </w:rPr>
        <w:t xml:space="preserve">starch </w:t>
      </w:r>
      <w:r w:rsidRPr="621D173A" w:rsidR="255E9357">
        <w:rPr>
          <w:b w:val="0"/>
          <w:bCs w:val="0"/>
          <w:lang w:val="en-US"/>
        </w:rPr>
        <w:t xml:space="preserve">solution </w:t>
      </w:r>
      <w:r w:rsidRPr="621D173A" w:rsidR="43DC91DD">
        <w:rPr>
          <w:b w:val="0"/>
          <w:bCs w:val="0"/>
          <w:lang w:val="en-US"/>
        </w:rPr>
        <w:t xml:space="preserve">is added as an indicator. The titration continues until the disappearance of the blue color, </w:t>
      </w:r>
      <w:r w:rsidRPr="621D173A" w:rsidR="43DC91DD">
        <w:rPr>
          <w:b w:val="0"/>
          <w:bCs w:val="0"/>
          <w:lang w:val="en-US"/>
        </w:rPr>
        <w:t>indicating</w:t>
      </w:r>
      <w:r w:rsidRPr="621D173A" w:rsidR="43DC91DD">
        <w:rPr>
          <w:b w:val="0"/>
          <w:bCs w:val="0"/>
          <w:lang w:val="en-US"/>
        </w:rPr>
        <w:t xml:space="preserve"> the endpoint. The Kappa number calculation considers the volume of reagent consumed, its normality, the dry mass of the sample, and temperature and calibration correction factors.</w:t>
      </w:r>
    </w:p>
    <w:p w:rsidR="002F6300" w:rsidP="002F6300" w:rsidRDefault="002F6300" w14:paraId="3D7588BE" w14:textId="77777777">
      <w:pPr>
        <w:pStyle w:val="22Heading3"/>
        <w:spacing w:before="0" w:after="0" w:line="360" w:lineRule="auto"/>
        <w:jc w:val="right"/>
        <w:rPr>
          <w:b w:val="0"/>
          <w:lang w:val="en-US"/>
        </w:rPr>
      </w:pPr>
      <w:r w:rsidRPr="00A21EFD">
        <w:drawing>
          <wp:inline distT="0" distB="0" distL="0" distR="0" wp14:anchorId="610BA8CE" wp14:editId="1757C121">
            <wp:extent cx="1579419" cy="371549"/>
            <wp:effectExtent l="0" t="0" r="190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6189" cy="394314"/>
                    </a:xfrm>
                    <a:prstGeom prst="rect">
                      <a:avLst/>
                    </a:prstGeom>
                  </pic:spPr>
                </pic:pic>
              </a:graphicData>
            </a:graphic>
          </wp:inline>
        </w:drawing>
      </w:r>
      <w:r>
        <w:t xml:space="preserve">              </w:t>
      </w:r>
      <w:r w:rsidRPr="00A21EFD">
        <w:rPr>
          <w:b w:val="0"/>
          <w:lang w:val="en-US"/>
        </w:rPr>
        <w:t>(1)</w:t>
      </w:r>
    </w:p>
    <w:p w:rsidR="00BE2F20" w:rsidP="00BE2F20" w:rsidRDefault="00BE2F20" w14:paraId="53128261" w14:textId="01631E6D">
      <w:pPr>
        <w:pStyle w:val="22Heading3"/>
        <w:spacing w:before="0" w:after="0" w:line="360" w:lineRule="auto"/>
        <w:rPr>
          <w:b w:val="0"/>
          <w:bCs w:val="0"/>
        </w:rPr>
      </w:pPr>
      <w:r w:rsidRPr="621D173A" w:rsidR="7595C71B">
        <w:rPr>
          <w:rFonts w:ascii="Times New Roman" w:hAnsi="Times New Roman" w:eastAsia="Malgun Gothic" w:cs="Times New Roman"/>
          <w:b w:val="0"/>
          <w:bCs w:val="0"/>
          <w:color w:val="auto"/>
          <w:sz w:val="24"/>
          <w:szCs w:val="24"/>
          <w:lang w:eastAsia="en-US" w:bidi="ar-SA"/>
        </w:rPr>
        <w:t>The parameters used in Equation (1) are defined as follows: K represents the Kappa number (dimensionless); f is the correction factor for 50% permanganate consumption (dimensionless); w is the oven-dried pulp weight of the specimen, expressed in grams (g); p corresponds to the volume of 0.1 N potassium permanganate actually consumed by the test specimen, in milliliters (mL); b is the volume of sodium thiosulfate consumed in the blank determination, in milliliters (mL); a is the volume of sodium thiosulfate consumed by the test specimen, also in milliliters (mL); and N is the normality of the sodium thiosulfate solution (N).</w:t>
      </w:r>
    </w:p>
    <w:p w:rsidR="621D173A" w:rsidP="621D173A" w:rsidRDefault="621D173A" w14:paraId="6A39ADA9" w14:textId="7B0C0E5F">
      <w:pPr>
        <w:pStyle w:val="22Heading3"/>
        <w:spacing w:before="0" w:after="0" w:line="360" w:lineRule="auto"/>
        <w:rPr>
          <w:rFonts w:ascii="Times New Roman" w:hAnsi="Times New Roman" w:eastAsia="Malgun Gothic" w:cs="Times New Roman"/>
          <w:b w:val="0"/>
          <w:bCs w:val="0"/>
          <w:color w:val="auto"/>
          <w:sz w:val="24"/>
          <w:szCs w:val="24"/>
          <w:lang w:eastAsia="en-US" w:bidi="ar-SA"/>
        </w:rPr>
      </w:pPr>
    </w:p>
    <w:p w:rsidRPr="00CF1FCC" w:rsidR="00680446" w:rsidP="68F828EA" w:rsidRDefault="149D412A" w14:paraId="513D12D6" w14:textId="2CEEBA44">
      <w:pPr>
        <w:pStyle w:val="22Heading3"/>
        <w:spacing w:before="0" w:after="0" w:line="360" w:lineRule="auto"/>
        <w:rPr>
          <w:lang w:eastAsia="zh-CN"/>
        </w:rPr>
      </w:pPr>
      <w:r>
        <w:t>3. Res</w:t>
      </w:r>
      <w:r w:rsidR="6169C1F2">
        <w:t>ults and Discussion</w:t>
      </w:r>
    </w:p>
    <w:p w:rsidR="008320D9" w:rsidP="00BE2F20" w:rsidRDefault="008320D9" w14:paraId="338505FB" w14:textId="77777777">
      <w:pPr>
        <w:pStyle w:val="09BodyIndent"/>
      </w:pPr>
    </w:p>
    <w:p w:rsidR="66633E72" w:rsidP="68F828EA" w:rsidRDefault="66633E72" w14:paraId="01D57F09" w14:textId="036BE7DD">
      <w:pPr>
        <w:pStyle w:val="22Heading3"/>
        <w:spacing w:before="0" w:after="0" w:line="360" w:lineRule="auto"/>
      </w:pPr>
      <w:r w:rsidRPr="000C39A1">
        <w:rPr>
          <w:lang w:val="en-US"/>
        </w:rPr>
        <w:t xml:space="preserve">3.1. </w:t>
      </w:r>
      <w:r w:rsidRPr="000C39A1" w:rsidR="34A1FDBB">
        <w:rPr>
          <w:lang w:val="en-US"/>
        </w:rPr>
        <w:t>Solid-to-Liquid Ratio 1:10</w:t>
      </w:r>
    </w:p>
    <w:p w:rsidR="68F828EA" w:rsidP="68F828EA" w:rsidRDefault="68F828EA" w14:paraId="01F27AF4" w14:textId="1842E57A">
      <w:pPr>
        <w:pStyle w:val="09BodyIndent"/>
      </w:pPr>
    </w:p>
    <w:p w:rsidR="34A1FDBB" w:rsidP="4C1A04C9" w:rsidRDefault="34A1FDBB" w14:paraId="331B09FD" w14:textId="2DB89037">
      <w:pPr>
        <w:pStyle w:val="09BodyIndent"/>
      </w:pPr>
      <w:r>
        <w:t xml:space="preserve">It was observed that the Kappa numbers remained higher under this condition, with variations among concentrations indicating a partial </w:t>
      </w:r>
      <w:r>
        <w:t>reduction when the NaOH content was increased. Table 1 presents the Kappa number values and the percentage of residual lignin obtained for the 1:10 ratio at all concentrations evaluated.</w:t>
      </w:r>
    </w:p>
    <w:p w:rsidR="003D141E" w:rsidP="4C1A04C9" w:rsidRDefault="003D141E" w14:paraId="6143D5E7" w14:textId="77777777">
      <w:pPr>
        <w:pStyle w:val="09BodyIndent"/>
      </w:pPr>
    </w:p>
    <w:p w:rsidR="6B7D683C" w:rsidP="68F828EA" w:rsidRDefault="6B7D683C" w14:paraId="71B85C31" w14:textId="698F8052">
      <w:pPr>
        <w:pStyle w:val="19FigureMulti-LinesCaption"/>
      </w:pPr>
      <w:r w:rsidRPr="68F828EA">
        <w:rPr>
          <w:b/>
          <w:bCs/>
        </w:rPr>
        <w:t>Table 1.</w:t>
      </w:r>
      <w:r>
        <w:t xml:space="preserve">  NaOH Concentration – Kappa Number and Residual </w:t>
      </w:r>
      <w:r w:rsidR="428DD282">
        <w:t>Lignin (</w:t>
      </w:r>
      <w:r>
        <w:t>1:10 S/L)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3"/>
        <w:gridCol w:w="1485"/>
        <w:gridCol w:w="1482"/>
      </w:tblGrid>
      <w:tr w:rsidR="68F828EA" w:rsidTr="68F828EA" w14:paraId="4838A1BA" w14:textId="77777777">
        <w:trPr>
          <w:trHeight w:val="525"/>
        </w:trPr>
        <w:tc>
          <w:tcPr>
            <w:tcW w:w="1770" w:type="dxa"/>
            <w:vAlign w:val="center"/>
          </w:tcPr>
          <w:p w:rsidR="27BE5C55" w:rsidP="68F828EA" w:rsidRDefault="27BE5C55" w14:paraId="50D51045" w14:textId="76F2C4C6">
            <w:pPr>
              <w:pStyle w:val="15TableHeading"/>
            </w:pPr>
            <w:r>
              <w:t>NaOH Concentration (</w:t>
            </w:r>
            <w:r w:rsidR="3BB782CB">
              <w:t>w</w:t>
            </w:r>
            <w:r>
              <w:t>/v)</w:t>
            </w:r>
          </w:p>
        </w:tc>
        <w:tc>
          <w:tcPr>
            <w:tcW w:w="1530" w:type="dxa"/>
            <w:vAlign w:val="center"/>
          </w:tcPr>
          <w:p w:rsidR="47557E2B" w:rsidP="68F828EA" w:rsidRDefault="47557E2B" w14:paraId="255E6FB7" w14:textId="6E19884F">
            <w:pPr>
              <w:pStyle w:val="15TableHeading"/>
            </w:pPr>
            <w:r>
              <w:t>Kappa Number</w:t>
            </w:r>
          </w:p>
        </w:tc>
        <w:tc>
          <w:tcPr>
            <w:tcW w:w="1524" w:type="dxa"/>
            <w:vAlign w:val="center"/>
          </w:tcPr>
          <w:p w:rsidR="4FF62D69" w:rsidP="68F828EA" w:rsidRDefault="4FF62D69" w14:paraId="34566DAE" w14:textId="331FA930">
            <w:pPr>
              <w:pStyle w:val="15TableHeading"/>
            </w:pPr>
            <w:r>
              <w:t>% Residual Lignin</w:t>
            </w:r>
          </w:p>
        </w:tc>
      </w:tr>
      <w:tr w:rsidR="68F828EA" w:rsidTr="68F828EA" w14:paraId="69914C1E" w14:textId="77777777">
        <w:trPr>
          <w:trHeight w:val="300"/>
        </w:trPr>
        <w:tc>
          <w:tcPr>
            <w:tcW w:w="1770" w:type="dxa"/>
          </w:tcPr>
          <w:p w:rsidR="20893A41" w:rsidP="68F828EA" w:rsidRDefault="20893A41" w14:paraId="3601E0C6" w14:textId="1F596BF0">
            <w:pPr>
              <w:pStyle w:val="16TableBody"/>
            </w:pPr>
            <w:r>
              <w:t>4%</w:t>
            </w:r>
          </w:p>
        </w:tc>
        <w:tc>
          <w:tcPr>
            <w:tcW w:w="1530" w:type="dxa"/>
          </w:tcPr>
          <w:p w:rsidR="1B6244A3" w:rsidP="68F828EA" w:rsidRDefault="1B6244A3" w14:paraId="52D502C1" w14:textId="2601BE4E">
            <w:pPr>
              <w:pStyle w:val="16TableBody"/>
            </w:pPr>
            <w:r>
              <w:t>64,45</w:t>
            </w:r>
          </w:p>
        </w:tc>
        <w:tc>
          <w:tcPr>
            <w:tcW w:w="1524" w:type="dxa"/>
          </w:tcPr>
          <w:p w:rsidR="1B6244A3" w:rsidP="68F828EA" w:rsidRDefault="1B6244A3" w14:paraId="54114195" w14:textId="177540AC">
            <w:pPr>
              <w:pStyle w:val="16TableBody"/>
            </w:pPr>
            <w:r>
              <w:t>9,7</w:t>
            </w:r>
          </w:p>
        </w:tc>
      </w:tr>
      <w:tr w:rsidR="68F828EA" w:rsidTr="68F828EA" w14:paraId="10B50B6B" w14:textId="77777777">
        <w:trPr>
          <w:trHeight w:val="300"/>
        </w:trPr>
        <w:tc>
          <w:tcPr>
            <w:tcW w:w="1770" w:type="dxa"/>
          </w:tcPr>
          <w:p w:rsidR="20893A41" w:rsidP="68F828EA" w:rsidRDefault="20893A41" w14:paraId="0A809018" w14:textId="193B964C">
            <w:pPr>
              <w:pStyle w:val="16TableBody"/>
            </w:pPr>
            <w:r>
              <w:t>8%</w:t>
            </w:r>
          </w:p>
        </w:tc>
        <w:tc>
          <w:tcPr>
            <w:tcW w:w="1530" w:type="dxa"/>
          </w:tcPr>
          <w:p w:rsidR="522D1A22" w:rsidP="68F828EA" w:rsidRDefault="522D1A22" w14:paraId="5BFB4449" w14:textId="3CDF7AD2">
            <w:pPr>
              <w:pStyle w:val="16TableBody"/>
            </w:pPr>
            <w:r>
              <w:t>67,67</w:t>
            </w:r>
          </w:p>
        </w:tc>
        <w:tc>
          <w:tcPr>
            <w:tcW w:w="1524" w:type="dxa"/>
          </w:tcPr>
          <w:p w:rsidR="4BCF7E18" w:rsidP="68F828EA" w:rsidRDefault="4BCF7E18" w14:paraId="3E80F012" w14:textId="0AD87603">
            <w:pPr>
              <w:pStyle w:val="16TableBody"/>
              <w:rPr>
                <w:lang w:val="pt-BR"/>
              </w:rPr>
            </w:pPr>
            <w:r w:rsidRPr="68F828EA">
              <w:rPr>
                <w:lang w:val="pt-BR"/>
              </w:rPr>
              <w:t>10,2</w:t>
            </w:r>
          </w:p>
        </w:tc>
      </w:tr>
      <w:tr w:rsidR="68F828EA" w:rsidTr="68F828EA" w14:paraId="5B6AF9DC" w14:textId="77777777">
        <w:trPr>
          <w:trHeight w:val="300"/>
        </w:trPr>
        <w:tc>
          <w:tcPr>
            <w:tcW w:w="1770" w:type="dxa"/>
          </w:tcPr>
          <w:p w:rsidR="20893A41" w:rsidP="68F828EA" w:rsidRDefault="20893A41" w14:paraId="4DFAD94A" w14:textId="6E2EBAF6">
            <w:pPr>
              <w:pStyle w:val="16TableBody"/>
            </w:pPr>
            <w:r>
              <w:t>16%</w:t>
            </w:r>
          </w:p>
        </w:tc>
        <w:tc>
          <w:tcPr>
            <w:tcW w:w="1530" w:type="dxa"/>
          </w:tcPr>
          <w:p w:rsidR="655667EB" w:rsidP="68F828EA" w:rsidRDefault="655667EB" w14:paraId="1B51A1CC" w14:textId="7FFDC8B8">
            <w:pPr>
              <w:pStyle w:val="16TableBody"/>
            </w:pPr>
            <w:r>
              <w:t>78,89</w:t>
            </w:r>
          </w:p>
        </w:tc>
        <w:tc>
          <w:tcPr>
            <w:tcW w:w="1524" w:type="dxa"/>
          </w:tcPr>
          <w:p w:rsidR="655667EB" w:rsidP="68F828EA" w:rsidRDefault="655667EB" w14:paraId="22DA1F8C" w14:textId="16EBE151">
            <w:pPr>
              <w:pStyle w:val="16TableBody"/>
              <w:rPr>
                <w:lang w:val="pt-BR"/>
              </w:rPr>
            </w:pPr>
            <w:r w:rsidRPr="68F828EA">
              <w:rPr>
                <w:lang w:val="pt-BR"/>
              </w:rPr>
              <w:t>11,8</w:t>
            </w:r>
          </w:p>
        </w:tc>
      </w:tr>
    </w:tbl>
    <w:p w:rsidR="68F828EA" w:rsidP="68F828EA" w:rsidRDefault="68F828EA" w14:paraId="704BF55B" w14:textId="2AFFE397">
      <w:pPr>
        <w:pStyle w:val="09BodyIndent"/>
        <w:rPr>
          <w:lang w:val="pt-BR"/>
        </w:rPr>
      </w:pPr>
    </w:p>
    <w:p w:rsidR="4CA7E355" w:rsidP="4C1A04C9" w:rsidRDefault="4CA7E355" w14:paraId="561C5C9D" w14:textId="29BAC1DE">
      <w:pPr>
        <w:pStyle w:val="09BodyIndent"/>
      </w:pPr>
      <w:r>
        <w:t xml:space="preserve">It is evident that the decrease in Kappa number with increasing NaOH concentration does not follow a linear relationship. Between 4% and 8%, there is a more pronounced drop, attributed to the greater availability of OH⁻ ions to break ester and ether bonds between lignin and carbohydrates. Above 8%, the effect becomes less significant, possibly due to the saturation of the liquor with reaction products, reducing the chemical gradient necessary for diffusion. Thus, the magnitude of the decrease was modest, suggesting that liquor availability was a limiting factor for hydroxide ion diffusion and for the solubilization of lignin and hemicelluloses. This effect is consistent with scenarios in which the liquor rapidly becomes saturated with extractives and solubilized products, reducing concentration gradients and hindering further lignin removal. Figure </w:t>
      </w:r>
      <w:r w:rsidR="008320D9">
        <w:t>2</w:t>
      </w:r>
      <w:r>
        <w:t xml:space="preserve"> shows the behavior of these values as a function of alkaline concentration.</w:t>
      </w:r>
    </w:p>
    <w:p w:rsidR="003D141E" w:rsidP="4C1A04C9" w:rsidRDefault="003D141E" w14:paraId="79B69C03" w14:textId="77777777">
      <w:pPr>
        <w:pStyle w:val="09BodyIndent"/>
      </w:pPr>
    </w:p>
    <w:p w:rsidR="03B24D83" w:rsidP="68F828EA" w:rsidRDefault="03B24D83" w14:paraId="4E0D0C35" w14:textId="5C32023C">
      <w:pPr>
        <w:pStyle w:val="19FigureMulti-LinesCaption"/>
      </w:pPr>
      <w:r w:rsidRPr="68F828EA">
        <w:rPr>
          <w:b/>
          <w:bCs/>
        </w:rPr>
        <w:lastRenderedPageBreak/>
        <w:t xml:space="preserve">Figure </w:t>
      </w:r>
      <w:r w:rsidR="008320D9">
        <w:rPr>
          <w:b/>
          <w:bCs/>
        </w:rPr>
        <w:t>2</w:t>
      </w:r>
      <w:r w:rsidRPr="68F828EA">
        <w:rPr>
          <w:b/>
          <w:bCs/>
        </w:rPr>
        <w:t>.</w:t>
      </w:r>
      <w:r>
        <w:t xml:space="preserve"> </w:t>
      </w:r>
      <w:r w:rsidRPr="68F828EA" w:rsidR="4EBFB846">
        <w:t>Residual Lignin (%) for Different NaOH Concentrations (1:10 S/L)</w:t>
      </w:r>
    </w:p>
    <w:p w:rsidR="18C3C199" w:rsidRDefault="18C3C199" w14:paraId="66CBFD4C" w14:textId="635AB4A5">
      <w:r>
        <w:rPr>
          <w:noProof/>
        </w:rPr>
        <w:drawing>
          <wp:inline distT="0" distB="0" distL="0" distR="0" wp14:anchorId="4A1B0A1C" wp14:editId="523D38A7">
            <wp:extent cx="3008877" cy="2331720"/>
            <wp:effectExtent l="0" t="0" r="1270" b="0"/>
            <wp:docPr id="704200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00529" name=""/>
                    <pic:cNvPicPr/>
                  </pic:nvPicPr>
                  <pic:blipFill>
                    <a:blip r:embed="rId14">
                      <a:extLst>
                        <a:ext uri="{28A0092B-C50C-407E-A947-70E740481C1C}">
                          <a14:useLocalDpi xmlns:a14="http://schemas.microsoft.com/office/drawing/2010/main" val="0"/>
                        </a:ext>
                      </a:extLst>
                    </a:blip>
                    <a:stretch>
                      <a:fillRect/>
                    </a:stretch>
                  </pic:blipFill>
                  <pic:spPr>
                    <a:xfrm>
                      <a:off x="0" y="0"/>
                      <a:ext cx="3015696" cy="2337004"/>
                    </a:xfrm>
                    <a:prstGeom prst="rect">
                      <a:avLst/>
                    </a:prstGeom>
                  </pic:spPr>
                </pic:pic>
              </a:graphicData>
            </a:graphic>
          </wp:inline>
        </w:drawing>
      </w:r>
    </w:p>
    <w:p w:rsidR="0D70E1E1" w:rsidP="4C1A04C9" w:rsidRDefault="0D70E1E1" w14:paraId="60B87472" w14:textId="4F728E5F">
      <w:pPr>
        <w:pStyle w:val="09BodyIndent"/>
      </w:pPr>
      <w:r>
        <w:t>The percentage of residual lignin presented in tables and figures is inversely related to the efficiency of the pulping process. Higher values indicate lower lignin removal during treatment, as they represent a greater fraction of the component remaining in the biomass, which translates into poorer performance in the delignification stage. Lower percentages of residual lignin reflect more efficient conditions and favor subsequent processes.</w:t>
      </w:r>
    </w:p>
    <w:p w:rsidR="0D70E1E1" w:rsidP="4C1A04C9" w:rsidRDefault="0D70E1E1" w14:paraId="5B959DAB" w14:textId="677655B6">
      <w:pPr>
        <w:pStyle w:val="09BodyIndent"/>
      </w:pPr>
      <w:r w:rsidR="26CF4C86">
        <w:rPr/>
        <w:t xml:space="preserve">In addition, the Kappa reading may have been influenced by the formation of non-lignin oxidizable species. Nevertheless, the overall trend observed in Figure </w:t>
      </w:r>
      <w:r w:rsidR="444A1E33">
        <w:rPr/>
        <w:t>2</w:t>
      </w:r>
      <w:r w:rsidR="26CF4C86">
        <w:rPr/>
        <w:t xml:space="preserve"> confirms that increasing NaOH improves the response up to a point at which further gains become negligible under the 1:10 ratio, as shown by the near-asymptotic profile of the graph.</w:t>
      </w:r>
    </w:p>
    <w:p w:rsidR="00120819" w:rsidP="4C1A04C9" w:rsidRDefault="00120819" w14:paraId="52A3E23F" w14:textId="77777777">
      <w:pPr>
        <w:pStyle w:val="09BodyIndent"/>
      </w:pPr>
    </w:p>
    <w:p w:rsidR="11C605AD" w:rsidP="68F828EA" w:rsidRDefault="11C605AD" w14:paraId="6B504ECC" w14:textId="3429DA2A">
      <w:pPr>
        <w:pStyle w:val="22Heading3"/>
        <w:spacing w:before="0" w:after="0" w:line="360" w:lineRule="auto"/>
        <w:rPr>
          <w:lang w:val="en-US"/>
        </w:rPr>
      </w:pPr>
      <w:r w:rsidRPr="000C39A1">
        <w:rPr>
          <w:rFonts w:eastAsia="SimSun"/>
          <w:lang w:val="en-US" w:eastAsia="zh-CN"/>
        </w:rPr>
        <w:t>3.2</w:t>
      </w:r>
      <w:r w:rsidRPr="000C39A1" w:rsidR="7850ED2E">
        <w:rPr>
          <w:rFonts w:eastAsia="SimSun"/>
          <w:lang w:val="en-US" w:eastAsia="zh-CN"/>
        </w:rPr>
        <w:t>.</w:t>
      </w:r>
      <w:r w:rsidRPr="000C39A1" w:rsidR="75DD55D1">
        <w:rPr>
          <w:lang w:val="en-US"/>
        </w:rPr>
        <w:t xml:space="preserve"> </w:t>
      </w:r>
      <w:r w:rsidRPr="000C39A1" w:rsidR="68703614">
        <w:rPr>
          <w:lang w:val="en-US"/>
        </w:rPr>
        <w:t>Solid-to-Liquid Ratio 1:20</w:t>
      </w:r>
    </w:p>
    <w:p w:rsidR="008320D9" w:rsidP="68F828EA" w:rsidRDefault="008320D9" w14:paraId="6106C8C8" w14:textId="77777777">
      <w:pPr>
        <w:pStyle w:val="22Heading3"/>
        <w:spacing w:before="0" w:after="0" w:line="360" w:lineRule="auto"/>
      </w:pPr>
    </w:p>
    <w:p w:rsidR="50F63C4B" w:rsidP="68F828EA" w:rsidRDefault="68703614" w14:paraId="4061F443" w14:textId="6C8EE679">
      <w:pPr>
        <w:pStyle w:val="09BodyIndent"/>
      </w:pPr>
      <w:r>
        <w:t>For 1:20 solid-to-liquid ratio condition, it was observed that the Kappa number was consistently reduced, and consequently, the percentage of residual lignin, when compared to the previous condition. This is evidenced in Table 2.</w:t>
      </w:r>
    </w:p>
    <w:p w:rsidRPr="000C39A1" w:rsidR="003D141E" w:rsidP="68F828EA" w:rsidRDefault="003D141E" w14:paraId="671C1F0C" w14:textId="77777777">
      <w:pPr>
        <w:pStyle w:val="09BodyIndent"/>
      </w:pPr>
    </w:p>
    <w:p w:rsidR="724B058A" w:rsidP="68F828EA" w:rsidRDefault="724B058A" w14:paraId="018F2EC3" w14:textId="5737BD67">
      <w:pPr>
        <w:pStyle w:val="19FigureMulti-LinesCaption"/>
      </w:pPr>
      <w:r w:rsidRPr="68F828EA">
        <w:rPr>
          <w:rFonts w:eastAsia="Malgun Gothic" w:cs="Times New Roman"/>
          <w:b/>
          <w:bCs/>
        </w:rPr>
        <w:t>Table 2.</w:t>
      </w:r>
      <w:r w:rsidRPr="68F828EA">
        <w:rPr>
          <w:rFonts w:eastAsia="Malgun Gothic" w:cs="Times New Roman"/>
        </w:rPr>
        <w:t xml:space="preserve">  NaOH Concentration – Kappa Number and Residual Lignin (1:20 S/L)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3"/>
        <w:gridCol w:w="1485"/>
        <w:gridCol w:w="1482"/>
      </w:tblGrid>
      <w:tr w:rsidR="68F828EA" w:rsidTr="68F828EA" w14:paraId="17E65C15" w14:textId="77777777">
        <w:trPr>
          <w:trHeight w:val="525"/>
        </w:trPr>
        <w:tc>
          <w:tcPr>
            <w:tcW w:w="1770" w:type="dxa"/>
            <w:vAlign w:val="center"/>
          </w:tcPr>
          <w:p w:rsidRPr="00A705E7" w:rsidR="68F828EA" w:rsidP="68F828EA" w:rsidRDefault="68F828EA" w14:paraId="0BEFD30A" w14:textId="76F2C4C6">
            <w:pPr>
              <w:pStyle w:val="15TableHeading"/>
              <w:rPr>
                <w:szCs w:val="16"/>
              </w:rPr>
            </w:pPr>
            <w:r w:rsidRPr="00A705E7">
              <w:rPr>
                <w:szCs w:val="16"/>
                <w:lang w:eastAsia="en-US"/>
              </w:rPr>
              <w:t>NaOH Concentration (w/v)</w:t>
            </w:r>
          </w:p>
        </w:tc>
        <w:tc>
          <w:tcPr>
            <w:tcW w:w="1530" w:type="dxa"/>
            <w:vAlign w:val="center"/>
          </w:tcPr>
          <w:p w:rsidRPr="00A705E7" w:rsidR="68F828EA" w:rsidP="68F828EA" w:rsidRDefault="68F828EA" w14:paraId="14B5989C" w14:textId="6E19884F">
            <w:pPr>
              <w:pStyle w:val="15TableHeading"/>
              <w:rPr>
                <w:szCs w:val="16"/>
              </w:rPr>
            </w:pPr>
            <w:r w:rsidRPr="00A705E7">
              <w:rPr>
                <w:szCs w:val="16"/>
                <w:lang w:eastAsia="en-US"/>
              </w:rPr>
              <w:t>Kappa Number</w:t>
            </w:r>
          </w:p>
        </w:tc>
        <w:tc>
          <w:tcPr>
            <w:tcW w:w="1524" w:type="dxa"/>
            <w:vAlign w:val="center"/>
          </w:tcPr>
          <w:p w:rsidRPr="00A705E7" w:rsidR="68F828EA" w:rsidP="68F828EA" w:rsidRDefault="68F828EA" w14:paraId="5CD9F392" w14:textId="331FA930">
            <w:pPr>
              <w:pStyle w:val="15TableHeading"/>
              <w:rPr>
                <w:szCs w:val="16"/>
              </w:rPr>
            </w:pPr>
            <w:r w:rsidRPr="00A705E7">
              <w:rPr>
                <w:szCs w:val="16"/>
                <w:lang w:eastAsia="en-US"/>
              </w:rPr>
              <w:t>% Residual Lignin</w:t>
            </w:r>
          </w:p>
        </w:tc>
      </w:tr>
      <w:tr w:rsidR="68F828EA" w:rsidTr="68F828EA" w14:paraId="50F73481" w14:textId="77777777">
        <w:trPr>
          <w:trHeight w:val="300"/>
        </w:trPr>
        <w:tc>
          <w:tcPr>
            <w:tcW w:w="1770" w:type="dxa"/>
          </w:tcPr>
          <w:p w:rsidRPr="00A705E7" w:rsidR="68F828EA" w:rsidP="68F828EA" w:rsidRDefault="68F828EA" w14:paraId="715E3910" w14:textId="1F596BF0">
            <w:pPr>
              <w:pStyle w:val="16TableBody"/>
              <w:rPr>
                <w:szCs w:val="16"/>
              </w:rPr>
            </w:pPr>
            <w:r w:rsidRPr="00A705E7">
              <w:rPr>
                <w:szCs w:val="16"/>
                <w:lang w:eastAsia="en-US"/>
              </w:rPr>
              <w:t>4%</w:t>
            </w:r>
          </w:p>
        </w:tc>
        <w:tc>
          <w:tcPr>
            <w:tcW w:w="1530" w:type="dxa"/>
          </w:tcPr>
          <w:p w:rsidRPr="00A705E7" w:rsidR="081C0006" w:rsidP="68F828EA" w:rsidRDefault="081C0006" w14:paraId="0A8E1D4A" w14:textId="2002F5F5">
            <w:pPr>
              <w:pStyle w:val="16TableBody"/>
              <w:rPr>
                <w:szCs w:val="16"/>
              </w:rPr>
            </w:pPr>
            <w:r w:rsidRPr="00A705E7">
              <w:rPr>
                <w:szCs w:val="16"/>
                <w:lang w:eastAsia="en-US"/>
              </w:rPr>
              <w:t>49,09</w:t>
            </w:r>
          </w:p>
        </w:tc>
        <w:tc>
          <w:tcPr>
            <w:tcW w:w="1524" w:type="dxa"/>
          </w:tcPr>
          <w:p w:rsidRPr="00A705E7" w:rsidR="081C0006" w:rsidP="68F828EA" w:rsidRDefault="081C0006" w14:paraId="1E03891A" w14:textId="387CF8D5">
            <w:pPr>
              <w:pStyle w:val="16TableBody"/>
              <w:rPr>
                <w:szCs w:val="16"/>
              </w:rPr>
            </w:pPr>
            <w:r w:rsidRPr="00A705E7">
              <w:rPr>
                <w:szCs w:val="16"/>
                <w:lang w:eastAsia="en-US"/>
              </w:rPr>
              <w:t>7,4</w:t>
            </w:r>
          </w:p>
        </w:tc>
      </w:tr>
      <w:tr w:rsidR="68F828EA" w:rsidTr="68F828EA" w14:paraId="632D01B4" w14:textId="77777777">
        <w:trPr>
          <w:trHeight w:val="300"/>
        </w:trPr>
        <w:tc>
          <w:tcPr>
            <w:tcW w:w="1770" w:type="dxa"/>
          </w:tcPr>
          <w:p w:rsidRPr="00A705E7" w:rsidR="68F828EA" w:rsidP="68F828EA" w:rsidRDefault="68F828EA" w14:paraId="69BB5163" w14:textId="193B964C">
            <w:pPr>
              <w:pStyle w:val="16TableBody"/>
              <w:rPr>
                <w:szCs w:val="16"/>
              </w:rPr>
            </w:pPr>
            <w:r w:rsidRPr="00A705E7">
              <w:rPr>
                <w:szCs w:val="16"/>
                <w:lang w:eastAsia="en-US"/>
              </w:rPr>
              <w:t>8%</w:t>
            </w:r>
          </w:p>
        </w:tc>
        <w:tc>
          <w:tcPr>
            <w:tcW w:w="1530" w:type="dxa"/>
          </w:tcPr>
          <w:p w:rsidRPr="00A705E7" w:rsidR="7A6EB3DB" w:rsidP="68F828EA" w:rsidRDefault="7A6EB3DB" w14:paraId="531931CF" w14:textId="04D08281">
            <w:pPr>
              <w:pStyle w:val="16TableBody"/>
              <w:rPr>
                <w:szCs w:val="16"/>
              </w:rPr>
            </w:pPr>
            <w:r w:rsidRPr="00A705E7">
              <w:rPr>
                <w:szCs w:val="16"/>
                <w:lang w:eastAsia="en-US"/>
              </w:rPr>
              <w:t>51,62</w:t>
            </w:r>
          </w:p>
        </w:tc>
        <w:tc>
          <w:tcPr>
            <w:tcW w:w="1524" w:type="dxa"/>
          </w:tcPr>
          <w:p w:rsidRPr="00A705E7" w:rsidR="5A019B57" w:rsidP="68F828EA" w:rsidRDefault="5A019B57" w14:paraId="5142C56E" w14:textId="50A32849">
            <w:pPr>
              <w:pStyle w:val="16TableBody"/>
              <w:rPr>
                <w:szCs w:val="16"/>
                <w:lang w:val="pt-BR"/>
              </w:rPr>
            </w:pPr>
            <w:r w:rsidRPr="00A705E7">
              <w:rPr>
                <w:szCs w:val="16"/>
                <w:lang w:val="pt-BR" w:eastAsia="en-US"/>
              </w:rPr>
              <w:t>7,7</w:t>
            </w:r>
          </w:p>
        </w:tc>
      </w:tr>
      <w:tr w:rsidR="68F828EA" w:rsidTr="68F828EA" w14:paraId="508C27C3" w14:textId="77777777">
        <w:trPr>
          <w:trHeight w:val="300"/>
        </w:trPr>
        <w:tc>
          <w:tcPr>
            <w:tcW w:w="1770" w:type="dxa"/>
          </w:tcPr>
          <w:p w:rsidRPr="00A705E7" w:rsidR="68F828EA" w:rsidP="68F828EA" w:rsidRDefault="68F828EA" w14:paraId="39C39ABF" w14:textId="6E2EBAF6">
            <w:pPr>
              <w:pStyle w:val="16TableBody"/>
              <w:rPr>
                <w:szCs w:val="16"/>
              </w:rPr>
            </w:pPr>
            <w:r w:rsidRPr="00A705E7">
              <w:rPr>
                <w:szCs w:val="16"/>
                <w:lang w:eastAsia="en-US"/>
              </w:rPr>
              <w:t>16%</w:t>
            </w:r>
          </w:p>
        </w:tc>
        <w:tc>
          <w:tcPr>
            <w:tcW w:w="1530" w:type="dxa"/>
          </w:tcPr>
          <w:p w:rsidRPr="00A705E7" w:rsidR="5DD05677" w:rsidP="68F828EA" w:rsidRDefault="5DD05677" w14:paraId="525A0904" w14:textId="7B6DFE4C">
            <w:pPr>
              <w:pStyle w:val="16TableBody"/>
              <w:rPr>
                <w:szCs w:val="16"/>
              </w:rPr>
            </w:pPr>
            <w:r w:rsidRPr="00A705E7">
              <w:rPr>
                <w:szCs w:val="16"/>
                <w:lang w:eastAsia="en-US"/>
              </w:rPr>
              <w:t>56,05</w:t>
            </w:r>
          </w:p>
        </w:tc>
        <w:tc>
          <w:tcPr>
            <w:tcW w:w="1524" w:type="dxa"/>
          </w:tcPr>
          <w:p w:rsidRPr="00A705E7" w:rsidR="74937246" w:rsidP="68F828EA" w:rsidRDefault="74937246" w14:paraId="4FB5F951" w14:textId="4F5432EE">
            <w:pPr>
              <w:pStyle w:val="16TableBody"/>
              <w:rPr>
                <w:szCs w:val="16"/>
                <w:lang w:val="pt-BR"/>
              </w:rPr>
            </w:pPr>
            <w:r w:rsidRPr="00A705E7">
              <w:rPr>
                <w:szCs w:val="16"/>
                <w:lang w:val="pt-BR" w:eastAsia="en-US"/>
              </w:rPr>
              <w:t>8,4</w:t>
            </w:r>
          </w:p>
        </w:tc>
      </w:tr>
    </w:tbl>
    <w:p w:rsidR="003D141E" w:rsidP="4C1A04C9" w:rsidRDefault="003D141E" w14:paraId="6B3E02E1" w14:textId="77777777">
      <w:pPr>
        <w:pStyle w:val="09BodyIndent"/>
        <w:rPr>
          <w:lang w:eastAsia="en-US"/>
        </w:rPr>
      </w:pPr>
    </w:p>
    <w:p w:rsidR="00120819" w:rsidP="621D173A" w:rsidRDefault="00120819" w14:paraId="55B451A1" w14:textId="7DC33345">
      <w:pPr>
        <w:pStyle w:val="09BodyIndent"/>
        <w:spacing w:after="0"/>
        <w:rPr>
          <w:lang w:eastAsia="en-US"/>
        </w:rPr>
      </w:pPr>
      <w:r w:rsidRPr="621D173A" w:rsidR="7A29E3AB">
        <w:rPr>
          <w:lang w:eastAsia="en-US"/>
        </w:rPr>
        <w:t xml:space="preserve">The condition with 4% NaOH stands out not only for presenting the lowest Kappa number in the entire study but also for achieving results </w:t>
      </w:r>
      <w:r w:rsidRPr="621D173A" w:rsidR="7A29E3AB">
        <w:rPr>
          <w:lang w:eastAsia="en-US"/>
        </w:rPr>
        <w:t>very close</w:t>
      </w:r>
      <w:r w:rsidRPr="621D173A" w:rsidR="7A29E3AB">
        <w:rPr>
          <w:lang w:eastAsia="en-US"/>
        </w:rPr>
        <w:t xml:space="preserve"> to those obtained at higher concentrations, despite using the smallest amount of reagent, as shown in Figure </w:t>
      </w:r>
      <w:r w:rsidRPr="621D173A" w:rsidR="6D6EECDE">
        <w:rPr>
          <w:lang w:eastAsia="en-US"/>
        </w:rPr>
        <w:t>3</w:t>
      </w:r>
      <w:r w:rsidRPr="621D173A" w:rsidR="7A29E3AB">
        <w:rPr>
          <w:lang w:eastAsia="en-US"/>
        </w:rPr>
        <w:t xml:space="preserve">. This reinforces its advantage both in terms of efficiency and </w:t>
      </w:r>
      <w:r w:rsidRPr="621D173A" w:rsidR="7A29E3AB">
        <w:rPr>
          <w:lang w:eastAsia="en-US"/>
        </w:rPr>
        <w:t>reagent</w:t>
      </w:r>
      <w:r w:rsidRPr="621D173A" w:rsidR="7A29E3AB">
        <w:rPr>
          <w:lang w:eastAsia="en-US"/>
        </w:rPr>
        <w:t xml:space="preserve"> economy. At higher concentrations, the </w:t>
      </w:r>
      <w:r w:rsidRPr="621D173A" w:rsidR="7A29E3AB">
        <w:rPr>
          <w:lang w:eastAsia="en-US"/>
        </w:rPr>
        <w:t>additional</w:t>
      </w:r>
      <w:r w:rsidRPr="621D173A" w:rsidR="7A29E3AB">
        <w:rPr>
          <w:lang w:eastAsia="en-US"/>
        </w:rPr>
        <w:t xml:space="preserve"> gains were limited, </w:t>
      </w:r>
      <w:r w:rsidRPr="621D173A" w:rsidR="7A29E3AB">
        <w:rPr>
          <w:lang w:eastAsia="en-US"/>
        </w:rPr>
        <w:t>possibly due to</w:t>
      </w:r>
      <w:r w:rsidRPr="621D173A" w:rsidR="7A29E3AB">
        <w:rPr>
          <w:lang w:eastAsia="en-US"/>
        </w:rPr>
        <w:t xml:space="preserve"> the formation of oxidizable groups that also consume permanganate during titration.</w:t>
      </w:r>
    </w:p>
    <w:p w:rsidR="621D173A" w:rsidP="621D173A" w:rsidRDefault="621D173A" w14:paraId="26EA84B0" w14:textId="6EC78218">
      <w:pPr>
        <w:pStyle w:val="09BodyIndent"/>
        <w:rPr>
          <w:lang w:eastAsia="en-US"/>
        </w:rPr>
      </w:pPr>
    </w:p>
    <w:p w:rsidR="1A157B58" w:rsidP="68F828EA" w:rsidRDefault="1A157B58" w14:paraId="6EF51966" w14:textId="7DE9BE4E">
      <w:pPr>
        <w:pStyle w:val="19FigureMulti-LinesCaption"/>
      </w:pPr>
      <w:r w:rsidRPr="68F828EA">
        <w:rPr>
          <w:b/>
          <w:bCs/>
        </w:rPr>
        <w:lastRenderedPageBreak/>
        <w:t xml:space="preserve">Figure </w:t>
      </w:r>
      <w:r w:rsidR="008320D9">
        <w:rPr>
          <w:b/>
          <w:bCs/>
        </w:rPr>
        <w:t>3</w:t>
      </w:r>
      <w:r w:rsidRPr="68F828EA">
        <w:rPr>
          <w:b/>
          <w:bCs/>
        </w:rPr>
        <w:t>.</w:t>
      </w:r>
      <w:r>
        <w:t xml:space="preserve"> Residual Lignin (%) for Different NaOH Concentrations (1:10 S/L)</w:t>
      </w:r>
    </w:p>
    <w:p w:rsidR="1A157B58" w:rsidRDefault="1A157B58" w14:paraId="0C9E9449" w14:textId="0BEA1480">
      <w:r>
        <w:rPr>
          <w:noProof/>
        </w:rPr>
        <w:drawing>
          <wp:inline distT="0" distB="0" distL="0" distR="0" wp14:anchorId="28064470" wp14:editId="52A21F51">
            <wp:extent cx="3084242" cy="2385060"/>
            <wp:effectExtent l="0" t="0" r="1905" b="0"/>
            <wp:docPr id="71431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95" name=""/>
                    <pic:cNvPicPr/>
                  </pic:nvPicPr>
                  <pic:blipFill>
                    <a:blip r:embed="rId15">
                      <a:extLst>
                        <a:ext uri="{28A0092B-C50C-407E-A947-70E740481C1C}">
                          <a14:useLocalDpi xmlns:a14="http://schemas.microsoft.com/office/drawing/2010/main" val="0"/>
                        </a:ext>
                      </a:extLst>
                    </a:blip>
                    <a:stretch>
                      <a:fillRect/>
                    </a:stretch>
                  </pic:blipFill>
                  <pic:spPr>
                    <a:xfrm>
                      <a:off x="0" y="0"/>
                      <a:ext cx="3088070" cy="2388020"/>
                    </a:xfrm>
                    <a:prstGeom prst="rect">
                      <a:avLst/>
                    </a:prstGeom>
                  </pic:spPr>
                </pic:pic>
              </a:graphicData>
            </a:graphic>
          </wp:inline>
        </w:drawing>
      </w:r>
    </w:p>
    <w:p w:rsidRPr="0004257E" w:rsidR="003871DF" w:rsidP="4C1A04C9" w:rsidRDefault="2CA86600" w14:paraId="341042B3" w14:textId="0976023F">
      <w:pPr>
        <w:pStyle w:val="09BodyIndent"/>
        <w:rPr>
          <w:lang w:val="en-US"/>
        </w:rPr>
      </w:pPr>
      <w:r w:rsidRPr="4C1A04C9">
        <w:rPr>
          <w:lang w:val="en-US"/>
        </w:rPr>
        <w:t>As in the 1:10 ratio, an inverse relationship between residual lignin and pulping efficiency is also observed here, but with slightly more favorable results. In other words, lower percentages of lignin indicate more effective removal, while higher values signal lower efficiency in the delignification stage. This pattern reinforces that liquor availability plays a central role in process effectiveness and prepares the pulp for subsequent stages such as bleaching and hydrolysis.</w:t>
      </w:r>
    </w:p>
    <w:p w:rsidRPr="0004257E" w:rsidR="003871DF" w:rsidP="4C1A04C9" w:rsidRDefault="2CA86600" w14:paraId="278BA594" w14:textId="3717B817">
      <w:pPr>
        <w:pStyle w:val="09BodyIndent"/>
      </w:pPr>
      <w:r w:rsidRPr="000C39A1">
        <w:rPr>
          <w:lang w:val="en-US"/>
        </w:rPr>
        <w:t xml:space="preserve">A combined analysis of the Kappa numbers and residual lignin percentages shows that, although both solid-to-liquid ratios present a tendency toward reduced values as alkaline concentration increases, the 1:20 ratio stands out for achieving lower levels of residual lignin without the need for extreme NaOH concentrations. This performance reinforces that adjusting liquor availability can be as or more effective than simply increasing the alkaline charge, since the larger solution volume favors hydroxide ion </w:t>
      </w:r>
      <w:r w:rsidRPr="000C39A1">
        <w:rPr>
          <w:lang w:val="en-US"/>
        </w:rPr>
        <w:t>diffusion, lignin solubilization, and the removal of other compounds present in the biomass. Compared with the 1:10 ratio, the 1:20 ratio showed consistent reductions in the Kappa number at all concentrations evaluated, demonstrating that increasing liquor volume provides a less saturated reaction medium and maintains delignification reaction efficiency for longer.</w:t>
      </w:r>
    </w:p>
    <w:p w:rsidRPr="0004257E" w:rsidR="003871DF" w:rsidP="4C1A04C9" w:rsidRDefault="2CA86600" w14:paraId="0FABD395" w14:textId="3DD2B063">
      <w:pPr>
        <w:pStyle w:val="09BodyIndent"/>
      </w:pPr>
      <w:r w:rsidRPr="4C1A04C9">
        <w:rPr>
          <w:lang w:val="en-US"/>
        </w:rPr>
        <w:t>Furthermore, it is noted that, beyond a certain point, increasing alkaline concentration results in more limited gains, indicating the existence of a technical limit at which excess reagent does not translate into a proportional increase in lignin removal. These findings reinforce the importance of balancing the solid-to-liquid ratio and NaOH concentration, seeking conditions that maximize efficiency without waste of inputs, with direct implications for the optimization of industrial processes aimed at reducing operational costs and environmental impacts.</w:t>
      </w:r>
    </w:p>
    <w:p w:rsidR="00A705E7" w:rsidP="4C1A04C9" w:rsidRDefault="00A705E7" w14:paraId="703798B8" w14:textId="77777777">
      <w:pPr>
        <w:pStyle w:val="09BodyIndent"/>
        <w:rPr>
          <w:lang w:val="en-US"/>
        </w:rPr>
      </w:pPr>
    </w:p>
    <w:p w:rsidR="00D46056" w:rsidP="00BE2F20" w:rsidRDefault="6914304A" w14:paraId="38B68599" w14:textId="7BB304AC">
      <w:pPr>
        <w:pStyle w:val="22Heading3"/>
        <w:spacing w:before="0" w:after="0" w:line="360" w:lineRule="auto"/>
      </w:pPr>
      <w:r>
        <w:t>4.</w:t>
      </w:r>
      <w:r w:rsidR="27A75A81">
        <w:t xml:space="preserve"> </w:t>
      </w:r>
      <w:r w:rsidR="4EE3E86F">
        <w:t>Conclu</w:t>
      </w:r>
      <w:r w:rsidR="530D9484">
        <w:t>tion</w:t>
      </w:r>
    </w:p>
    <w:p w:rsidRPr="00854234" w:rsidR="00A705E7" w:rsidP="00BE2F20" w:rsidRDefault="00A705E7" w14:paraId="09073087" w14:textId="77777777">
      <w:pPr>
        <w:pStyle w:val="22Heading3"/>
        <w:spacing w:before="0" w:after="0" w:line="360" w:lineRule="auto"/>
      </w:pPr>
    </w:p>
    <w:p w:rsidR="113D8A6B" w:rsidP="4C1A04C9" w:rsidRDefault="113D8A6B" w14:paraId="66EC932E" w14:textId="7F0A7BCD">
      <w:pPr>
        <w:pStyle w:val="09BodyIndent"/>
      </w:pPr>
      <w:r>
        <w:t xml:space="preserve">The condition of 4% NaOH and a 1:20 solid-to-liquid ratio balances efficiency and reagent economy, making it the most promising. The solid-to-liquid ratio exerts a strong influence on delignification, and the gains from increasing alkaline concentration become limited beyond a certain point. It is recommended that future studies explore complementary methods to quantitatively confirm these results, assess the economic impact of reagent use, and extend the </w:t>
      </w:r>
      <w:r>
        <w:lastRenderedPageBreak/>
        <w:t>study to other biomasses, thereby consolidating robust parameters.</w:t>
      </w:r>
      <w:r w:rsidR="17048A0F">
        <w:t xml:space="preserve"> As well as important to </w:t>
      </w:r>
      <w:r w:rsidR="3329C52E">
        <w:t>explore</w:t>
      </w:r>
      <w:r w:rsidR="17048A0F">
        <w:t xml:space="preserve"> another temperatures and pressures of pulping process.</w:t>
      </w:r>
    </w:p>
    <w:p w:rsidRPr="00973BE4" w:rsidR="00BE2F20" w:rsidP="006B3AF1" w:rsidRDefault="00BE2F20" w14:paraId="5043CB0F" w14:textId="77777777">
      <w:pPr>
        <w:pStyle w:val="09BodyIndent"/>
      </w:pPr>
    </w:p>
    <w:p w:rsidR="00BE2F20" w:rsidP="00BE2F20" w:rsidRDefault="5A4C7A3D" w14:paraId="66ECAD99" w14:textId="77777777">
      <w:pPr>
        <w:pStyle w:val="20Heading1"/>
        <w:rPr>
          <w:lang w:eastAsia="zh-CN"/>
        </w:rPr>
      </w:pPr>
      <w:r>
        <w:t>Acknowle</w:t>
      </w:r>
      <w:r w:rsidRPr="68F828EA">
        <w:rPr>
          <w:lang w:eastAsia="zh-CN"/>
        </w:rPr>
        <w:t>d</w:t>
      </w:r>
      <w:r>
        <w:t>gement</w:t>
      </w:r>
    </w:p>
    <w:p w:rsidR="68F828EA" w:rsidP="68F828EA" w:rsidRDefault="68F828EA" w14:paraId="1E4F7EFE" w14:textId="75D02DCD">
      <w:pPr>
        <w:pStyle w:val="20Heading1"/>
      </w:pPr>
    </w:p>
    <w:p w:rsidR="02601BE0" w:rsidP="4C1A04C9" w:rsidRDefault="02601BE0" w14:paraId="11C9DAFD" w14:textId="614E843F">
      <w:pPr>
        <w:pStyle w:val="09BodyIndent"/>
      </w:pPr>
      <w:r w:rsidR="5D21218C">
        <w:rPr/>
        <w:t xml:space="preserve">We thank SENAI CIMATEC for the technical support and infrastructure that enabled the execution and analysis of this study, </w:t>
      </w:r>
      <w:r w:rsidR="5D21218C">
        <w:rPr/>
        <w:t>Embrapii</w:t>
      </w:r>
      <w:r w:rsidR="4F173497">
        <w:rPr/>
        <w:t>,</w:t>
      </w:r>
      <w:r w:rsidR="5D21218C">
        <w:rPr/>
        <w:t xml:space="preserve"> </w:t>
      </w:r>
      <w:r w:rsidR="7C8A6BD4">
        <w:rPr/>
        <w:t xml:space="preserve">Green Coco Europe GmbH </w:t>
      </w:r>
      <w:r w:rsidR="397731C5">
        <w:rPr/>
        <w:t>and</w:t>
      </w:r>
      <w:r w:rsidR="7C8A6BD4">
        <w:rPr/>
        <w:t xml:space="preserve"> </w:t>
      </w:r>
      <w:r w:rsidR="7C8A6BD4">
        <w:rPr/>
        <w:t>Dicoco</w:t>
      </w:r>
      <w:r w:rsidR="7C8A6BD4">
        <w:rPr/>
        <w:t xml:space="preserve"> Agroindustrial</w:t>
      </w:r>
      <w:r w:rsidR="5D21218C">
        <w:rPr/>
        <w:t xml:space="preserve"> for the financial support</w:t>
      </w:r>
      <w:r w:rsidR="6F674266">
        <w:rPr/>
        <w:t xml:space="preserve"> and fiber supply</w:t>
      </w:r>
      <w:r w:rsidR="5D21218C">
        <w:rPr/>
        <w:t>, and the project team for conducting the experiments and analyzing the results.</w:t>
      </w:r>
    </w:p>
    <w:p w:rsidRPr="00BE2F20" w:rsidR="000021EA" w:rsidP="006B3AF1" w:rsidRDefault="000021EA" w14:paraId="07459315" w14:textId="77777777">
      <w:pPr>
        <w:pStyle w:val="09BodyIndent"/>
        <w:rPr>
          <w:lang w:val="en-US"/>
        </w:rPr>
      </w:pPr>
    </w:p>
    <w:p w:rsidR="001C0521" w:rsidP="00854234" w:rsidRDefault="001C0521" w14:paraId="476E51CF" w14:textId="77777777">
      <w:pPr>
        <w:pStyle w:val="20Heading1"/>
        <w:rPr>
          <w:lang w:val="pt-BR"/>
        </w:rPr>
      </w:pPr>
      <w:r w:rsidRPr="00D46056">
        <w:t>References</w:t>
      </w:r>
    </w:p>
    <w:p w:rsidRPr="00854234" w:rsidR="00854234" w:rsidP="00854234" w:rsidRDefault="00854234" w14:paraId="6537F28F" w14:textId="77777777">
      <w:pPr>
        <w:pStyle w:val="20Heading1"/>
        <w:rPr>
          <w:lang w:val="pt-BR" w:eastAsia="zh-CN"/>
        </w:rPr>
      </w:pPr>
    </w:p>
    <w:p w:rsidR="68CB0F08" w:rsidP="621D173A" w:rsidRDefault="68CB0F08" w14:paraId="2DD37488" w14:textId="757716B9">
      <w:pPr>
        <w:pStyle w:val="13Reference"/>
        <w:spacing w:line="259" w:lineRule="auto"/>
        <w:rPr>
          <w:sz w:val="20"/>
          <w:szCs w:val="20"/>
        </w:rPr>
      </w:pPr>
      <w:r w:rsidRPr="621D173A" w:rsidR="68CB0F08">
        <w:rPr>
          <w:sz w:val="20"/>
          <w:szCs w:val="20"/>
        </w:rPr>
        <w:t>POORNACHANDRA, C.; JAYABALAKRISHNAN, R. M.; BALASUBRAMANIAN, G.; LAKSHMANAN, A.; SELVAKUMAR, S.; MAHESWARI, M.; JOHN, J. E. Coconut husk fiber: a low-cost bioresource for the synthesis of high-value nanocellulose. Biomaterial Research in Applied Chemistry, v. 13, n. 6, p. 504, 2023</w:t>
      </w:r>
    </w:p>
    <w:p w:rsidR="68CB0F08" w:rsidP="621D173A" w:rsidRDefault="68CB0F08" w14:paraId="6919E865" w14:textId="0CDB3BBE">
      <w:pPr>
        <w:pStyle w:val="13Reference"/>
        <w:spacing w:line="259" w:lineRule="auto"/>
        <w:rPr>
          <w:sz w:val="20"/>
          <w:szCs w:val="20"/>
        </w:rPr>
      </w:pPr>
      <w:r w:rsidRPr="621D173A" w:rsidR="68CB0F08">
        <w:rPr>
          <w:sz w:val="20"/>
          <w:szCs w:val="20"/>
        </w:rPr>
        <w:t>PIRAH, S.; WANG, X.; JAVED, M.; SIMAIR, K.; WANG, B.; SUI, X.; LU, C. Lignocellulose extraction from sisal fiber and its use in green emulsions: a novel method. Polymers, 14(11), 2299, 2022.</w:t>
      </w:r>
    </w:p>
    <w:p w:rsidR="68CB0F08" w:rsidP="621D173A" w:rsidRDefault="68CB0F08" w14:paraId="1237634E" w14:textId="00C82CA9">
      <w:pPr>
        <w:pStyle w:val="13Reference"/>
        <w:spacing w:line="259" w:lineRule="auto"/>
        <w:rPr>
          <w:sz w:val="20"/>
          <w:szCs w:val="20"/>
          <w:lang w:val="pt-BR"/>
        </w:rPr>
      </w:pPr>
      <w:r w:rsidRPr="621D173A" w:rsidR="68CB0F08">
        <w:rPr>
          <w:sz w:val="20"/>
          <w:szCs w:val="20"/>
        </w:rPr>
        <w:t xml:space="preserve">HOSOKAWA ALPINE GROUP. </w:t>
      </w:r>
      <w:r w:rsidRPr="621D173A" w:rsidR="68CB0F08">
        <w:rPr>
          <w:i w:val="1"/>
          <w:iCs w:val="1"/>
          <w:sz w:val="20"/>
          <w:szCs w:val="20"/>
        </w:rPr>
        <w:t>Lignin</w:t>
      </w:r>
      <w:r w:rsidRPr="621D173A" w:rsidR="68CB0F08">
        <w:rPr>
          <w:sz w:val="20"/>
          <w:szCs w:val="20"/>
        </w:rPr>
        <w:t>. Available at: https://www.hosokawa-alpine.com/powder-particle-processing/industries/chemicals/lignin. Accessed on: Aug. 10, 2025.</w:t>
      </w:r>
    </w:p>
    <w:p w:rsidR="68CB0F08" w:rsidP="621D173A" w:rsidRDefault="68CB0F08" w14:paraId="2EA6ED19" w14:textId="4898C0F3">
      <w:pPr>
        <w:pStyle w:val="13Reference"/>
        <w:spacing w:line="259" w:lineRule="auto"/>
        <w:rPr>
          <w:sz w:val="20"/>
          <w:szCs w:val="20"/>
          <w:lang w:val="pt-BR"/>
        </w:rPr>
      </w:pPr>
      <w:r w:rsidRPr="621D173A" w:rsidR="68CB0F08">
        <w:rPr>
          <w:sz w:val="20"/>
          <w:szCs w:val="20"/>
          <w:lang w:val="pt-BR"/>
        </w:rPr>
        <w:t xml:space="preserve">FORCELINI, F.; DOMINGOS, A. N.; CARNEIRO, L. M. Fibras naturais vegetais e desenvolvimento sustentável: extração, beneficiamento e aplicação no design de produtos [Plant-based natural fibers and sustainable development: extraction, processing, and application in product design]. In: ENCONTRO DE SUSTENTABILIDADE EM PROJETO – ENSUS 2025, 13., 2025, Florianópolis. Anais… [Proceedings…] </w:t>
      </w:r>
      <w:r w:rsidRPr="621D173A" w:rsidR="68CB0F08">
        <w:rPr>
          <w:sz w:val="20"/>
          <w:szCs w:val="20"/>
        </w:rPr>
        <w:t>Florianópolis: Universidade Federal de Santa Catarina, 2025.</w:t>
      </w:r>
    </w:p>
    <w:p w:rsidR="68CB0F08" w:rsidP="621D173A" w:rsidRDefault="68CB0F08" w14:paraId="667DE262" w14:textId="56A9ABC1">
      <w:pPr>
        <w:pStyle w:val="13Reference"/>
        <w:spacing w:line="259" w:lineRule="auto"/>
        <w:rPr>
          <w:sz w:val="20"/>
          <w:szCs w:val="20"/>
          <w:lang w:val="pt-BR"/>
        </w:rPr>
      </w:pPr>
      <w:r w:rsidRPr="621D173A" w:rsidR="68CB0F08">
        <w:rPr>
          <w:sz w:val="20"/>
          <w:szCs w:val="20"/>
          <w:lang w:val="pt-BR"/>
        </w:rPr>
        <w:t xml:space="preserve">CORREIA, F. M.; D’ANGELO, J. V. H.; SILVA JÚNIOR, F. G. Revisitando número </w:t>
      </w:r>
      <w:r w:rsidRPr="621D173A" w:rsidR="68CB0F08">
        <w:rPr>
          <w:sz w:val="20"/>
          <w:szCs w:val="20"/>
          <w:lang w:val="pt-BR"/>
        </w:rPr>
        <w:t>kappa</w:t>
      </w:r>
      <w:r w:rsidRPr="621D173A" w:rsidR="68CB0F08">
        <w:rPr>
          <w:sz w:val="20"/>
          <w:szCs w:val="20"/>
          <w:lang w:val="pt-BR"/>
        </w:rPr>
        <w:t>: conceitos e aplicações na indústria de celulose [</w:t>
      </w:r>
      <w:r w:rsidRPr="621D173A" w:rsidR="68CB0F08">
        <w:rPr>
          <w:sz w:val="20"/>
          <w:szCs w:val="20"/>
          <w:lang w:val="pt-BR"/>
        </w:rPr>
        <w:t>Revisiting</w:t>
      </w:r>
      <w:r w:rsidRPr="621D173A" w:rsidR="68CB0F08">
        <w:rPr>
          <w:sz w:val="20"/>
          <w:szCs w:val="20"/>
          <w:lang w:val="pt-BR"/>
        </w:rPr>
        <w:t xml:space="preserve"> </w:t>
      </w:r>
      <w:r w:rsidRPr="621D173A" w:rsidR="68CB0F08">
        <w:rPr>
          <w:sz w:val="20"/>
          <w:szCs w:val="20"/>
          <w:lang w:val="pt-BR"/>
        </w:rPr>
        <w:t>the</w:t>
      </w:r>
      <w:r w:rsidRPr="621D173A" w:rsidR="68CB0F08">
        <w:rPr>
          <w:sz w:val="20"/>
          <w:szCs w:val="20"/>
          <w:lang w:val="pt-BR"/>
        </w:rPr>
        <w:t xml:space="preserve"> Kappa </w:t>
      </w:r>
      <w:r w:rsidRPr="621D173A" w:rsidR="68CB0F08">
        <w:rPr>
          <w:sz w:val="20"/>
          <w:szCs w:val="20"/>
          <w:lang w:val="pt-BR"/>
        </w:rPr>
        <w:t>number</w:t>
      </w:r>
      <w:r w:rsidRPr="621D173A" w:rsidR="68CB0F08">
        <w:rPr>
          <w:sz w:val="20"/>
          <w:szCs w:val="20"/>
          <w:lang w:val="pt-BR"/>
        </w:rPr>
        <w:t xml:space="preserve">: </w:t>
      </w:r>
      <w:r w:rsidRPr="621D173A" w:rsidR="68CB0F08">
        <w:rPr>
          <w:sz w:val="20"/>
          <w:szCs w:val="20"/>
          <w:lang w:val="pt-BR"/>
        </w:rPr>
        <w:t>concepts</w:t>
      </w:r>
      <w:r w:rsidRPr="621D173A" w:rsidR="68CB0F08">
        <w:rPr>
          <w:sz w:val="20"/>
          <w:szCs w:val="20"/>
          <w:lang w:val="pt-BR"/>
        </w:rPr>
        <w:t xml:space="preserve"> </w:t>
      </w:r>
      <w:r w:rsidRPr="621D173A" w:rsidR="68CB0F08">
        <w:rPr>
          <w:sz w:val="20"/>
          <w:szCs w:val="20"/>
          <w:lang w:val="pt-BR"/>
        </w:rPr>
        <w:t>and</w:t>
      </w:r>
      <w:r w:rsidRPr="621D173A" w:rsidR="68CB0F08">
        <w:rPr>
          <w:sz w:val="20"/>
          <w:szCs w:val="20"/>
          <w:lang w:val="pt-BR"/>
        </w:rPr>
        <w:t xml:space="preserve"> </w:t>
      </w:r>
      <w:r w:rsidRPr="621D173A" w:rsidR="68CB0F08">
        <w:rPr>
          <w:sz w:val="20"/>
          <w:szCs w:val="20"/>
          <w:lang w:val="pt-BR"/>
        </w:rPr>
        <w:t>applications</w:t>
      </w:r>
      <w:r w:rsidRPr="621D173A" w:rsidR="68CB0F08">
        <w:rPr>
          <w:sz w:val="20"/>
          <w:szCs w:val="20"/>
          <w:lang w:val="pt-BR"/>
        </w:rPr>
        <w:t xml:space="preserve"> in </w:t>
      </w:r>
      <w:r w:rsidRPr="621D173A" w:rsidR="68CB0F08">
        <w:rPr>
          <w:sz w:val="20"/>
          <w:szCs w:val="20"/>
          <w:lang w:val="pt-BR"/>
        </w:rPr>
        <w:t>the</w:t>
      </w:r>
      <w:r w:rsidRPr="621D173A" w:rsidR="68CB0F08">
        <w:rPr>
          <w:sz w:val="20"/>
          <w:szCs w:val="20"/>
          <w:lang w:val="pt-BR"/>
        </w:rPr>
        <w:t xml:space="preserve"> </w:t>
      </w:r>
      <w:r w:rsidRPr="621D173A" w:rsidR="68CB0F08">
        <w:rPr>
          <w:sz w:val="20"/>
          <w:szCs w:val="20"/>
          <w:lang w:val="pt-BR"/>
        </w:rPr>
        <w:t>pulp</w:t>
      </w:r>
      <w:r w:rsidRPr="621D173A" w:rsidR="68CB0F08">
        <w:rPr>
          <w:sz w:val="20"/>
          <w:szCs w:val="20"/>
          <w:lang w:val="pt-BR"/>
        </w:rPr>
        <w:t xml:space="preserve"> </w:t>
      </w:r>
      <w:r w:rsidRPr="621D173A" w:rsidR="68CB0F08">
        <w:rPr>
          <w:sz w:val="20"/>
          <w:szCs w:val="20"/>
          <w:lang w:val="pt-BR"/>
        </w:rPr>
        <w:t>industry</w:t>
      </w:r>
      <w:r w:rsidRPr="621D173A" w:rsidR="68CB0F08">
        <w:rPr>
          <w:sz w:val="20"/>
          <w:szCs w:val="20"/>
          <w:lang w:val="pt-BR"/>
        </w:rPr>
        <w:t xml:space="preserve">]. </w:t>
      </w:r>
      <w:r w:rsidRPr="621D173A" w:rsidR="68CB0F08">
        <w:rPr>
          <w:sz w:val="20"/>
          <w:szCs w:val="20"/>
        </w:rPr>
        <w:t xml:space="preserve">O Papel, v. 80, n. 7, p. 77–89, </w:t>
      </w:r>
      <w:r w:rsidRPr="621D173A" w:rsidR="68CB0F08">
        <w:rPr>
          <w:sz w:val="20"/>
          <w:szCs w:val="20"/>
        </w:rPr>
        <w:t>July,</w:t>
      </w:r>
      <w:r w:rsidRPr="621D173A" w:rsidR="68CB0F08">
        <w:rPr>
          <w:sz w:val="20"/>
          <w:szCs w:val="20"/>
        </w:rPr>
        <w:t xml:space="preserve"> 2019.</w:t>
      </w:r>
    </w:p>
    <w:p w:rsidR="33991C7A" w:rsidP="33991C7A" w:rsidRDefault="33991C7A" w14:paraId="76385576" w14:textId="1274655A">
      <w:pPr>
        <w:pStyle w:val="13Reference"/>
        <w:numPr>
          <w:ilvl w:val="0"/>
          <w:numId w:val="0"/>
        </w:numPr>
        <w:spacing w:line="259" w:lineRule="auto"/>
        <w:ind w:left="420"/>
        <w:rPr>
          <w:sz w:val="20"/>
          <w:szCs w:val="20"/>
          <w:lang w:val="pt-BR"/>
        </w:rPr>
      </w:pPr>
    </w:p>
    <w:p w:rsidR="6E7C7BFE" w:rsidP="68F828EA" w:rsidRDefault="6E7C7BFE" w14:paraId="56D21E45" w14:textId="48895019">
      <w:pPr>
        <w:pStyle w:val="13Reference"/>
        <w:rPr>
          <w:sz w:val="20"/>
          <w:szCs w:val="20"/>
        </w:rPr>
      </w:pPr>
      <w:r w:rsidRPr="68F828EA">
        <w:rPr>
          <w:sz w:val="20"/>
          <w:szCs w:val="20"/>
        </w:rPr>
        <w:t>TAPPI. T 236 om-22. Kappa number of pulp. Atlanta, EUA: Technical Association of the Pulp and Paper Industry, 2022.</w:t>
      </w:r>
    </w:p>
    <w:sectPr w:rsidR="6E7C7BFE" w:rsidSect="000021EA">
      <w:type w:val="continuous"/>
      <w:pgSz w:w="11907" w:h="16839" w:orient="portrait" w:code="9"/>
      <w:pgMar w:top="1453" w:right="992" w:bottom="851" w:left="1134" w:header="720" w:footer="720" w:gutter="0"/>
      <w:cols w:space="36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A81FCC" w:rsidR="00B04D40" w:rsidP="00A81FCC" w:rsidRDefault="00B04D40" w14:paraId="1254828D" w14:textId="77777777">
      <w:r>
        <w:separator/>
      </w:r>
    </w:p>
  </w:endnote>
  <w:endnote w:type="continuationSeparator" w:id="0">
    <w:p w:rsidRPr="00A81FCC" w:rsidR="00B04D40" w:rsidP="00A81FCC" w:rsidRDefault="00B04D40" w14:paraId="41B980A6" w14:textId="77777777">
      <w:r>
        <w:continuationSeparator/>
      </w:r>
    </w:p>
  </w:endnote>
  <w:endnote w:type="continuationNotice" w:id="1">
    <w:p w:rsidR="00B04D40" w:rsidRDefault="00B04D40" w14:paraId="1F20F3C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199" w:rsidP="00783199" w:rsidRDefault="00783199" w14:paraId="7C78364B" w14:textId="77777777">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w:rsidR="00783199" w:rsidP="00783199" w:rsidRDefault="00783199" w14:paraId="7AFFBBA9" w14:textId="77777777">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w:rsidRPr="00E156AD" w:rsidR="00F459E5" w:rsidP="00E156AD" w:rsidRDefault="00783199" w14:paraId="6238EB25" w14:textId="77777777">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A81FCC" w:rsidR="00B04D40" w:rsidP="00A81FCC" w:rsidRDefault="00B04D40" w14:paraId="669A9984" w14:textId="77777777">
      <w:r>
        <w:separator/>
      </w:r>
    </w:p>
  </w:footnote>
  <w:footnote w:type="continuationSeparator" w:id="0">
    <w:p w:rsidRPr="00A81FCC" w:rsidR="00B04D40" w:rsidP="00A81FCC" w:rsidRDefault="00B04D40" w14:paraId="285F6E9E" w14:textId="77777777">
      <w:r>
        <w:continuationSeparator/>
      </w:r>
    </w:p>
  </w:footnote>
  <w:footnote w:type="continuationNotice" w:id="1">
    <w:p w:rsidR="00B04D40" w:rsidRDefault="00B04D40" w14:paraId="18D0E9A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29CC" w:rsidP="00E029CC" w:rsidRDefault="00AC009D" w14:paraId="7F0CD03B" w14:textId="77777777">
    <w:pPr>
      <w:spacing w:after="0"/>
      <w:ind w:left="7200"/>
      <w:jc w:val="center"/>
    </w:pPr>
    <w:r>
      <w:rPr>
        <w:noProof/>
      </w:rPr>
      <w:drawing>
        <wp:anchor distT="0" distB="0" distL="114300" distR="114300" simplePos="0" relativeHeight="251658240" behindDoc="0" locked="0" layoutInCell="1" allowOverlap="1" wp14:anchorId="263A2292" wp14:editId="07777777">
          <wp:simplePos x="0" y="0"/>
          <wp:positionH relativeFrom="margin">
            <wp:posOffset>-714375</wp:posOffset>
          </wp:positionH>
          <wp:positionV relativeFrom="paragraph">
            <wp:posOffset>-476250</wp:posOffset>
          </wp:positionV>
          <wp:extent cx="7550785" cy="8401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t xml:space="preserve">           </w:t>
    </w:r>
  </w:p>
  <w:p w:rsidRPr="00E029CC" w:rsidR="00E029CC" w:rsidP="00E029CC" w:rsidRDefault="00E029CC" w14:paraId="463F29E8" w14:textId="77777777">
    <w:pPr>
      <w:spacing w:after="0"/>
      <w:jc w:val="right"/>
      <w:rPr>
        <w:color w:val="323E4F"/>
        <w:sz w:val="20"/>
        <w:szCs w:val="20"/>
        <w:lang w:val="pt-BR"/>
      </w:rPr>
    </w:pPr>
  </w:p>
</w:hdr>
</file>

<file path=word/intelligence2.xml><?xml version="1.0" encoding="utf-8"?>
<int2:intelligence xmlns:int2="http://schemas.microsoft.com/office/intelligence/2020/intelligence" xmlns:oel="http://schemas.microsoft.com/office/2019/extlst">
  <int2:observations>
    <int2:textHash int2:hashCode="3hKHHEU52GN44q" int2:id="Hadn51Hq">
      <int2:state int2:value="Rejected" int2:type="spell"/>
    </int2:textHash>
    <int2:bookmark int2:bookmarkName="_Int_fwJmYYeW" int2:invalidationBookmarkName="" int2:hashCode="A3/+LhGJKKdKrV" int2:id="zktaqIT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7A0B62"/>
    <w:multiLevelType w:val="hybridMultilevel"/>
    <w:tmpl w:val="DC24FCC8"/>
    <w:lvl w:ilvl="0" w:tplc="07581198">
      <w:start w:val="1"/>
      <w:numFmt w:val="decimal"/>
      <w:pStyle w:val="13Reference"/>
      <w:lvlText w:val="[%1]"/>
      <w:lvlJc w:val="left"/>
      <w:pPr>
        <w:ind w:left="420" w:hanging="420"/>
      </w:pPr>
      <w:rPr>
        <w:rFonts w:hint="default" w:ascii="Times New Roman" w:hAnsi="Times New Roman"/>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E5A4D"/>
    <w:multiLevelType w:val="multilevel"/>
    <w:tmpl w:val="0409001D"/>
    <w:numStyleLink w:val="12Refereces"/>
  </w:abstractNum>
  <w:abstractNum w:abstractNumId="21"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232215"/>
    <w:multiLevelType w:val="multilevel"/>
    <w:tmpl w:val="3D5EA5BC"/>
    <w:lvl w:ilvl="0">
      <w:start w:val="1"/>
      <w:numFmt w:val="upperLetter"/>
      <w:lvlText w:val="%1."/>
      <w:lvlJc w:val="left"/>
      <w:pPr>
        <w:tabs>
          <w:tab w:val="num"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hint="default" w:ascii="Times New Roman" w:hAnsi="Times New Roman"/>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86136D"/>
    <w:multiLevelType w:val="hybridMultilevel"/>
    <w:tmpl w:val="01FEE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3670F74"/>
    <w:multiLevelType w:val="multilevel"/>
    <w:tmpl w:val="0409001D"/>
    <w:lvl w:ilvl="0">
      <w:start w:val="1"/>
      <w:numFmt w:val="decimal"/>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69C027"/>
    <w:multiLevelType w:val="hybridMultilevel"/>
    <w:tmpl w:val="A2701570"/>
    <w:lvl w:ilvl="0" w:tplc="AF6A00BE">
      <w:start w:val="1"/>
      <w:numFmt w:val="decimal"/>
      <w:lvlText w:val="%1."/>
      <w:lvlJc w:val="left"/>
      <w:pPr>
        <w:ind w:left="720" w:hanging="360"/>
      </w:pPr>
    </w:lvl>
    <w:lvl w:ilvl="1" w:tplc="B56C63B8">
      <w:start w:val="1"/>
      <w:numFmt w:val="lowerLetter"/>
      <w:lvlText w:val="%2."/>
      <w:lvlJc w:val="left"/>
      <w:pPr>
        <w:ind w:left="1440" w:hanging="360"/>
      </w:pPr>
    </w:lvl>
    <w:lvl w:ilvl="2" w:tplc="1C5EAD8C">
      <w:start w:val="1"/>
      <w:numFmt w:val="lowerRoman"/>
      <w:lvlText w:val="%3."/>
      <w:lvlJc w:val="right"/>
      <w:pPr>
        <w:ind w:left="2160" w:hanging="180"/>
      </w:pPr>
    </w:lvl>
    <w:lvl w:ilvl="3" w:tplc="4498DBCC">
      <w:start w:val="1"/>
      <w:numFmt w:val="decimal"/>
      <w:lvlText w:val="%4."/>
      <w:lvlJc w:val="left"/>
      <w:pPr>
        <w:ind w:left="2880" w:hanging="360"/>
      </w:pPr>
    </w:lvl>
    <w:lvl w:ilvl="4" w:tplc="D8A8384A">
      <w:start w:val="1"/>
      <w:numFmt w:val="lowerLetter"/>
      <w:lvlText w:val="%5."/>
      <w:lvlJc w:val="left"/>
      <w:pPr>
        <w:ind w:left="3600" w:hanging="360"/>
      </w:pPr>
    </w:lvl>
    <w:lvl w:ilvl="5" w:tplc="E82A5608">
      <w:start w:val="1"/>
      <w:numFmt w:val="lowerRoman"/>
      <w:lvlText w:val="%6."/>
      <w:lvlJc w:val="right"/>
      <w:pPr>
        <w:ind w:left="4320" w:hanging="180"/>
      </w:pPr>
    </w:lvl>
    <w:lvl w:ilvl="6" w:tplc="D6283824">
      <w:start w:val="1"/>
      <w:numFmt w:val="decimal"/>
      <w:lvlText w:val="%7."/>
      <w:lvlJc w:val="left"/>
      <w:pPr>
        <w:ind w:left="5040" w:hanging="360"/>
      </w:pPr>
    </w:lvl>
    <w:lvl w:ilvl="7" w:tplc="4CBE74CE">
      <w:start w:val="1"/>
      <w:numFmt w:val="lowerLetter"/>
      <w:lvlText w:val="%8."/>
      <w:lvlJc w:val="left"/>
      <w:pPr>
        <w:ind w:left="5760" w:hanging="360"/>
      </w:pPr>
    </w:lvl>
    <w:lvl w:ilvl="8" w:tplc="7B4A26F6">
      <w:start w:val="1"/>
      <w:numFmt w:val="lowerRoman"/>
      <w:lvlText w:val="%9."/>
      <w:lvlJc w:val="right"/>
      <w:pPr>
        <w:ind w:left="6480" w:hanging="180"/>
      </w:pPr>
    </w:lvl>
  </w:abstractNum>
  <w:num w:numId="1" w16cid:durableId="1106147443">
    <w:abstractNumId w:val="27"/>
  </w:num>
  <w:num w:numId="2" w16cid:durableId="1576695665">
    <w:abstractNumId w:val="23"/>
  </w:num>
  <w:num w:numId="3" w16cid:durableId="248346524">
    <w:abstractNumId w:val="20"/>
  </w:num>
  <w:num w:numId="4" w16cid:durableId="1723166650">
    <w:abstractNumId w:val="13"/>
  </w:num>
  <w:num w:numId="5" w16cid:durableId="352267289">
    <w:abstractNumId w:val="26"/>
  </w:num>
  <w:num w:numId="6" w16cid:durableId="1987975432">
    <w:abstractNumId w:val="17"/>
  </w:num>
  <w:num w:numId="7" w16cid:durableId="23672031">
    <w:abstractNumId w:val="15"/>
  </w:num>
  <w:num w:numId="8" w16cid:durableId="2083719162">
    <w:abstractNumId w:val="9"/>
  </w:num>
  <w:num w:numId="9" w16cid:durableId="898900174">
    <w:abstractNumId w:val="7"/>
  </w:num>
  <w:num w:numId="10" w16cid:durableId="697004869">
    <w:abstractNumId w:val="6"/>
  </w:num>
  <w:num w:numId="11" w16cid:durableId="1564023619">
    <w:abstractNumId w:val="5"/>
  </w:num>
  <w:num w:numId="12" w16cid:durableId="118108064">
    <w:abstractNumId w:val="4"/>
  </w:num>
  <w:num w:numId="13" w16cid:durableId="1085153825">
    <w:abstractNumId w:val="8"/>
  </w:num>
  <w:num w:numId="14" w16cid:durableId="376397920">
    <w:abstractNumId w:val="3"/>
  </w:num>
  <w:num w:numId="15" w16cid:durableId="279071974">
    <w:abstractNumId w:val="2"/>
  </w:num>
  <w:num w:numId="16" w16cid:durableId="1346907780">
    <w:abstractNumId w:val="1"/>
  </w:num>
  <w:num w:numId="17" w16cid:durableId="808090730">
    <w:abstractNumId w:val="0"/>
  </w:num>
  <w:num w:numId="18" w16cid:durableId="1188178061">
    <w:abstractNumId w:val="16"/>
  </w:num>
  <w:num w:numId="19" w16cid:durableId="1749768182">
    <w:abstractNumId w:val="10"/>
  </w:num>
  <w:num w:numId="20" w16cid:durableId="1182083544">
    <w:abstractNumId w:val="25"/>
  </w:num>
  <w:num w:numId="21" w16cid:durableId="107772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6084586">
    <w:abstractNumId w:val="21"/>
  </w:num>
  <w:num w:numId="23" w16cid:durableId="1584534446">
    <w:abstractNumId w:val="22"/>
  </w:num>
  <w:num w:numId="24" w16cid:durableId="500704563">
    <w:abstractNumId w:val="12"/>
  </w:num>
  <w:num w:numId="25" w16cid:durableId="1082604746">
    <w:abstractNumId w:val="10"/>
    <w:lvlOverride w:ilvl="0">
      <w:startOverride w:val="1"/>
    </w:lvlOverride>
  </w:num>
  <w:num w:numId="26" w16cid:durableId="1233271729">
    <w:abstractNumId w:val="18"/>
  </w:num>
  <w:num w:numId="27" w16cid:durableId="1205094924">
    <w:abstractNumId w:val="19"/>
  </w:num>
  <w:num w:numId="28" w16cid:durableId="2041468410">
    <w:abstractNumId w:val="24"/>
  </w:num>
  <w:num w:numId="29" w16cid:durableId="797797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15D5"/>
    <w:rsid w:val="000020FE"/>
    <w:rsid w:val="000021EA"/>
    <w:rsid w:val="000125B9"/>
    <w:rsid w:val="00014628"/>
    <w:rsid w:val="00014CAA"/>
    <w:rsid w:val="00017D15"/>
    <w:rsid w:val="00021AFC"/>
    <w:rsid w:val="000274AC"/>
    <w:rsid w:val="00031EC0"/>
    <w:rsid w:val="000320DC"/>
    <w:rsid w:val="00036378"/>
    <w:rsid w:val="00042510"/>
    <w:rsid w:val="0004257E"/>
    <w:rsid w:val="00045BC7"/>
    <w:rsid w:val="00055052"/>
    <w:rsid w:val="00055C9D"/>
    <w:rsid w:val="000569D4"/>
    <w:rsid w:val="0006160D"/>
    <w:rsid w:val="00062BB1"/>
    <w:rsid w:val="00065076"/>
    <w:rsid w:val="00090E6C"/>
    <w:rsid w:val="00092EDB"/>
    <w:rsid w:val="00093C5D"/>
    <w:rsid w:val="000948FD"/>
    <w:rsid w:val="000A5AAD"/>
    <w:rsid w:val="000C39A1"/>
    <w:rsid w:val="000D4361"/>
    <w:rsid w:val="000D4506"/>
    <w:rsid w:val="000D6EA0"/>
    <w:rsid w:val="000E208D"/>
    <w:rsid w:val="000E2CB2"/>
    <w:rsid w:val="000E491B"/>
    <w:rsid w:val="000F4A0C"/>
    <w:rsid w:val="00103427"/>
    <w:rsid w:val="00113337"/>
    <w:rsid w:val="00120819"/>
    <w:rsid w:val="00133559"/>
    <w:rsid w:val="00137250"/>
    <w:rsid w:val="00137ACA"/>
    <w:rsid w:val="00151D1A"/>
    <w:rsid w:val="0017632E"/>
    <w:rsid w:val="0018234D"/>
    <w:rsid w:val="0018523F"/>
    <w:rsid w:val="00192E46"/>
    <w:rsid w:val="0019636E"/>
    <w:rsid w:val="001966FC"/>
    <w:rsid w:val="001A1BF8"/>
    <w:rsid w:val="001A2592"/>
    <w:rsid w:val="001B74F2"/>
    <w:rsid w:val="001C0521"/>
    <w:rsid w:val="001C1700"/>
    <w:rsid w:val="001C1B97"/>
    <w:rsid w:val="001C1EBD"/>
    <w:rsid w:val="001C37B2"/>
    <w:rsid w:val="001D29BD"/>
    <w:rsid w:val="001D5292"/>
    <w:rsid w:val="001E03D4"/>
    <w:rsid w:val="001E35C1"/>
    <w:rsid w:val="001F14A1"/>
    <w:rsid w:val="001F2314"/>
    <w:rsid w:val="001F657A"/>
    <w:rsid w:val="001F7639"/>
    <w:rsid w:val="0020049B"/>
    <w:rsid w:val="00201882"/>
    <w:rsid w:val="002056A2"/>
    <w:rsid w:val="00210D2B"/>
    <w:rsid w:val="00217CF7"/>
    <w:rsid w:val="002228F9"/>
    <w:rsid w:val="00222A19"/>
    <w:rsid w:val="002246D2"/>
    <w:rsid w:val="0022708D"/>
    <w:rsid w:val="00232EE4"/>
    <w:rsid w:val="002432A8"/>
    <w:rsid w:val="00245015"/>
    <w:rsid w:val="002472FB"/>
    <w:rsid w:val="002615E9"/>
    <w:rsid w:val="00263532"/>
    <w:rsid w:val="00263EB5"/>
    <w:rsid w:val="00267007"/>
    <w:rsid w:val="002702C7"/>
    <w:rsid w:val="00275149"/>
    <w:rsid w:val="002A2228"/>
    <w:rsid w:val="002A51D7"/>
    <w:rsid w:val="002B79A3"/>
    <w:rsid w:val="002B7B99"/>
    <w:rsid w:val="002D0C2C"/>
    <w:rsid w:val="002D0CC2"/>
    <w:rsid w:val="002D3CB3"/>
    <w:rsid w:val="002D58B9"/>
    <w:rsid w:val="002E06CF"/>
    <w:rsid w:val="002E4361"/>
    <w:rsid w:val="002E7695"/>
    <w:rsid w:val="002F187E"/>
    <w:rsid w:val="002F1E1C"/>
    <w:rsid w:val="002F43E7"/>
    <w:rsid w:val="002F546A"/>
    <w:rsid w:val="002F6300"/>
    <w:rsid w:val="002F694C"/>
    <w:rsid w:val="003003BB"/>
    <w:rsid w:val="00306DA0"/>
    <w:rsid w:val="003078ED"/>
    <w:rsid w:val="00314380"/>
    <w:rsid w:val="003155B3"/>
    <w:rsid w:val="003178BD"/>
    <w:rsid w:val="00320241"/>
    <w:rsid w:val="00320E32"/>
    <w:rsid w:val="0033076E"/>
    <w:rsid w:val="00333881"/>
    <w:rsid w:val="00333B19"/>
    <w:rsid w:val="003342FC"/>
    <w:rsid w:val="0033583F"/>
    <w:rsid w:val="00344CF3"/>
    <w:rsid w:val="00345535"/>
    <w:rsid w:val="00355EAB"/>
    <w:rsid w:val="003575A3"/>
    <w:rsid w:val="003610C2"/>
    <w:rsid w:val="003745B0"/>
    <w:rsid w:val="00375E25"/>
    <w:rsid w:val="00375E9A"/>
    <w:rsid w:val="003761EB"/>
    <w:rsid w:val="003767BE"/>
    <w:rsid w:val="003819A5"/>
    <w:rsid w:val="00382F5D"/>
    <w:rsid w:val="00386929"/>
    <w:rsid w:val="003871DF"/>
    <w:rsid w:val="00397ABB"/>
    <w:rsid w:val="003B36FE"/>
    <w:rsid w:val="003B79F5"/>
    <w:rsid w:val="003C10BC"/>
    <w:rsid w:val="003C29C1"/>
    <w:rsid w:val="003C385F"/>
    <w:rsid w:val="003D1094"/>
    <w:rsid w:val="003D141E"/>
    <w:rsid w:val="003D1E70"/>
    <w:rsid w:val="003D3F74"/>
    <w:rsid w:val="003D488F"/>
    <w:rsid w:val="003D4D2C"/>
    <w:rsid w:val="003D6ABE"/>
    <w:rsid w:val="003F519C"/>
    <w:rsid w:val="003F5355"/>
    <w:rsid w:val="004044CE"/>
    <w:rsid w:val="0040634F"/>
    <w:rsid w:val="00407BEF"/>
    <w:rsid w:val="0044082C"/>
    <w:rsid w:val="0045623C"/>
    <w:rsid w:val="00457BB8"/>
    <w:rsid w:val="00462A98"/>
    <w:rsid w:val="00465CE1"/>
    <w:rsid w:val="004817AE"/>
    <w:rsid w:val="004A1FFD"/>
    <w:rsid w:val="004A208B"/>
    <w:rsid w:val="004A34E3"/>
    <w:rsid w:val="004A34E6"/>
    <w:rsid w:val="004A457F"/>
    <w:rsid w:val="004B0507"/>
    <w:rsid w:val="004B2127"/>
    <w:rsid w:val="004B4EA0"/>
    <w:rsid w:val="004B7658"/>
    <w:rsid w:val="004C0D8F"/>
    <w:rsid w:val="004C3C6D"/>
    <w:rsid w:val="004D222B"/>
    <w:rsid w:val="004D79C9"/>
    <w:rsid w:val="004E3D36"/>
    <w:rsid w:val="004E4685"/>
    <w:rsid w:val="004F3392"/>
    <w:rsid w:val="005075DC"/>
    <w:rsid w:val="0052127D"/>
    <w:rsid w:val="0052463B"/>
    <w:rsid w:val="00525334"/>
    <w:rsid w:val="0052755A"/>
    <w:rsid w:val="00544E14"/>
    <w:rsid w:val="00545B30"/>
    <w:rsid w:val="00560322"/>
    <w:rsid w:val="005625E9"/>
    <w:rsid w:val="00566FB7"/>
    <w:rsid w:val="00574F34"/>
    <w:rsid w:val="00580E0D"/>
    <w:rsid w:val="0058530F"/>
    <w:rsid w:val="005855F5"/>
    <w:rsid w:val="00585C27"/>
    <w:rsid w:val="005866FD"/>
    <w:rsid w:val="00597936"/>
    <w:rsid w:val="005A3588"/>
    <w:rsid w:val="005A3E69"/>
    <w:rsid w:val="005A7E48"/>
    <w:rsid w:val="005B618C"/>
    <w:rsid w:val="005B634F"/>
    <w:rsid w:val="005C658A"/>
    <w:rsid w:val="005C76A2"/>
    <w:rsid w:val="005D070D"/>
    <w:rsid w:val="005D4D58"/>
    <w:rsid w:val="005E7015"/>
    <w:rsid w:val="005F08E3"/>
    <w:rsid w:val="006009F7"/>
    <w:rsid w:val="00603E9A"/>
    <w:rsid w:val="006163F5"/>
    <w:rsid w:val="0061725D"/>
    <w:rsid w:val="00625996"/>
    <w:rsid w:val="00626A3F"/>
    <w:rsid w:val="00637463"/>
    <w:rsid w:val="006440AD"/>
    <w:rsid w:val="006445C7"/>
    <w:rsid w:val="00646308"/>
    <w:rsid w:val="00647AB0"/>
    <w:rsid w:val="00647DD2"/>
    <w:rsid w:val="0065386B"/>
    <w:rsid w:val="00654A5F"/>
    <w:rsid w:val="006569BE"/>
    <w:rsid w:val="00664C58"/>
    <w:rsid w:val="00672A5E"/>
    <w:rsid w:val="00677D34"/>
    <w:rsid w:val="00680446"/>
    <w:rsid w:val="00680E44"/>
    <w:rsid w:val="00684FDB"/>
    <w:rsid w:val="00693131"/>
    <w:rsid w:val="00693953"/>
    <w:rsid w:val="00697D24"/>
    <w:rsid w:val="006A1E04"/>
    <w:rsid w:val="006B3AF1"/>
    <w:rsid w:val="006B4B00"/>
    <w:rsid w:val="006C1C96"/>
    <w:rsid w:val="006C3522"/>
    <w:rsid w:val="006C6A39"/>
    <w:rsid w:val="006D2B86"/>
    <w:rsid w:val="006D6AA3"/>
    <w:rsid w:val="006E0457"/>
    <w:rsid w:val="006E3964"/>
    <w:rsid w:val="006E5DF0"/>
    <w:rsid w:val="006E6FC7"/>
    <w:rsid w:val="007012AE"/>
    <w:rsid w:val="0070286A"/>
    <w:rsid w:val="0070695E"/>
    <w:rsid w:val="007202C7"/>
    <w:rsid w:val="00723711"/>
    <w:rsid w:val="00723CA3"/>
    <w:rsid w:val="0072647A"/>
    <w:rsid w:val="00727864"/>
    <w:rsid w:val="00734A56"/>
    <w:rsid w:val="007434A0"/>
    <w:rsid w:val="007455B5"/>
    <w:rsid w:val="007500D4"/>
    <w:rsid w:val="00750B79"/>
    <w:rsid w:val="00754250"/>
    <w:rsid w:val="00757A52"/>
    <w:rsid w:val="00764CD9"/>
    <w:rsid w:val="007672EA"/>
    <w:rsid w:val="00772EE2"/>
    <w:rsid w:val="00776CDE"/>
    <w:rsid w:val="00783199"/>
    <w:rsid w:val="0078594A"/>
    <w:rsid w:val="00793530"/>
    <w:rsid w:val="00793C81"/>
    <w:rsid w:val="00793D4B"/>
    <w:rsid w:val="007940E0"/>
    <w:rsid w:val="007A1BEA"/>
    <w:rsid w:val="007A3101"/>
    <w:rsid w:val="007A31C1"/>
    <w:rsid w:val="007A67B5"/>
    <w:rsid w:val="007A6F09"/>
    <w:rsid w:val="007B4B0A"/>
    <w:rsid w:val="007D0234"/>
    <w:rsid w:val="007D4ABC"/>
    <w:rsid w:val="007D72E2"/>
    <w:rsid w:val="007F3799"/>
    <w:rsid w:val="008007B4"/>
    <w:rsid w:val="00801319"/>
    <w:rsid w:val="00802A3E"/>
    <w:rsid w:val="00803B0A"/>
    <w:rsid w:val="0081532E"/>
    <w:rsid w:val="008220C5"/>
    <w:rsid w:val="008228A5"/>
    <w:rsid w:val="00822FED"/>
    <w:rsid w:val="008265C2"/>
    <w:rsid w:val="008320D9"/>
    <w:rsid w:val="00834CC0"/>
    <w:rsid w:val="00841701"/>
    <w:rsid w:val="00842C29"/>
    <w:rsid w:val="00844B30"/>
    <w:rsid w:val="00847656"/>
    <w:rsid w:val="008524EF"/>
    <w:rsid w:val="0085336C"/>
    <w:rsid w:val="00854234"/>
    <w:rsid w:val="0085762F"/>
    <w:rsid w:val="00860C37"/>
    <w:rsid w:val="0086460D"/>
    <w:rsid w:val="0086682D"/>
    <w:rsid w:val="008728EB"/>
    <w:rsid w:val="00874F3C"/>
    <w:rsid w:val="00884ED0"/>
    <w:rsid w:val="00886300"/>
    <w:rsid w:val="0089398E"/>
    <w:rsid w:val="00896CBC"/>
    <w:rsid w:val="0089770B"/>
    <w:rsid w:val="00897D77"/>
    <w:rsid w:val="008A5726"/>
    <w:rsid w:val="008B07C4"/>
    <w:rsid w:val="008B19EC"/>
    <w:rsid w:val="008C6286"/>
    <w:rsid w:val="008C7461"/>
    <w:rsid w:val="008D18DD"/>
    <w:rsid w:val="008D33AA"/>
    <w:rsid w:val="008D33C8"/>
    <w:rsid w:val="008E0E7A"/>
    <w:rsid w:val="008E4861"/>
    <w:rsid w:val="008F7E1D"/>
    <w:rsid w:val="009025AA"/>
    <w:rsid w:val="00905B2B"/>
    <w:rsid w:val="009060E4"/>
    <w:rsid w:val="00916AB4"/>
    <w:rsid w:val="00920A8B"/>
    <w:rsid w:val="00927C0E"/>
    <w:rsid w:val="00933A82"/>
    <w:rsid w:val="00934DA5"/>
    <w:rsid w:val="00941F7E"/>
    <w:rsid w:val="00947280"/>
    <w:rsid w:val="00947D55"/>
    <w:rsid w:val="00956DFD"/>
    <w:rsid w:val="00957A4C"/>
    <w:rsid w:val="0096294F"/>
    <w:rsid w:val="00967A01"/>
    <w:rsid w:val="00970D00"/>
    <w:rsid w:val="00973BE4"/>
    <w:rsid w:val="00976794"/>
    <w:rsid w:val="009776EC"/>
    <w:rsid w:val="00984E8C"/>
    <w:rsid w:val="009A4FA9"/>
    <w:rsid w:val="009C0747"/>
    <w:rsid w:val="009C5BC7"/>
    <w:rsid w:val="009D0742"/>
    <w:rsid w:val="009D2FEF"/>
    <w:rsid w:val="009D3C7F"/>
    <w:rsid w:val="009E0F5B"/>
    <w:rsid w:val="009E3A08"/>
    <w:rsid w:val="009E43CD"/>
    <w:rsid w:val="009F4816"/>
    <w:rsid w:val="009F4E61"/>
    <w:rsid w:val="009F6774"/>
    <w:rsid w:val="00A01322"/>
    <w:rsid w:val="00A154FE"/>
    <w:rsid w:val="00A17F95"/>
    <w:rsid w:val="00A20999"/>
    <w:rsid w:val="00A22CEE"/>
    <w:rsid w:val="00A24B1B"/>
    <w:rsid w:val="00A26E36"/>
    <w:rsid w:val="00A30B22"/>
    <w:rsid w:val="00A30B58"/>
    <w:rsid w:val="00A356A8"/>
    <w:rsid w:val="00A4152B"/>
    <w:rsid w:val="00A41B48"/>
    <w:rsid w:val="00A41BF2"/>
    <w:rsid w:val="00A512D7"/>
    <w:rsid w:val="00A55A1E"/>
    <w:rsid w:val="00A600EB"/>
    <w:rsid w:val="00A61AEC"/>
    <w:rsid w:val="00A635DE"/>
    <w:rsid w:val="00A64869"/>
    <w:rsid w:val="00A663E4"/>
    <w:rsid w:val="00A705E7"/>
    <w:rsid w:val="00A724D6"/>
    <w:rsid w:val="00A75AFE"/>
    <w:rsid w:val="00A778BE"/>
    <w:rsid w:val="00A81FCC"/>
    <w:rsid w:val="00A9519C"/>
    <w:rsid w:val="00AB0BFC"/>
    <w:rsid w:val="00AB7F27"/>
    <w:rsid w:val="00AC009D"/>
    <w:rsid w:val="00AC117C"/>
    <w:rsid w:val="00AC3F62"/>
    <w:rsid w:val="00AD35C2"/>
    <w:rsid w:val="00AE52DC"/>
    <w:rsid w:val="00B04D40"/>
    <w:rsid w:val="00B04F41"/>
    <w:rsid w:val="00B10955"/>
    <w:rsid w:val="00B11C25"/>
    <w:rsid w:val="00B13B4D"/>
    <w:rsid w:val="00B22110"/>
    <w:rsid w:val="00B24F23"/>
    <w:rsid w:val="00B26945"/>
    <w:rsid w:val="00B306F2"/>
    <w:rsid w:val="00B31694"/>
    <w:rsid w:val="00B31F52"/>
    <w:rsid w:val="00B42016"/>
    <w:rsid w:val="00B527CE"/>
    <w:rsid w:val="00B5699D"/>
    <w:rsid w:val="00B7051B"/>
    <w:rsid w:val="00B7254F"/>
    <w:rsid w:val="00B729F6"/>
    <w:rsid w:val="00B82CDE"/>
    <w:rsid w:val="00B8371B"/>
    <w:rsid w:val="00B967E9"/>
    <w:rsid w:val="00B972A6"/>
    <w:rsid w:val="00B97F4F"/>
    <w:rsid w:val="00BA14A7"/>
    <w:rsid w:val="00BA5CAC"/>
    <w:rsid w:val="00BA6456"/>
    <w:rsid w:val="00BB4ABF"/>
    <w:rsid w:val="00BB699C"/>
    <w:rsid w:val="00BC2D3D"/>
    <w:rsid w:val="00BC48D5"/>
    <w:rsid w:val="00BD0E6E"/>
    <w:rsid w:val="00BD1BA8"/>
    <w:rsid w:val="00BD3EF9"/>
    <w:rsid w:val="00BE2F20"/>
    <w:rsid w:val="00BE5CA4"/>
    <w:rsid w:val="00BE6E3B"/>
    <w:rsid w:val="00BF1345"/>
    <w:rsid w:val="00BF4C93"/>
    <w:rsid w:val="00C006D2"/>
    <w:rsid w:val="00C10191"/>
    <w:rsid w:val="00C136CD"/>
    <w:rsid w:val="00C14EB7"/>
    <w:rsid w:val="00C159E0"/>
    <w:rsid w:val="00C170B0"/>
    <w:rsid w:val="00C21446"/>
    <w:rsid w:val="00C21CA5"/>
    <w:rsid w:val="00C303BC"/>
    <w:rsid w:val="00C3110A"/>
    <w:rsid w:val="00C402C3"/>
    <w:rsid w:val="00C421B1"/>
    <w:rsid w:val="00C47CA2"/>
    <w:rsid w:val="00C56F80"/>
    <w:rsid w:val="00C573E0"/>
    <w:rsid w:val="00C63844"/>
    <w:rsid w:val="00C64C99"/>
    <w:rsid w:val="00C74E8D"/>
    <w:rsid w:val="00C77254"/>
    <w:rsid w:val="00C86A68"/>
    <w:rsid w:val="00C913FD"/>
    <w:rsid w:val="00C91A9A"/>
    <w:rsid w:val="00C97B7E"/>
    <w:rsid w:val="00CA2ACF"/>
    <w:rsid w:val="00CA32F4"/>
    <w:rsid w:val="00CA79E5"/>
    <w:rsid w:val="00CB67FC"/>
    <w:rsid w:val="00CC235B"/>
    <w:rsid w:val="00CC3C86"/>
    <w:rsid w:val="00CC41AD"/>
    <w:rsid w:val="00CC75E9"/>
    <w:rsid w:val="00CD31D5"/>
    <w:rsid w:val="00CE0A58"/>
    <w:rsid w:val="00CE0C56"/>
    <w:rsid w:val="00CE535E"/>
    <w:rsid w:val="00CE700F"/>
    <w:rsid w:val="00CE7510"/>
    <w:rsid w:val="00CF1FCC"/>
    <w:rsid w:val="00CF5C15"/>
    <w:rsid w:val="00CF5CDE"/>
    <w:rsid w:val="00D00CEF"/>
    <w:rsid w:val="00D02AEF"/>
    <w:rsid w:val="00D104BB"/>
    <w:rsid w:val="00D107DE"/>
    <w:rsid w:val="00D11892"/>
    <w:rsid w:val="00D151EB"/>
    <w:rsid w:val="00D20B01"/>
    <w:rsid w:val="00D33E51"/>
    <w:rsid w:val="00D35D84"/>
    <w:rsid w:val="00D35EFC"/>
    <w:rsid w:val="00D46056"/>
    <w:rsid w:val="00D522A0"/>
    <w:rsid w:val="00D53CD6"/>
    <w:rsid w:val="00D70E4B"/>
    <w:rsid w:val="00D873FC"/>
    <w:rsid w:val="00D91CB5"/>
    <w:rsid w:val="00D9743F"/>
    <w:rsid w:val="00DA5153"/>
    <w:rsid w:val="00DB0A02"/>
    <w:rsid w:val="00DB4322"/>
    <w:rsid w:val="00DC0E43"/>
    <w:rsid w:val="00DC1191"/>
    <w:rsid w:val="00DC1827"/>
    <w:rsid w:val="00DC5B71"/>
    <w:rsid w:val="00DC70D0"/>
    <w:rsid w:val="00DC7BA2"/>
    <w:rsid w:val="00DD6A3E"/>
    <w:rsid w:val="00DE15A6"/>
    <w:rsid w:val="00DE199A"/>
    <w:rsid w:val="00E029CC"/>
    <w:rsid w:val="00E03532"/>
    <w:rsid w:val="00E05FA4"/>
    <w:rsid w:val="00E06196"/>
    <w:rsid w:val="00E10DBA"/>
    <w:rsid w:val="00E14BCE"/>
    <w:rsid w:val="00E156AD"/>
    <w:rsid w:val="00E17A32"/>
    <w:rsid w:val="00E264A2"/>
    <w:rsid w:val="00E30B58"/>
    <w:rsid w:val="00E36548"/>
    <w:rsid w:val="00E4217F"/>
    <w:rsid w:val="00E4745F"/>
    <w:rsid w:val="00E650F5"/>
    <w:rsid w:val="00E74294"/>
    <w:rsid w:val="00E80237"/>
    <w:rsid w:val="00E831B4"/>
    <w:rsid w:val="00E94621"/>
    <w:rsid w:val="00E9495E"/>
    <w:rsid w:val="00E974FD"/>
    <w:rsid w:val="00E97833"/>
    <w:rsid w:val="00E97ADB"/>
    <w:rsid w:val="00EA4814"/>
    <w:rsid w:val="00EA5339"/>
    <w:rsid w:val="00EA613A"/>
    <w:rsid w:val="00EB42EF"/>
    <w:rsid w:val="00EC0BD6"/>
    <w:rsid w:val="00EC215E"/>
    <w:rsid w:val="00EC61D0"/>
    <w:rsid w:val="00EE2B66"/>
    <w:rsid w:val="00EF2CB5"/>
    <w:rsid w:val="00EF313C"/>
    <w:rsid w:val="00F1165E"/>
    <w:rsid w:val="00F11AB4"/>
    <w:rsid w:val="00F14D3F"/>
    <w:rsid w:val="00F2439E"/>
    <w:rsid w:val="00F302C2"/>
    <w:rsid w:val="00F40CBE"/>
    <w:rsid w:val="00F40D78"/>
    <w:rsid w:val="00F426BC"/>
    <w:rsid w:val="00F459E5"/>
    <w:rsid w:val="00F53B3C"/>
    <w:rsid w:val="00F56ACE"/>
    <w:rsid w:val="00F71E96"/>
    <w:rsid w:val="00F914A3"/>
    <w:rsid w:val="00F9355A"/>
    <w:rsid w:val="00F936C0"/>
    <w:rsid w:val="00F9405E"/>
    <w:rsid w:val="00FA6BD5"/>
    <w:rsid w:val="00FB2C9B"/>
    <w:rsid w:val="00FB30C7"/>
    <w:rsid w:val="00FC1851"/>
    <w:rsid w:val="00FC2561"/>
    <w:rsid w:val="00FC2798"/>
    <w:rsid w:val="00FC7429"/>
    <w:rsid w:val="00FD66D0"/>
    <w:rsid w:val="00FD757A"/>
    <w:rsid w:val="00FE2A44"/>
    <w:rsid w:val="00FE3E8B"/>
    <w:rsid w:val="00FE40B5"/>
    <w:rsid w:val="00FF02A8"/>
    <w:rsid w:val="00FF02F0"/>
    <w:rsid w:val="00FF61AD"/>
    <w:rsid w:val="00FF65E2"/>
    <w:rsid w:val="02601BE0"/>
    <w:rsid w:val="0275C703"/>
    <w:rsid w:val="029942B0"/>
    <w:rsid w:val="02E3B3E7"/>
    <w:rsid w:val="036A27DC"/>
    <w:rsid w:val="037FC2FF"/>
    <w:rsid w:val="03B24D83"/>
    <w:rsid w:val="04D9005A"/>
    <w:rsid w:val="0554FA07"/>
    <w:rsid w:val="0574328C"/>
    <w:rsid w:val="05E45153"/>
    <w:rsid w:val="05E4AD84"/>
    <w:rsid w:val="05F60768"/>
    <w:rsid w:val="0757DF7F"/>
    <w:rsid w:val="075ED9F7"/>
    <w:rsid w:val="07A1DA56"/>
    <w:rsid w:val="07E76E11"/>
    <w:rsid w:val="081C0006"/>
    <w:rsid w:val="08AF4906"/>
    <w:rsid w:val="08C6453F"/>
    <w:rsid w:val="09A6573A"/>
    <w:rsid w:val="09D703B2"/>
    <w:rsid w:val="0A5E4203"/>
    <w:rsid w:val="0ABA3C4A"/>
    <w:rsid w:val="0B2577E4"/>
    <w:rsid w:val="0C34E5EC"/>
    <w:rsid w:val="0CEFC603"/>
    <w:rsid w:val="0D70E1E1"/>
    <w:rsid w:val="0E421BE7"/>
    <w:rsid w:val="0E533C81"/>
    <w:rsid w:val="0E868846"/>
    <w:rsid w:val="0EBD213B"/>
    <w:rsid w:val="0EF765E1"/>
    <w:rsid w:val="0F69D408"/>
    <w:rsid w:val="100AB30F"/>
    <w:rsid w:val="10487B62"/>
    <w:rsid w:val="10D3056E"/>
    <w:rsid w:val="110C20D2"/>
    <w:rsid w:val="113D5F09"/>
    <w:rsid w:val="113D8A6B"/>
    <w:rsid w:val="11469809"/>
    <w:rsid w:val="11B5BE83"/>
    <w:rsid w:val="11C605AD"/>
    <w:rsid w:val="11D415C8"/>
    <w:rsid w:val="11F5DC2E"/>
    <w:rsid w:val="11FF741C"/>
    <w:rsid w:val="12C107DA"/>
    <w:rsid w:val="12D0CE7D"/>
    <w:rsid w:val="12E5B2F6"/>
    <w:rsid w:val="12FE1CE4"/>
    <w:rsid w:val="1306E494"/>
    <w:rsid w:val="13739099"/>
    <w:rsid w:val="149D412A"/>
    <w:rsid w:val="14C6B1E2"/>
    <w:rsid w:val="14CA8C18"/>
    <w:rsid w:val="15077296"/>
    <w:rsid w:val="1581F955"/>
    <w:rsid w:val="15E23711"/>
    <w:rsid w:val="16A68570"/>
    <w:rsid w:val="17048A0F"/>
    <w:rsid w:val="173DA66A"/>
    <w:rsid w:val="179E59C4"/>
    <w:rsid w:val="183475D9"/>
    <w:rsid w:val="1839E87C"/>
    <w:rsid w:val="18C3C199"/>
    <w:rsid w:val="1935A663"/>
    <w:rsid w:val="19695035"/>
    <w:rsid w:val="1A157B58"/>
    <w:rsid w:val="1A3D677F"/>
    <w:rsid w:val="1A84AE85"/>
    <w:rsid w:val="1ADE0154"/>
    <w:rsid w:val="1ADE44B5"/>
    <w:rsid w:val="1B6244A3"/>
    <w:rsid w:val="1BCE661D"/>
    <w:rsid w:val="1C49DE7D"/>
    <w:rsid w:val="1C727A87"/>
    <w:rsid w:val="1C7F006B"/>
    <w:rsid w:val="1DBE2EA6"/>
    <w:rsid w:val="1E54F12B"/>
    <w:rsid w:val="1E681F8D"/>
    <w:rsid w:val="1F217E45"/>
    <w:rsid w:val="1F981C92"/>
    <w:rsid w:val="203094D5"/>
    <w:rsid w:val="2059F851"/>
    <w:rsid w:val="208783A2"/>
    <w:rsid w:val="20893A41"/>
    <w:rsid w:val="20C580DB"/>
    <w:rsid w:val="21E3BF3E"/>
    <w:rsid w:val="21F476F2"/>
    <w:rsid w:val="22ED13DA"/>
    <w:rsid w:val="2334AA95"/>
    <w:rsid w:val="23B71B9C"/>
    <w:rsid w:val="2460C13E"/>
    <w:rsid w:val="2467E538"/>
    <w:rsid w:val="247BACF9"/>
    <w:rsid w:val="255E9357"/>
    <w:rsid w:val="25F15F82"/>
    <w:rsid w:val="26A76BD5"/>
    <w:rsid w:val="26CF4C86"/>
    <w:rsid w:val="271A92D7"/>
    <w:rsid w:val="27A75A81"/>
    <w:rsid w:val="27BE5C55"/>
    <w:rsid w:val="28A8B055"/>
    <w:rsid w:val="2904E7A3"/>
    <w:rsid w:val="2922A026"/>
    <w:rsid w:val="2A3C98F3"/>
    <w:rsid w:val="2A622D71"/>
    <w:rsid w:val="2A981856"/>
    <w:rsid w:val="2AA99DEC"/>
    <w:rsid w:val="2B576458"/>
    <w:rsid w:val="2BA5C005"/>
    <w:rsid w:val="2BAEBE88"/>
    <w:rsid w:val="2BC165D3"/>
    <w:rsid w:val="2BDE4CFC"/>
    <w:rsid w:val="2CA86600"/>
    <w:rsid w:val="2D18FA4A"/>
    <w:rsid w:val="2D24A0BE"/>
    <w:rsid w:val="2D5F885E"/>
    <w:rsid w:val="2D7C9384"/>
    <w:rsid w:val="2E7F34E0"/>
    <w:rsid w:val="2E91451B"/>
    <w:rsid w:val="2F5BEA85"/>
    <w:rsid w:val="2F89BA67"/>
    <w:rsid w:val="2F94DBA9"/>
    <w:rsid w:val="2FA319E2"/>
    <w:rsid w:val="2FE9CE20"/>
    <w:rsid w:val="3098DB72"/>
    <w:rsid w:val="30AEBA9E"/>
    <w:rsid w:val="30B6F03E"/>
    <w:rsid w:val="3129BACD"/>
    <w:rsid w:val="3167C3FD"/>
    <w:rsid w:val="31B0BCB0"/>
    <w:rsid w:val="31B409E7"/>
    <w:rsid w:val="324C1801"/>
    <w:rsid w:val="32EC9556"/>
    <w:rsid w:val="32F91BD5"/>
    <w:rsid w:val="33126DAE"/>
    <w:rsid w:val="3329C52E"/>
    <w:rsid w:val="33991C7A"/>
    <w:rsid w:val="33A75870"/>
    <w:rsid w:val="34A1FDBB"/>
    <w:rsid w:val="35C33835"/>
    <w:rsid w:val="35E14C38"/>
    <w:rsid w:val="360B1E89"/>
    <w:rsid w:val="3621FD7B"/>
    <w:rsid w:val="3658A053"/>
    <w:rsid w:val="3689C579"/>
    <w:rsid w:val="37F2B9F0"/>
    <w:rsid w:val="386F1E8D"/>
    <w:rsid w:val="3891A513"/>
    <w:rsid w:val="38C1E99D"/>
    <w:rsid w:val="3903D5B2"/>
    <w:rsid w:val="397731C5"/>
    <w:rsid w:val="39DC83CF"/>
    <w:rsid w:val="3A86F095"/>
    <w:rsid w:val="3A899D82"/>
    <w:rsid w:val="3A8A7326"/>
    <w:rsid w:val="3B3D2F1F"/>
    <w:rsid w:val="3B42A396"/>
    <w:rsid w:val="3B7998A3"/>
    <w:rsid w:val="3BB782CB"/>
    <w:rsid w:val="3BD17943"/>
    <w:rsid w:val="3C7E90F4"/>
    <w:rsid w:val="3D00D817"/>
    <w:rsid w:val="3D919A3D"/>
    <w:rsid w:val="3E2E1EE4"/>
    <w:rsid w:val="3E7B3262"/>
    <w:rsid w:val="3ED233F8"/>
    <w:rsid w:val="3ED38E29"/>
    <w:rsid w:val="3EE165B4"/>
    <w:rsid w:val="3F48AD40"/>
    <w:rsid w:val="3FBAC17F"/>
    <w:rsid w:val="400B3689"/>
    <w:rsid w:val="403383CA"/>
    <w:rsid w:val="40B3E910"/>
    <w:rsid w:val="41D320CF"/>
    <w:rsid w:val="428DD282"/>
    <w:rsid w:val="42FAB82D"/>
    <w:rsid w:val="43530215"/>
    <w:rsid w:val="43DC91DD"/>
    <w:rsid w:val="444A1E33"/>
    <w:rsid w:val="4497721B"/>
    <w:rsid w:val="44AEB610"/>
    <w:rsid w:val="44D62001"/>
    <w:rsid w:val="45DFF256"/>
    <w:rsid w:val="46FEC8E9"/>
    <w:rsid w:val="470809B9"/>
    <w:rsid w:val="47557E2B"/>
    <w:rsid w:val="47678062"/>
    <w:rsid w:val="477A8589"/>
    <w:rsid w:val="49163347"/>
    <w:rsid w:val="4996B835"/>
    <w:rsid w:val="49AE305C"/>
    <w:rsid w:val="4AC99F0C"/>
    <w:rsid w:val="4B6DC3D3"/>
    <w:rsid w:val="4B96A6E0"/>
    <w:rsid w:val="4BCF7E18"/>
    <w:rsid w:val="4C1A04C9"/>
    <w:rsid w:val="4C2075B2"/>
    <w:rsid w:val="4C3C3273"/>
    <w:rsid w:val="4CA7E355"/>
    <w:rsid w:val="4CF2EED3"/>
    <w:rsid w:val="4D1451C9"/>
    <w:rsid w:val="4E2025B3"/>
    <w:rsid w:val="4E32C659"/>
    <w:rsid w:val="4EBFB846"/>
    <w:rsid w:val="4ECFAA5B"/>
    <w:rsid w:val="4EE3E86F"/>
    <w:rsid w:val="4EF579E2"/>
    <w:rsid w:val="4EFB6549"/>
    <w:rsid w:val="4F173497"/>
    <w:rsid w:val="4F6D289D"/>
    <w:rsid w:val="4FBBBB5B"/>
    <w:rsid w:val="4FDAFAC4"/>
    <w:rsid w:val="4FF62D69"/>
    <w:rsid w:val="500713FE"/>
    <w:rsid w:val="50637147"/>
    <w:rsid w:val="506B7829"/>
    <w:rsid w:val="50C547D3"/>
    <w:rsid w:val="50D6B5FD"/>
    <w:rsid w:val="50F63C4B"/>
    <w:rsid w:val="50FBE4F4"/>
    <w:rsid w:val="51FA35EE"/>
    <w:rsid w:val="522D1A22"/>
    <w:rsid w:val="52E2D83B"/>
    <w:rsid w:val="52FD6C77"/>
    <w:rsid w:val="53053653"/>
    <w:rsid w:val="530D9484"/>
    <w:rsid w:val="53A40642"/>
    <w:rsid w:val="54365D67"/>
    <w:rsid w:val="544B5288"/>
    <w:rsid w:val="54A69832"/>
    <w:rsid w:val="54D5A036"/>
    <w:rsid w:val="54FD4C6D"/>
    <w:rsid w:val="563CC046"/>
    <w:rsid w:val="571A1C73"/>
    <w:rsid w:val="57D40FE1"/>
    <w:rsid w:val="57EA6214"/>
    <w:rsid w:val="58168751"/>
    <w:rsid w:val="5897DA6C"/>
    <w:rsid w:val="58ACF6FD"/>
    <w:rsid w:val="58D4B994"/>
    <w:rsid w:val="5A019B57"/>
    <w:rsid w:val="5A4C7A3D"/>
    <w:rsid w:val="5A6E61C1"/>
    <w:rsid w:val="5A8CA18D"/>
    <w:rsid w:val="5D21218C"/>
    <w:rsid w:val="5D21D8AE"/>
    <w:rsid w:val="5D533B9E"/>
    <w:rsid w:val="5D85EDFE"/>
    <w:rsid w:val="5DCF49EC"/>
    <w:rsid w:val="5DD05677"/>
    <w:rsid w:val="5FCAD679"/>
    <w:rsid w:val="602F5A18"/>
    <w:rsid w:val="6099DF13"/>
    <w:rsid w:val="60C7A721"/>
    <w:rsid w:val="60F1098A"/>
    <w:rsid w:val="6169C1F2"/>
    <w:rsid w:val="61F32903"/>
    <w:rsid w:val="621D173A"/>
    <w:rsid w:val="622D3E8C"/>
    <w:rsid w:val="6265A0D7"/>
    <w:rsid w:val="62816B9C"/>
    <w:rsid w:val="6313F3E9"/>
    <w:rsid w:val="632D8A3B"/>
    <w:rsid w:val="6468CD7F"/>
    <w:rsid w:val="64EB47B0"/>
    <w:rsid w:val="65084D07"/>
    <w:rsid w:val="652119E8"/>
    <w:rsid w:val="655667EB"/>
    <w:rsid w:val="661DD984"/>
    <w:rsid w:val="66633E72"/>
    <w:rsid w:val="666FB514"/>
    <w:rsid w:val="66A5F349"/>
    <w:rsid w:val="685B9F96"/>
    <w:rsid w:val="68703614"/>
    <w:rsid w:val="68CB0F08"/>
    <w:rsid w:val="68CB674B"/>
    <w:rsid w:val="68EEBDD4"/>
    <w:rsid w:val="68F828EA"/>
    <w:rsid w:val="690E7EE1"/>
    <w:rsid w:val="6914304A"/>
    <w:rsid w:val="69665843"/>
    <w:rsid w:val="6A528C9D"/>
    <w:rsid w:val="6A67B45B"/>
    <w:rsid w:val="6B7D683C"/>
    <w:rsid w:val="6B81BF5A"/>
    <w:rsid w:val="6B8D1F66"/>
    <w:rsid w:val="6C79C473"/>
    <w:rsid w:val="6D6EECDE"/>
    <w:rsid w:val="6DAE0213"/>
    <w:rsid w:val="6DEDF1C6"/>
    <w:rsid w:val="6E7C7BFE"/>
    <w:rsid w:val="6EE88880"/>
    <w:rsid w:val="6F674266"/>
    <w:rsid w:val="6FA4ED69"/>
    <w:rsid w:val="705D8334"/>
    <w:rsid w:val="707266A7"/>
    <w:rsid w:val="724B058A"/>
    <w:rsid w:val="736E5A99"/>
    <w:rsid w:val="73A6BDF6"/>
    <w:rsid w:val="74326B9A"/>
    <w:rsid w:val="74937246"/>
    <w:rsid w:val="74AFD69E"/>
    <w:rsid w:val="7595C71B"/>
    <w:rsid w:val="75DD55D1"/>
    <w:rsid w:val="76D472B0"/>
    <w:rsid w:val="770F213A"/>
    <w:rsid w:val="772A7FED"/>
    <w:rsid w:val="7753AC23"/>
    <w:rsid w:val="776C1EA2"/>
    <w:rsid w:val="77DA5B85"/>
    <w:rsid w:val="78052866"/>
    <w:rsid w:val="7850ED2E"/>
    <w:rsid w:val="7858BE06"/>
    <w:rsid w:val="7991BD13"/>
    <w:rsid w:val="7A29E3AB"/>
    <w:rsid w:val="7A6EB3DB"/>
    <w:rsid w:val="7AEDD7E7"/>
    <w:rsid w:val="7C1F8E34"/>
    <w:rsid w:val="7C48251D"/>
    <w:rsid w:val="7C4C1572"/>
    <w:rsid w:val="7C8A6BD4"/>
    <w:rsid w:val="7CC2E876"/>
    <w:rsid w:val="7E20D809"/>
    <w:rsid w:val="7E611845"/>
    <w:rsid w:val="7F513E63"/>
    <w:rsid w:val="7F5DDBB5"/>
    <w:rsid w:val="7FCEAEC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5AC6"/>
  <w15:chartTrackingRefBased/>
  <w15:docId w15:val="{440FED9A-EB79-49FE-BD4C-8AF8486B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SimSu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014628"/>
    <w:pPr>
      <w:spacing w:after="360"/>
    </w:pPr>
    <w:rPr>
      <w:sz w:val="22"/>
      <w:szCs w:val="22"/>
      <w:lang w:val="en-US" w:eastAsia="en-US"/>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hAnsi="Times New Roman" w:eastAsia="Times New Roman"/>
      <w:b/>
      <w:bCs/>
      <w:sz w:val="27"/>
      <w:szCs w:val="27"/>
      <w:lang w:val="pt-BR" w:eastAsia="pt-BR"/>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01Title" w:customStyle="1">
    <w:name w:val="01 Title"/>
    <w:basedOn w:val="Normal"/>
    <w:next w:val="02Author"/>
    <w:qFormat/>
    <w:rsid w:val="00F9355A"/>
    <w:pPr>
      <w:spacing w:before="520" w:after="460" w:line="500" w:lineRule="exact"/>
      <w:jc w:val="center"/>
    </w:pPr>
    <w:rPr>
      <w:rFonts w:ascii="Times New Roman" w:hAnsi="Times New Roman"/>
      <w:b/>
      <w:sz w:val="40"/>
    </w:rPr>
  </w:style>
  <w:style w:type="paragraph" w:styleId="02Author" w:customStyle="1">
    <w:name w:val="02 Author"/>
    <w:basedOn w:val="Normal"/>
    <w:next w:val="03AuthorAffiliation"/>
    <w:qFormat/>
    <w:rsid w:val="00F9355A"/>
    <w:pPr>
      <w:spacing w:before="360" w:after="200"/>
      <w:jc w:val="center"/>
    </w:pPr>
    <w:rPr>
      <w:rFonts w:ascii="Times New Roman" w:hAnsi="Times New Roman"/>
      <w:b/>
      <w:sz w:val="20"/>
    </w:rPr>
  </w:style>
  <w:style w:type="paragraph" w:styleId="03AuthorAffiliation" w:customStyle="1">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styleId="TextodebaloChar" w:customStyle="1">
    <w:name w:val="Texto de balão Char"/>
    <w:link w:val="Textodebalo"/>
    <w:uiPriority w:val="99"/>
    <w:semiHidden/>
    <w:rsid w:val="00803B0A"/>
    <w:rPr>
      <w:rFonts w:ascii="Tahoma" w:hAnsi="Tahoma" w:cs="Tahoma"/>
      <w:sz w:val="16"/>
      <w:szCs w:val="16"/>
    </w:rPr>
  </w:style>
  <w:style w:type="paragraph" w:styleId="04CorrespondingAuthorEmail" w:customStyle="1">
    <w:name w:val="04 Corresponding Author Email"/>
    <w:basedOn w:val="03AuthorAffiliation"/>
    <w:next w:val="05ReceivedLine"/>
    <w:qFormat/>
    <w:rsid w:val="002B7B99"/>
    <w:pPr>
      <w:spacing w:after="156"/>
    </w:pPr>
  </w:style>
  <w:style w:type="paragraph" w:styleId="05ReceivedLine" w:customStyle="1">
    <w:name w:val="05 Received Line"/>
    <w:basedOn w:val="04CorrespondingAuthorEmail"/>
    <w:next w:val="06Abstract"/>
    <w:autoRedefine/>
    <w:qFormat/>
    <w:rsid w:val="00CD31D5"/>
    <w:pPr>
      <w:spacing w:after="120" w:line="200" w:lineRule="exact"/>
    </w:pPr>
    <w:rPr>
      <w:i/>
      <w:sz w:val="20"/>
    </w:rPr>
  </w:style>
  <w:style w:type="paragraph" w:styleId="06Abstract" w:customStyle="1">
    <w:name w:val="06 Abstract"/>
    <w:basedOn w:val="05ReceivedLine"/>
    <w:next w:val="07KeyWords"/>
    <w:autoRedefine/>
    <w:qFormat/>
    <w:rsid w:val="00E30B58"/>
    <w:pPr>
      <w:spacing w:after="0" w:line="240" w:lineRule="exact"/>
      <w:ind w:left="318" w:right="318"/>
      <w:jc w:val="both"/>
    </w:pPr>
    <w:rPr>
      <w:i w:val="0"/>
      <w:spacing w:val="-2"/>
    </w:rPr>
  </w:style>
  <w:style w:type="paragraph" w:styleId="07KeyWords" w:customStyle="1">
    <w:name w:val="07 Key Words"/>
    <w:basedOn w:val="06Abstract"/>
    <w:next w:val="08Body"/>
    <w:qFormat/>
    <w:rsid w:val="0022708D"/>
    <w:pPr>
      <w:spacing w:before="320" w:after="240" w:line="240" w:lineRule="auto"/>
    </w:pPr>
    <w:rPr>
      <w:i/>
    </w:rPr>
  </w:style>
  <w:style w:type="paragraph" w:styleId="08Body" w:customStyle="1">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styleId="09BodyIndent" w:customStyle="1">
    <w:name w:val="09 Body Indent"/>
    <w:basedOn w:val="08Body"/>
    <w:link w:val="09BodyIndentChar"/>
    <w:autoRedefine/>
    <w:qFormat/>
    <w:rsid w:val="006B3AF1"/>
    <w:pPr>
      <w:autoSpaceDE w:val="0"/>
      <w:autoSpaceDN w:val="0"/>
      <w:adjustRightInd w:val="0"/>
      <w:spacing w:line="360" w:lineRule="auto"/>
    </w:pPr>
    <w:rPr>
      <w:rFonts w:eastAsia="Malgun Gothic"/>
      <w:spacing w:val="0"/>
      <w:sz w:val="24"/>
      <w:szCs w:val="24"/>
    </w:rPr>
  </w:style>
  <w:style w:type="paragraph" w:styleId="10Acknowledgments" w:customStyle="1">
    <w:name w:val="10 Acknowledgments"/>
    <w:basedOn w:val="09BodyIndent"/>
    <w:autoRedefine/>
    <w:qFormat/>
    <w:rsid w:val="00EB42EF"/>
    <w:pPr>
      <w:spacing w:before="120"/>
    </w:pPr>
    <w:rPr>
      <w:rFonts w:cs="AdvOTdbe06fba"/>
      <w:color w:val="000000"/>
      <w:szCs w:val="20"/>
    </w:rPr>
  </w:style>
  <w:style w:type="paragraph" w:styleId="12ReferenceHeader" w:customStyle="1">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styleId="12Refereces" w:customStyle="1">
    <w:name w:val="12 Refereces"/>
    <w:basedOn w:val="Semlista"/>
    <w:uiPriority w:val="99"/>
    <w:rsid w:val="00EB42EF"/>
    <w:pPr>
      <w:numPr>
        <w:numId w:val="2"/>
      </w:numPr>
    </w:pPr>
  </w:style>
  <w:style w:type="numbering" w:styleId="12References" w:customStyle="1">
    <w:name w:val="12 References"/>
    <w:basedOn w:val="Semlista"/>
    <w:uiPriority w:val="99"/>
    <w:rsid w:val="00EB42EF"/>
    <w:pPr>
      <w:numPr>
        <w:numId w:val="6"/>
      </w:numPr>
    </w:pPr>
  </w:style>
  <w:style w:type="paragraph" w:styleId="17Figure" w:customStyle="1">
    <w:name w:val="17 Figure"/>
    <w:basedOn w:val="Normal"/>
    <w:next w:val="19FigureMulti-LinesCaption"/>
    <w:autoRedefine/>
    <w:rsid w:val="00EF2CB5"/>
    <w:pPr>
      <w:jc w:val="center"/>
    </w:pPr>
    <w:rPr>
      <w:rFonts w:cs="AdvOT8910dd71"/>
      <w:szCs w:val="14"/>
      <w:u w:val="single"/>
    </w:rPr>
  </w:style>
  <w:style w:type="paragraph" w:styleId="19FigureMulti-LinesCaption" w:customStyle="1">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styleId="13Reference" w:customStyle="1">
    <w:name w:val="13 Reference"/>
    <w:basedOn w:val="12ReferenceHeader"/>
    <w:qFormat/>
    <w:rsid w:val="002432A8"/>
    <w:pPr>
      <w:numPr>
        <w:numId w:val="26"/>
      </w:numPr>
      <w:spacing w:before="0" w:after="0"/>
    </w:pPr>
    <w:rPr>
      <w:rFonts w:ascii="Times New Roman" w:hAnsi="Times New Roman"/>
      <w:b w:val="0"/>
      <w:sz w:val="16"/>
    </w:rPr>
  </w:style>
  <w:style w:type="table" w:styleId="Tabelacomgrade">
    <w:name w:val="Table Grid"/>
    <w:basedOn w:val="Tabelanormal"/>
    <w:uiPriority w:val="59"/>
    <w:rsid w:val="00897D7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TableTitle" w:customStyle="1">
    <w:name w:val="14 Table Title"/>
    <w:basedOn w:val="09BodyIndent"/>
    <w:qFormat/>
    <w:rsid w:val="00CD31D5"/>
    <w:pPr>
      <w:spacing w:before="240"/>
      <w:jc w:val="center"/>
    </w:pPr>
    <w:rPr>
      <w:b/>
      <w:sz w:val="16"/>
      <w:szCs w:val="18"/>
    </w:rPr>
  </w:style>
  <w:style w:type="paragraph" w:styleId="15TableHeading" w:customStyle="1">
    <w:name w:val="15 Table Heading"/>
    <w:basedOn w:val="09BodyIndent"/>
    <w:qFormat/>
    <w:rsid w:val="00847656"/>
    <w:pPr>
      <w:jc w:val="center"/>
    </w:pPr>
    <w:rPr>
      <w:sz w:val="16"/>
      <w:szCs w:val="18"/>
    </w:rPr>
  </w:style>
  <w:style w:type="paragraph" w:styleId="16TableBody" w:customStyle="1">
    <w:name w:val="16 Table Body"/>
    <w:basedOn w:val="09BodyIndent"/>
    <w:qFormat/>
    <w:rsid w:val="00847656"/>
    <w:pPr>
      <w:jc w:val="center"/>
    </w:pPr>
    <w:rPr>
      <w:sz w:val="16"/>
      <w:szCs w:val="18"/>
    </w:rPr>
  </w:style>
  <w:style w:type="paragraph" w:styleId="MTDisplayEquation" w:customStyle="1">
    <w:name w:val="MTDisplayEquation"/>
    <w:basedOn w:val="09BodyIndent"/>
    <w:next w:val="Normal"/>
    <w:link w:val="MTDisplayEquationChar"/>
    <w:rsid w:val="00E74294"/>
    <w:pPr>
      <w:tabs>
        <w:tab w:val="center" w:pos="2480"/>
        <w:tab w:val="right" w:pos="4940"/>
      </w:tabs>
      <w:spacing w:before="240" w:after="120"/>
    </w:pPr>
  </w:style>
  <w:style w:type="character" w:styleId="08BodyChar" w:customStyle="1">
    <w:name w:val="08 Body Char"/>
    <w:link w:val="08Body"/>
    <w:rsid w:val="00DC0E43"/>
    <w:rPr>
      <w:rFonts w:ascii="Times New Roman" w:hAnsi="Times New Roman"/>
      <w:spacing w:val="-8"/>
      <w:szCs w:val="22"/>
      <w:lang w:val="x-none" w:eastAsia="x-none"/>
    </w:rPr>
  </w:style>
  <w:style w:type="character" w:styleId="09BodyIndentChar" w:customStyle="1">
    <w:name w:val="09 Body Indent Char"/>
    <w:link w:val="09BodyIndent"/>
    <w:rsid w:val="006B3AF1"/>
    <w:rPr>
      <w:rFonts w:ascii="Times New Roman" w:hAnsi="Times New Roman" w:eastAsia="Malgun Gothic"/>
      <w:sz w:val="24"/>
      <w:szCs w:val="24"/>
      <w:lang w:val="x-none" w:eastAsia="x-none"/>
    </w:rPr>
  </w:style>
  <w:style w:type="character" w:styleId="MTDisplayEquationChar" w:customStyle="1">
    <w:name w:val="MTDisplayEquation Char"/>
    <w:basedOn w:val="09BodyIndentChar"/>
    <w:link w:val="MTDisplayEquation"/>
    <w:rsid w:val="00E74294"/>
    <w:rPr>
      <w:rFonts w:ascii="Times New Roman" w:hAnsi="Times New Roman" w:eastAsia="Malgun Gothic"/>
      <w:sz w:val="24"/>
      <w:szCs w:val="24"/>
      <w:lang w:val="x-none" w:eastAsia="x-none"/>
    </w:rPr>
  </w:style>
  <w:style w:type="character" w:styleId="Hyperlink">
    <w:name w:val="Hyperlink"/>
    <w:uiPriority w:val="99"/>
    <w:unhideWhenUsed/>
    <w:rsid w:val="00FE40B5"/>
    <w:rPr>
      <w:color w:val="0000FF"/>
      <w:u w:val="single"/>
    </w:rPr>
  </w:style>
  <w:style w:type="paragraph" w:styleId="11Equations" w:customStyle="1">
    <w:name w:val="11 Equations"/>
    <w:autoRedefine/>
    <w:qFormat/>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hAnsi="Times New Roman" w:eastAsia="Times New Roman"/>
      <w:sz w:val="24"/>
      <w:szCs w:val="24"/>
      <w:lang w:val="pt-BR" w:eastAsia="pt-BR"/>
    </w:rPr>
  </w:style>
  <w:style w:type="character" w:styleId="Ttulo3Char" w:customStyle="1">
    <w:name w:val="Título 3 Char"/>
    <w:link w:val="Ttulo3"/>
    <w:uiPriority w:val="9"/>
    <w:rsid w:val="00920A8B"/>
    <w:rPr>
      <w:rFonts w:ascii="Times New Roman" w:hAnsi="Times New Roman" w:eastAsia="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styleId="CabealhoChar" w:customStyle="1">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styleId="RodapChar" w:customStyle="1">
    <w:name w:val="Rodapé Char"/>
    <w:link w:val="Rodap"/>
    <w:uiPriority w:val="99"/>
    <w:rsid w:val="00A81FCC"/>
    <w:rPr>
      <w:sz w:val="22"/>
      <w:szCs w:val="22"/>
    </w:rPr>
  </w:style>
  <w:style w:type="paragraph" w:styleId="21Heading2" w:customStyle="1">
    <w:name w:val="21 Heading 2"/>
    <w:basedOn w:val="09BodyIndent"/>
    <w:qFormat/>
    <w:rsid w:val="00F2439E"/>
    <w:pPr>
      <w:spacing w:before="220" w:after="100"/>
    </w:pPr>
    <w:rPr>
      <w:b/>
    </w:rPr>
  </w:style>
  <w:style w:type="paragraph" w:styleId="20Heading1" w:customStyle="1">
    <w:name w:val="20 Heading 1"/>
    <w:basedOn w:val="08Body"/>
    <w:autoRedefine/>
    <w:qFormat/>
    <w:rsid w:val="00854234"/>
    <w:rPr>
      <w:b/>
      <w:sz w:val="24"/>
      <w:szCs w:val="24"/>
    </w:rPr>
  </w:style>
  <w:style w:type="paragraph" w:styleId="22Heading3" w:customStyle="1">
    <w:name w:val="22 Heading 3"/>
    <w:basedOn w:val="09BodyIndent"/>
    <w:qForma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semiHidden/>
    <w:unhideWhenUsed/>
    <w:rsid w:val="00723CA3"/>
    <w:pPr>
      <w:spacing w:after="0"/>
    </w:pPr>
    <w:rPr>
      <w:rFonts w:eastAsia="Calibri"/>
      <w:sz w:val="20"/>
      <w:szCs w:val="20"/>
      <w:lang w:val="x-none" w:eastAsia="x-none"/>
    </w:rPr>
  </w:style>
  <w:style w:type="character" w:styleId="TextodecomentrioChar" w:customStyle="1">
    <w:name w:val="Texto de comentário Char"/>
    <w:link w:val="Textodecomentrio"/>
    <w:uiPriority w:val="99"/>
    <w:semiHidden/>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styleId="figure" w:customStyle="1">
    <w:name w:val="figure"/>
    <w:basedOn w:val="Normal"/>
    <w:link w:val="figure0"/>
    <w:qFormat/>
    <w:rsid w:val="00A356A8"/>
    <w:pPr>
      <w:kinsoku w:val="0"/>
      <w:spacing w:before="120" w:beforeLines="50" w:after="0" w:line="360" w:lineRule="auto"/>
      <w:jc w:val="center"/>
    </w:pPr>
    <w:rPr>
      <w:rFonts w:ascii="Times New Roman" w:hAnsi="Times New Roman"/>
      <w:sz w:val="20"/>
      <w:szCs w:val="20"/>
      <w:lang w:val="x-none" w:eastAsia="x-none"/>
    </w:rPr>
  </w:style>
  <w:style w:type="character" w:styleId="figure0" w:customStyle="1">
    <w:name w:val="figure 字元"/>
    <w:link w:val="figure"/>
    <w:rsid w:val="00A356A8"/>
    <w:rPr>
      <w:rFonts w:ascii="Times New Roman" w:hAnsi="Times New Roman"/>
      <w:lang w:val="x-none"/>
    </w:rPr>
  </w:style>
  <w:style w:type="paragraph" w:styleId="Corpodetexto1" w:customStyle="1">
    <w:name w:val="Corpo de texto1"/>
    <w:rsid w:val="002E06CF"/>
    <w:pPr>
      <w:spacing w:after="120" w:line="228" w:lineRule="auto"/>
      <w:ind w:firstLine="288"/>
      <w:jc w:val="both"/>
    </w:pPr>
    <w:rPr>
      <w:rFonts w:ascii="Times New Roman" w:hAnsi="Times New Roman" w:eastAsia="ヒラギノ角ゴ Pro W3"/>
      <w:color w:val="000000"/>
      <w:spacing w:val="-1"/>
      <w:lang w:val="en-US" w:eastAsia="zh-CN"/>
    </w:rPr>
  </w:style>
  <w:style w:type="paragraph" w:styleId="18FigureCaptionSingleLine" w:customStyle="1">
    <w:name w:val="18 Figure Caption Single Line"/>
    <w:basedOn w:val="19FigureMulti-LinesCaption"/>
    <w:next w:val="17Figure"/>
    <w:qFormat/>
    <w:rsid w:val="00FC1851"/>
  </w:style>
  <w:style w:type="paragraph" w:styleId="PargrafodaLista">
    <w:name w:val="List Paragraph"/>
    <w:basedOn w:val="Normal"/>
    <w:uiPriority w:val="34"/>
    <w:semiHidden/>
    <w:qFormat/>
    <w:rsid w:val="00BF1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1401C39C01D6D49810CC767705771FD" ma:contentTypeVersion="13" ma:contentTypeDescription="Crie um novo documento." ma:contentTypeScope="" ma:versionID="731314fea57307bd0fd588abdda2df81">
  <xsd:schema xmlns:xsd="http://www.w3.org/2001/XMLSchema" xmlns:xs="http://www.w3.org/2001/XMLSchema" xmlns:p="http://schemas.microsoft.com/office/2006/metadata/properties" xmlns:ns2="16ea128d-f4f6-4d16-b0aa-0dc141a31396" xmlns:ns3="db2eb43d-d867-4ffa-a2d4-d26df39bdc24" targetNamespace="http://schemas.microsoft.com/office/2006/metadata/properties" ma:root="true" ma:fieldsID="c0719c9a5858ef005012c029a39b41f0" ns2:_="" ns3:_="">
    <xsd:import namespace="16ea128d-f4f6-4d16-b0aa-0dc141a31396"/>
    <xsd:import namespace="db2eb43d-d867-4ffa-a2d4-d26df39bd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a128d-f4f6-4d16-b0aa-0dc141a31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1000289-e8e0-4655-aaa4-6ce2e2879b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eb43d-d867-4ffa-a2d4-d26df39bdc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503d01-bab1-444c-8408-0f28f536c0b8}" ma:internalName="TaxCatchAll" ma:showField="CatchAllData" ma:web="db2eb43d-d867-4ffa-a2d4-d26df39bd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31EA1-80BE-4272-ADBA-242164547A1A}">
  <ds:schemaRefs>
    <ds:schemaRef ds:uri="http://schemas.openxmlformats.org/officeDocument/2006/bibliography"/>
  </ds:schemaRefs>
</ds:datastoreItem>
</file>

<file path=customXml/itemProps2.xml><?xml version="1.0" encoding="utf-8"?>
<ds:datastoreItem xmlns:ds="http://schemas.openxmlformats.org/officeDocument/2006/customXml" ds:itemID="{774B8DD1-D578-45D1-9CB4-971AC72FD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a128d-f4f6-4d16-b0aa-0dc141a31396"/>
    <ds:schemaRef ds:uri="db2eb43d-d867-4ffa-a2d4-d26df39bd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80327-F1A7-42A4-9722-611986F3A0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SciEP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SciEP Productions</dc:creator>
  <keywords/>
  <lastModifiedBy>Davi Vieira Rosa</lastModifiedBy>
  <revision>25</revision>
  <lastPrinted>2025-08-10T20:53:00.0000000Z</lastPrinted>
  <dcterms:created xsi:type="dcterms:W3CDTF">2025-08-06T18:21:00.0000000Z</dcterms:created>
  <dcterms:modified xsi:type="dcterms:W3CDTF">2025-09-10T14:38:43.5623420Z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