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C8A47" w14:textId="77777777" w:rsidR="00FF535C" w:rsidRDefault="00607429">
      <w:pPr>
        <w:pBdr>
          <w:top w:val="nil"/>
          <w:left w:val="nil"/>
          <w:bottom w:val="nil"/>
          <w:right w:val="nil"/>
          <w:between w:val="nil"/>
        </w:pBdr>
        <w:jc w:val="center"/>
        <w:rPr>
          <w:b/>
        </w:rPr>
      </w:pPr>
      <w:r>
        <w:rPr>
          <w:b/>
          <w:color w:val="000000"/>
        </w:rPr>
        <w:t xml:space="preserve">O IQEAL </w:t>
      </w:r>
      <w:r>
        <w:rPr>
          <w:b/>
        </w:rPr>
        <w:t>COMO</w:t>
      </w:r>
      <w:r>
        <w:rPr>
          <w:b/>
          <w:color w:val="000000"/>
        </w:rPr>
        <w:t xml:space="preserve"> </w:t>
      </w:r>
      <w:r>
        <w:rPr>
          <w:b/>
        </w:rPr>
        <w:t>INSTRUMENTO</w:t>
      </w:r>
      <w:r>
        <w:rPr>
          <w:b/>
          <w:color w:val="000000"/>
        </w:rPr>
        <w:t xml:space="preserve"> </w:t>
      </w:r>
      <w:r>
        <w:rPr>
          <w:b/>
        </w:rPr>
        <w:t>DE</w:t>
      </w:r>
      <w:r>
        <w:rPr>
          <w:b/>
          <w:color w:val="000000"/>
        </w:rPr>
        <w:t xml:space="preserve"> </w:t>
      </w:r>
      <w:r>
        <w:rPr>
          <w:b/>
        </w:rPr>
        <w:t>REPARTIÇÃO</w:t>
      </w:r>
      <w:r>
        <w:rPr>
          <w:b/>
          <w:color w:val="000000"/>
        </w:rPr>
        <w:t xml:space="preserve"> </w:t>
      </w:r>
      <w:r>
        <w:rPr>
          <w:b/>
        </w:rPr>
        <w:t>DO</w:t>
      </w:r>
      <w:r>
        <w:rPr>
          <w:b/>
          <w:color w:val="000000"/>
        </w:rPr>
        <w:t xml:space="preserve"> ICMS EDUCACIONAL </w:t>
      </w:r>
      <w:r>
        <w:rPr>
          <w:b/>
        </w:rPr>
        <w:t>AOS MUNICÍPIOS ALAGOANOS</w:t>
      </w:r>
    </w:p>
    <w:p w14:paraId="45A1B776" w14:textId="77777777" w:rsidR="00FF535C" w:rsidRDefault="00FF535C">
      <w:pPr>
        <w:pBdr>
          <w:top w:val="nil"/>
          <w:left w:val="nil"/>
          <w:bottom w:val="nil"/>
          <w:right w:val="nil"/>
          <w:between w:val="nil"/>
        </w:pBdr>
        <w:spacing w:line="240" w:lineRule="auto"/>
        <w:rPr>
          <w:color w:val="000000"/>
          <w:sz w:val="20"/>
          <w:szCs w:val="20"/>
        </w:rPr>
      </w:pPr>
    </w:p>
    <w:p w14:paraId="6807F265" w14:textId="77777777" w:rsidR="00FF535C" w:rsidRDefault="00607429">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r>
        <w:rPr>
          <w:sz w:val="20"/>
          <w:szCs w:val="20"/>
        </w:rPr>
        <w:t xml:space="preserve">GUILHERME, Gabrielly de Oliveira Mendes </w:t>
      </w:r>
      <w:r>
        <w:rPr>
          <w:color w:val="000000"/>
          <w:sz w:val="20"/>
          <w:szCs w:val="20"/>
          <w:vertAlign w:val="superscript"/>
        </w:rPr>
        <w:footnoteReference w:id="1"/>
      </w:r>
      <w:r>
        <w:rPr>
          <w:color w:val="000000"/>
          <w:sz w:val="20"/>
          <w:szCs w:val="20"/>
        </w:rPr>
        <w:t> </w:t>
      </w:r>
    </w:p>
    <w:p w14:paraId="13EB064E" w14:textId="77777777" w:rsidR="00FF535C" w:rsidRDefault="00607429">
      <w:pPr>
        <w:pBdr>
          <w:top w:val="nil"/>
          <w:left w:val="nil"/>
          <w:bottom w:val="nil"/>
          <w:right w:val="nil"/>
          <w:between w:val="nil"/>
        </w:pBdr>
        <w:spacing w:line="240" w:lineRule="auto"/>
        <w:jc w:val="right"/>
        <w:rPr>
          <w:color w:val="000000"/>
          <w:sz w:val="20"/>
          <w:szCs w:val="20"/>
        </w:rPr>
      </w:pPr>
      <w:r>
        <w:rPr>
          <w:sz w:val="20"/>
          <w:szCs w:val="20"/>
        </w:rPr>
        <w:t xml:space="preserve"> SILVA, Wellyngton Chaves Monteiro da </w:t>
      </w:r>
      <w:r>
        <w:rPr>
          <w:color w:val="000000"/>
          <w:sz w:val="20"/>
          <w:szCs w:val="20"/>
          <w:vertAlign w:val="superscript"/>
        </w:rPr>
        <w:footnoteReference w:id="2"/>
      </w:r>
      <w:r>
        <w:rPr>
          <w:color w:val="000000"/>
          <w:sz w:val="20"/>
          <w:szCs w:val="20"/>
        </w:rPr>
        <w:t> </w:t>
      </w:r>
    </w:p>
    <w:p w14:paraId="3A5D8A3F" w14:textId="77777777" w:rsidR="00FF535C" w:rsidRDefault="00FF535C">
      <w:pPr>
        <w:pBdr>
          <w:top w:val="nil"/>
          <w:left w:val="nil"/>
          <w:bottom w:val="nil"/>
          <w:right w:val="nil"/>
          <w:between w:val="nil"/>
        </w:pBdr>
        <w:spacing w:line="240" w:lineRule="auto"/>
        <w:jc w:val="right"/>
        <w:rPr>
          <w:rFonts w:ascii="Times New Roman" w:eastAsia="Times New Roman" w:hAnsi="Times New Roman" w:cs="Times New Roman"/>
          <w:color w:val="000000"/>
          <w:sz w:val="20"/>
          <w:szCs w:val="20"/>
        </w:rPr>
      </w:pPr>
    </w:p>
    <w:p w14:paraId="165AD23B" w14:textId="5DADF72C" w:rsidR="00FF535C" w:rsidRDefault="00607429">
      <w:pPr>
        <w:pBdr>
          <w:top w:val="nil"/>
          <w:left w:val="nil"/>
          <w:bottom w:val="nil"/>
          <w:right w:val="nil"/>
          <w:between w:val="nil"/>
        </w:pBdr>
        <w:jc w:val="left"/>
        <w:rPr>
          <w:b/>
          <w:color w:val="000000"/>
          <w:sz w:val="20"/>
          <w:szCs w:val="20"/>
        </w:rPr>
      </w:pPr>
      <w:r>
        <w:rPr>
          <w:b/>
          <w:color w:val="000000"/>
          <w:sz w:val="20"/>
          <w:szCs w:val="20"/>
        </w:rPr>
        <w:t>Grupo de Trabalho (GT):</w:t>
      </w:r>
      <w:r w:rsidR="006028EF">
        <w:rPr>
          <w:b/>
          <w:color w:val="000000"/>
          <w:sz w:val="20"/>
          <w:szCs w:val="20"/>
        </w:rPr>
        <w:t xml:space="preserve"> Políticas Públicas </w:t>
      </w:r>
      <w:r w:rsidR="007949AE">
        <w:rPr>
          <w:b/>
          <w:color w:val="000000"/>
          <w:sz w:val="20"/>
          <w:szCs w:val="20"/>
        </w:rPr>
        <w:t>e Gestão da Educação</w:t>
      </w:r>
      <w:r w:rsidR="00CD7A41">
        <w:rPr>
          <w:b/>
          <w:color w:val="000000"/>
          <w:sz w:val="20"/>
          <w:szCs w:val="20"/>
        </w:rPr>
        <w:t>.</w:t>
      </w:r>
    </w:p>
    <w:p w14:paraId="19E8ECD8" w14:textId="77777777" w:rsidR="00CD7A41" w:rsidRDefault="00CD7A41">
      <w:pPr>
        <w:pBdr>
          <w:top w:val="nil"/>
          <w:left w:val="nil"/>
          <w:bottom w:val="nil"/>
          <w:right w:val="nil"/>
          <w:between w:val="nil"/>
        </w:pBdr>
        <w:jc w:val="left"/>
        <w:rPr>
          <w:b/>
          <w:sz w:val="20"/>
          <w:szCs w:val="20"/>
        </w:rPr>
      </w:pPr>
    </w:p>
    <w:p w14:paraId="353FF02F" w14:textId="77777777" w:rsidR="00FF535C" w:rsidRDefault="00607429">
      <w:pPr>
        <w:pBdr>
          <w:top w:val="nil"/>
          <w:left w:val="nil"/>
          <w:bottom w:val="nil"/>
          <w:right w:val="nil"/>
          <w:between w:val="nil"/>
        </w:pBdr>
        <w:spacing w:line="240" w:lineRule="auto"/>
        <w:rPr>
          <w:b/>
          <w:color w:val="000000"/>
          <w:sz w:val="20"/>
          <w:szCs w:val="20"/>
        </w:rPr>
      </w:pPr>
      <w:r>
        <w:rPr>
          <w:b/>
          <w:color w:val="000000"/>
          <w:sz w:val="20"/>
          <w:szCs w:val="20"/>
        </w:rPr>
        <w:t>RESUMO</w:t>
      </w:r>
    </w:p>
    <w:p w14:paraId="70EE113D" w14:textId="6B241BBD" w:rsidR="00FF535C" w:rsidRDefault="00607429">
      <w:pPr>
        <w:pBdr>
          <w:top w:val="nil"/>
          <w:left w:val="nil"/>
          <w:bottom w:val="nil"/>
          <w:right w:val="nil"/>
          <w:between w:val="nil"/>
        </w:pBdr>
        <w:spacing w:line="240" w:lineRule="auto"/>
        <w:rPr>
          <w:sz w:val="20"/>
          <w:szCs w:val="20"/>
        </w:rPr>
      </w:pPr>
      <w:r>
        <w:rPr>
          <w:sz w:val="20"/>
          <w:szCs w:val="20"/>
        </w:rPr>
        <w:t>A pesquisa a que se refere este projeto situa-se no contexto educacional, abrindo possibilidades de discussões políticas e educacionais. Tem como objetivo analisar o Índice Municipal de Qualidade Educacional de Alagoas (IQEAL) como o instrumento utilizado na transferência da parcela discricionária da cota-parte do ICMS do estado de Alagoas aos seus municípios e as implicações na educação pública municipal das modificações por qual esse indicador vem passando. Tal instrumento favorece que os municípios disputem entre si os recursos advindos do ICMS de acordo com os resultados do IDEB, pautados numa suposta qualidade da educação em função deste índice, bem como de índices que foram incorporados em sua última atualização. A metodologia do trabalho tem uma abordagem qualitativa, com a realização de uma pesquisa bibliográfica, através do levantamento de normas (leis, decretos, portarias) e possíveis reportagens, subsidiando a análise e as discussões em torno da temática.</w:t>
      </w:r>
    </w:p>
    <w:p w14:paraId="78184D03" w14:textId="77777777" w:rsidR="00FF535C" w:rsidRDefault="00607429">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b/>
          <w:sz w:val="20"/>
          <w:szCs w:val="20"/>
        </w:rPr>
        <w:t>Palavras-chave</w:t>
      </w:r>
      <w:r>
        <w:rPr>
          <w:sz w:val="20"/>
          <w:szCs w:val="20"/>
        </w:rPr>
        <w:t>: política pública educacional; financiamento da educação; gerencialismo; educação básica.</w:t>
      </w:r>
    </w:p>
    <w:p w14:paraId="574F7608" w14:textId="77777777" w:rsidR="00FF535C" w:rsidRDefault="00FF535C">
      <w:pPr>
        <w:pBdr>
          <w:top w:val="nil"/>
          <w:left w:val="nil"/>
          <w:bottom w:val="nil"/>
          <w:right w:val="nil"/>
          <w:between w:val="nil"/>
        </w:pBdr>
        <w:rPr>
          <w:b/>
          <w:color w:val="000000"/>
        </w:rPr>
      </w:pPr>
    </w:p>
    <w:p w14:paraId="1E6FFA2F" w14:textId="77777777" w:rsidR="00FF535C" w:rsidRDefault="00607429">
      <w:pPr>
        <w:pBdr>
          <w:top w:val="nil"/>
          <w:left w:val="nil"/>
          <w:bottom w:val="nil"/>
          <w:right w:val="nil"/>
          <w:between w:val="nil"/>
        </w:pBdr>
        <w:rPr>
          <w:b/>
          <w:color w:val="000000"/>
        </w:rPr>
      </w:pPr>
      <w:r>
        <w:rPr>
          <w:b/>
          <w:color w:val="000000"/>
        </w:rPr>
        <w:t>INTRODUÇÃO</w:t>
      </w:r>
    </w:p>
    <w:p w14:paraId="782D1550" w14:textId="17617BC8" w:rsidR="00FF535C" w:rsidRDefault="00607429">
      <w:pPr>
        <w:ind w:firstLine="700"/>
      </w:pPr>
      <w:r>
        <w:t>O Imposto Sobre Operações Relativas à Circulação de Mercadorias sobre a Prestação de Serviços de Transportes, Interestadual e Intermunicipal, de Comunicação – ICMS é um tributo estadual previsto pelo Art. 158, inciso IV da Constituição Federal de 1988, em que 25% da sua arrecadação é destinada aos municípios. Segundo a Lei Complementar n</w:t>
      </w:r>
      <w:r w:rsidR="00D24882">
        <w:t>.º</w:t>
      </w:r>
      <w:r>
        <w:t xml:space="preserve"> 63 de 11 de janeiro de 1990, o estado tem autonomia legal de legislar em critérios de repartição 1/4 (25%) da cota parte do imposto atribuído às cidades de acordo com as suas necessidades, e 3/4 (75%) são distribuídos proporcionalmente ao valor adicionado fiscal do município. Essa repartição torna-se de extrema importância, uma vez que o ICMS é uma das principais fontes de receita para muitas cidades brasileiras, sendo crucial para a autonomia financeira das mesmas.</w:t>
      </w:r>
    </w:p>
    <w:p w14:paraId="74979319" w14:textId="6299B443" w:rsidR="00FF535C" w:rsidRDefault="00607429">
      <w:pPr>
        <w:ind w:firstLine="700"/>
      </w:pPr>
      <w:r>
        <w:t xml:space="preserve">O ICMS pode ser distribuído de acordo com o </w:t>
      </w:r>
      <w:r w:rsidR="00D24882">
        <w:t xml:space="preserve">Índice </w:t>
      </w:r>
      <w:r>
        <w:t xml:space="preserve">de Participação dos </w:t>
      </w:r>
      <w:r w:rsidR="00D24882">
        <w:t>M</w:t>
      </w:r>
      <w:r>
        <w:t xml:space="preserve">unicípios (IPM) que </w:t>
      </w:r>
      <w:r w:rsidR="00D24882">
        <w:t>é</w:t>
      </w:r>
      <w:r>
        <w:t xml:space="preserve"> constituído a partir de fatores que envolvem população</w:t>
      </w:r>
      <w:r w:rsidR="00D24882">
        <w:t>,</w:t>
      </w:r>
      <w:r>
        <w:t xml:space="preserve"> índices de conservação ambiental</w:t>
      </w:r>
      <w:r w:rsidR="00D24882">
        <w:t>,</w:t>
      </w:r>
      <w:r>
        <w:t xml:space="preserve"> área populacional e</w:t>
      </w:r>
      <w:r w:rsidR="00D24882">
        <w:t>,</w:t>
      </w:r>
      <w:r>
        <w:t xml:space="preserve"> obrigatoriamente</w:t>
      </w:r>
      <w:r w:rsidR="00D24882">
        <w:t>,</w:t>
      </w:r>
      <w:r>
        <w:t xml:space="preserve"> o índice de desenvolvimento e qualidade educacional</w:t>
      </w:r>
      <w:r w:rsidR="00D24882">
        <w:t>,</w:t>
      </w:r>
      <w:r>
        <w:t xml:space="preserve"> entre outros aspectos. Em Alagoas, os critérios de repasse são </w:t>
      </w:r>
      <w:r>
        <w:lastRenderedPageBreak/>
        <w:t>regulamentados pela lei</w:t>
      </w:r>
      <w:r w:rsidR="00D24882">
        <w:t xml:space="preserve"> n.º</w:t>
      </w:r>
      <w:r>
        <w:t xml:space="preserve"> 5.981, de 19 de dezembro de 1997, que também estabelece prazos de entrega da arrecadação do imposto designado aos municípios.</w:t>
      </w:r>
    </w:p>
    <w:p w14:paraId="75F31BCB" w14:textId="4DCB3273" w:rsidR="00FF535C" w:rsidRDefault="00607429">
      <w:pPr>
        <w:ind w:firstLine="700"/>
      </w:pPr>
      <w:r>
        <w:t>Ademais, com a aprovação da Emenda Constitucional n</w:t>
      </w:r>
      <w:r w:rsidR="00D24882">
        <w:t>.º</w:t>
      </w:r>
      <w:r>
        <w:t xml:space="preserve"> 108 de 26 de agosto de 2020 que altera o Art.158, os 25% destinado aos municípios são divididos, a partir de então, da seguinte forma: 65%, no mínimo, referente ao índice de valor adicionado e 35%, no máximo, de acordo com a ordem estadual em outros critérios, sendo um deles com base em parâmetros educacionais por ao menos 10% do repasse. Dessa forma, tornou-se obrigatório que os estados brasileiros modificassem sua legislação inserindo o índice educacional nas regras de divisão da cota-parte do ICMS até o ano de 2022. Sendo assim, o Fundo de Manutenção e Desenvolvimento da Educação Básica e de Valorização dos Profissionais da Educação (Fundeb) foi aperfeiçoado e tornou-se permanente, dando maior notoriedade ao financiamento da educação e ao diálogo sobre o ICMS Educação.</w:t>
      </w:r>
    </w:p>
    <w:p w14:paraId="0A7E2260" w14:textId="6B5C623D" w:rsidR="00FF535C" w:rsidRDefault="00607429">
      <w:pPr>
        <w:ind w:firstLine="700"/>
      </w:pPr>
      <w:r>
        <w:t xml:space="preserve">Em consequência disso, </w:t>
      </w:r>
      <w:r w:rsidR="00D24882">
        <w:t>em</w:t>
      </w:r>
      <w:r>
        <w:t xml:space="preserve"> </w:t>
      </w:r>
      <w:r w:rsidR="00D24882">
        <w:t>A</w:t>
      </w:r>
      <w:r>
        <w:t>lagoa</w:t>
      </w:r>
      <w:r w:rsidR="00D24882">
        <w:t>s</w:t>
      </w:r>
      <w:r>
        <w:t xml:space="preserve"> surge o Índice de Qualidade Educacional de Alagoas – IQEAL, </w:t>
      </w:r>
      <w:r w:rsidR="00D24882">
        <w:t>que consiste em</w:t>
      </w:r>
      <w:r>
        <w:t xml:space="preserve"> uma ferramenta que busca calcular a qualidade da educação dos municípios</w:t>
      </w:r>
      <w:r w:rsidR="00D24882">
        <w:t>,</w:t>
      </w:r>
      <w:r>
        <w:t xml:space="preserve"> </w:t>
      </w:r>
      <w:r w:rsidR="00D24882">
        <w:t>sendo</w:t>
      </w:r>
      <w:r>
        <w:t xml:space="preserve"> utilizada para determinar a distribuição do ICMS. O IQEAL é composto por indicadores que analisam o desempenho das escolas e a performance educacional da cidade.</w:t>
      </w:r>
    </w:p>
    <w:p w14:paraId="23F97872" w14:textId="4FDE9E30" w:rsidR="00FF535C" w:rsidRDefault="00607429">
      <w:pPr>
        <w:ind w:firstLine="700"/>
      </w:pPr>
      <w:r>
        <w:t xml:space="preserve">Em Alagoas a valorização e as mudanças legais no que diz respeito ao ICMS Educação estão ligadas a um sistema de </w:t>
      </w:r>
      <w:r w:rsidR="00D24882">
        <w:t>“</w:t>
      </w:r>
      <w:r>
        <w:t>premiação</w:t>
      </w:r>
      <w:r w:rsidR="00D24882">
        <w:t>”</w:t>
      </w:r>
      <w:r>
        <w:t xml:space="preserve"> aos municípios que melhor se desenvolveram no IQEAL e na soma dos IPMs (</w:t>
      </w:r>
      <w:r w:rsidR="000D56A7">
        <w:t>Silva;</w:t>
      </w:r>
      <w:r>
        <w:t xml:space="preserve"> </w:t>
      </w:r>
      <w:r w:rsidR="000D56A7">
        <w:t>Santos, 2024</w:t>
      </w:r>
      <w:r>
        <w:t xml:space="preserve">). Este modelo incentiva </w:t>
      </w:r>
      <w:r w:rsidR="000D56A7">
        <w:t>municípios</w:t>
      </w:r>
      <w:r>
        <w:t xml:space="preserve"> que não obtiveram resultados satisfatórios a implementarem políticas públicas educacionais e recursos para aprimorarem seus indicadores, a fim de receberem uma parcela maior dessa cota-parte.</w:t>
      </w:r>
    </w:p>
    <w:p w14:paraId="348E7067" w14:textId="603D4243" w:rsidR="00FF535C" w:rsidRDefault="00607429">
      <w:pPr>
        <w:ind w:firstLine="700"/>
      </w:pPr>
      <w:r>
        <w:t>Portanto, o sucesso da política do ICMS Educacional resulta de um elo entre o incentivo financeiro oferecido por esse mecanismo e um forte apoio técnico às redes de ensino, e não menos importante, a legislação que o envolve.</w:t>
      </w:r>
    </w:p>
    <w:p w14:paraId="577AE1BA" w14:textId="77777777" w:rsidR="00FF535C" w:rsidRDefault="00FF535C">
      <w:pPr>
        <w:pBdr>
          <w:top w:val="nil"/>
          <w:left w:val="nil"/>
          <w:bottom w:val="nil"/>
          <w:right w:val="nil"/>
          <w:between w:val="nil"/>
        </w:pBdr>
      </w:pPr>
    </w:p>
    <w:p w14:paraId="20329342" w14:textId="77777777" w:rsidR="00FF535C" w:rsidRDefault="00607429">
      <w:pPr>
        <w:pBdr>
          <w:top w:val="nil"/>
          <w:left w:val="nil"/>
          <w:bottom w:val="nil"/>
          <w:right w:val="nil"/>
          <w:between w:val="nil"/>
        </w:pBdr>
        <w:rPr>
          <w:b/>
          <w:color w:val="000000"/>
        </w:rPr>
      </w:pPr>
      <w:r>
        <w:rPr>
          <w:b/>
          <w:color w:val="000000"/>
        </w:rPr>
        <w:t>OBJETIVOS</w:t>
      </w:r>
    </w:p>
    <w:p w14:paraId="1C1B4A39" w14:textId="77777777" w:rsidR="00FF535C" w:rsidRDefault="00607429">
      <w:pPr>
        <w:pBdr>
          <w:top w:val="nil"/>
          <w:left w:val="nil"/>
          <w:bottom w:val="nil"/>
          <w:right w:val="nil"/>
          <w:between w:val="nil"/>
        </w:pBdr>
        <w:ind w:firstLine="720"/>
        <w:rPr>
          <w:color w:val="000000"/>
        </w:rPr>
      </w:pPr>
      <w:r>
        <w:t>Analisar o IQEAL como o instrumento utilizado na transferência da parcela discricionária da cota-parte do ICMS do estado de Alagoas aos seus municípios e as implicações na educação pública municipal das modificações por qual esse indicador vem passando.</w:t>
      </w:r>
    </w:p>
    <w:p w14:paraId="5DFB31B7" w14:textId="77777777" w:rsidR="00FF535C" w:rsidRDefault="00FF535C">
      <w:pPr>
        <w:pBdr>
          <w:top w:val="nil"/>
          <w:left w:val="nil"/>
          <w:bottom w:val="nil"/>
          <w:right w:val="nil"/>
          <w:between w:val="nil"/>
        </w:pBdr>
        <w:rPr>
          <w:color w:val="000000"/>
        </w:rPr>
      </w:pPr>
    </w:p>
    <w:p w14:paraId="08AF1E7D" w14:textId="77777777" w:rsidR="00FF535C" w:rsidRDefault="00607429">
      <w:pPr>
        <w:pBdr>
          <w:top w:val="nil"/>
          <w:left w:val="nil"/>
          <w:bottom w:val="nil"/>
          <w:right w:val="nil"/>
          <w:between w:val="nil"/>
        </w:pBdr>
        <w:rPr>
          <w:b/>
          <w:color w:val="000000"/>
        </w:rPr>
      </w:pPr>
      <w:r>
        <w:rPr>
          <w:b/>
          <w:color w:val="000000"/>
        </w:rPr>
        <w:t>FUNDAMENTAÇÃO TEÓRICA</w:t>
      </w:r>
    </w:p>
    <w:p w14:paraId="10E200FB" w14:textId="77777777" w:rsidR="00FF535C" w:rsidRDefault="00607429">
      <w:pPr>
        <w:rPr>
          <w:b/>
        </w:rPr>
      </w:pPr>
      <w:r>
        <w:rPr>
          <w:b/>
        </w:rPr>
        <w:t>Critérios de repartição do ICMS</w:t>
      </w:r>
    </w:p>
    <w:p w14:paraId="494C6244" w14:textId="05F69C69" w:rsidR="00FF535C" w:rsidRDefault="00607429">
      <w:pPr>
        <w:ind w:firstLine="700"/>
      </w:pPr>
      <w:r>
        <w:t>No Art. 1º, parágrafo § 2° da lei n</w:t>
      </w:r>
      <w:r w:rsidR="000D56A7">
        <w:t>.º</w:t>
      </w:r>
      <w:r>
        <w:t xml:space="preserve"> 5.981, de 19 de dezembro de 1997</w:t>
      </w:r>
      <w:r w:rsidR="009D2BF0">
        <w:t>,</w:t>
      </w:r>
      <w:r>
        <w:t xml:space="preserve"> traz o que originalmente eram os índices de apuração para a repartição do um quarto (1/4) do ICMS destinado aos municípios, regida pela Lei Complementar n</w:t>
      </w:r>
      <w:r w:rsidR="009D2BF0">
        <w:t>.º</w:t>
      </w:r>
      <w:r>
        <w:t xml:space="preserve"> 63 de 11 de janeiro de 1990</w:t>
      </w:r>
      <w:r w:rsidR="009D2BF0">
        <w:t>. S</w:t>
      </w:r>
      <w:r>
        <w:t>ão eles os Índices de Valor Adicionado</w:t>
      </w:r>
      <w:r w:rsidR="009D2BF0">
        <w:t>,</w:t>
      </w:r>
      <w:r>
        <w:t xml:space="preserve"> Área Territorial</w:t>
      </w:r>
      <w:r w:rsidR="009D2BF0">
        <w:t>,</w:t>
      </w:r>
      <w:r>
        <w:t xml:space="preserve"> Popula</w:t>
      </w:r>
      <w:r w:rsidR="009D2BF0">
        <w:t>ção,</w:t>
      </w:r>
      <w:r>
        <w:t xml:space="preserve"> e o Fator Igualitário que são responsáveis, respectivamente, por 75%; 5%; 5%; e 15% do montante.</w:t>
      </w:r>
    </w:p>
    <w:p w14:paraId="1262B6AE" w14:textId="0A5E70A2" w:rsidR="00FF535C" w:rsidRDefault="00607429" w:rsidP="009D2BF0">
      <w:pPr>
        <w:ind w:firstLine="700"/>
      </w:pPr>
      <w:r>
        <w:t>Logo adiante, em 29 de dezembro de 2008 surge a lei n</w:t>
      </w:r>
      <w:r w:rsidR="009D2BF0">
        <w:t>.º</w:t>
      </w:r>
      <w:r>
        <w:t xml:space="preserve"> 7.011 que modifica a lei n</w:t>
      </w:r>
      <w:r w:rsidR="009D2BF0">
        <w:t>.º</w:t>
      </w:r>
      <w:r>
        <w:t xml:space="preserve"> 5.981 e é responsável por trazer um novo parâmetro, distribui</w:t>
      </w:r>
      <w:r w:rsidR="009D2BF0">
        <w:t>ndo</w:t>
      </w:r>
      <w:r>
        <w:t xml:space="preserve"> aos municípios de acordo com a observância de diretrizes e utilização de recursos em segurança, a fim de concretizar o disposto no Art. 144 da Constituição Federal. Estabelece, a partir de então, os fatores da seguinte forma: índice de Valor Adicionado (75%); Área Territorial (2,5%); População (2,5%); Fator Igual (15%); Segurança Pública (5%).</w:t>
      </w:r>
    </w:p>
    <w:p w14:paraId="7006DADE" w14:textId="2BEE8C46" w:rsidR="00FF535C" w:rsidRDefault="009D2BF0" w:rsidP="009D2BF0">
      <w:pPr>
        <w:ind w:firstLine="700"/>
      </w:pPr>
      <w:r>
        <w:t>Contudo, a Emenda Constitucional n.º 108, que foi aprovada em 26 de agosto de 2020 e faz alterações no Art. 158 da Constituição Federal (Brasil, 2020), foi idealizada durante as discussões do novo Fundeb com a finalidade de elevar a qualidade da educação básica. Com isso, determinadas alterações foram realizadas, a cota-parte municipal foi dividida em valor de IPM obrigatório, 65% (no mínimo) referente ao índice de valor adicionado e ao menos 10% em parâmetros educacionais, enquanto 25% do repasse seria de acordo com que estabelece ordem estadual, sendo que tais regras deveriam ser cumpridas até o ano de 2022.</w:t>
      </w:r>
    </w:p>
    <w:p w14:paraId="5207768D" w14:textId="1ACC1816" w:rsidR="00FF535C" w:rsidRDefault="00607429" w:rsidP="009D2BF0">
      <w:pPr>
        <w:ind w:firstLine="700"/>
      </w:pPr>
      <w:r>
        <w:t>Posteriormente, a Lei n</w:t>
      </w:r>
      <w:r w:rsidR="009D2BF0">
        <w:t>.º</w:t>
      </w:r>
      <w:r>
        <w:t xml:space="preserve"> 8.234</w:t>
      </w:r>
      <w:r w:rsidR="009D2BF0">
        <w:t>,</w:t>
      </w:r>
      <w:r>
        <w:t xml:space="preserve"> de 10 de janeiro de 2020, efetuou mudanças significativas em função da EC 108/2020</w:t>
      </w:r>
      <w:r w:rsidR="009D2BF0">
        <w:t>,</w:t>
      </w:r>
      <w:r>
        <w:t xml:space="preserve"> removeu critérios, inseriu novos termos relacionados à qualidade educacional e </w:t>
      </w:r>
      <w:r w:rsidR="009D2BF0">
        <w:t>à</w:t>
      </w:r>
      <w:r>
        <w:t xml:space="preserve"> conservação ambiental e restabeleceu parcelas de contribuição. Esses foram aprovados pelo Projeto de Lei n</w:t>
      </w:r>
      <w:r w:rsidR="009D2BF0">
        <w:t>.º</w:t>
      </w:r>
      <w:r>
        <w:t xml:space="preserve"> 530/2017</w:t>
      </w:r>
      <w:r w:rsidR="009D2BF0">
        <w:t>.</w:t>
      </w:r>
      <w:r>
        <w:t xml:space="preserve"> Com a intenção de incentivar o desenvolvimento nas respectivas áreas, as normas foram distribuíd</w:t>
      </w:r>
      <w:r w:rsidR="009D2BF0">
        <w:t>a</w:t>
      </w:r>
      <w:r>
        <w:t>s da seguinte forma: Valor Adicionado (75%); Área Territorial (5%); Índice Populacional (2%); Fator igualitário (10%); ICMS Verde (3%) e Índice Municipal de Qualidade Educacional de Alagoas – IQEAL (5%).</w:t>
      </w:r>
    </w:p>
    <w:p w14:paraId="035BDB77" w14:textId="1B69B0C9" w:rsidR="00FF535C" w:rsidRDefault="00607429" w:rsidP="009D2BF0">
      <w:pPr>
        <w:ind w:firstLine="700"/>
      </w:pPr>
      <w:r>
        <w:t>Ademais, a última modificação foi realizada através da Lei n</w:t>
      </w:r>
      <w:r w:rsidR="009D2BF0">
        <w:t>.º</w:t>
      </w:r>
      <w:r>
        <w:t xml:space="preserve"> 8.744 de 25 de agosto de 2022, que para cumprir completamente com a EC 108/2020, foi subtraído 10% do Valor </w:t>
      </w:r>
      <w:r>
        <w:lastRenderedPageBreak/>
        <w:t xml:space="preserve">Adicionado e acrescido no IQEAL. Atualmente os critérios encontram-se deste modo: Valor Adicionado (65%); Área Territorial (5%); Índice Populacional (2%); Fator igualitário (10%); ICMS Verde (3%); IQEAL (15%). </w:t>
      </w:r>
      <w:r>
        <w:tab/>
      </w:r>
    </w:p>
    <w:p w14:paraId="75FF0858" w14:textId="77777777" w:rsidR="00FF535C" w:rsidRDefault="00FF535C"/>
    <w:p w14:paraId="53F006F0" w14:textId="77777777" w:rsidR="00FF535C" w:rsidRDefault="00607429">
      <w:r>
        <w:rPr>
          <w:b/>
        </w:rPr>
        <w:t>Fórmula de composição do IQEAL</w:t>
      </w:r>
    </w:p>
    <w:p w14:paraId="3A46FF7A" w14:textId="378D1C6B" w:rsidR="00FF535C" w:rsidRDefault="00607429" w:rsidP="009D2BF0">
      <w:pPr>
        <w:ind w:firstLine="720"/>
      </w:pPr>
      <w:r>
        <w:t>O IQEAL surge como critério de repartição com a projeção de 5% em decorrência da Lei Estadual de n</w:t>
      </w:r>
      <w:r w:rsidR="009D2BF0">
        <w:t>.º</w:t>
      </w:r>
      <w:r>
        <w:t xml:space="preserve"> 8.234 de 10 de janeiro de 2020, que acresce ao Art. 1º da lei n</w:t>
      </w:r>
      <w:r w:rsidR="009D2BF0">
        <w:t>.º</w:t>
      </w:r>
      <w:r>
        <w:t xml:space="preserve"> 5.981, de 19 de dezembro de 1997</w:t>
      </w:r>
      <w:r w:rsidR="009D2BF0">
        <w:t>,</w:t>
      </w:r>
      <w:r>
        <w:t xml:space="preserve"> os parágrafo</w:t>
      </w:r>
      <w:r w:rsidR="009D2BF0">
        <w:t>s</w:t>
      </w:r>
      <w:r>
        <w:t xml:space="preserve"> 10 e 11 que afirmam o seguinte:</w:t>
      </w:r>
    </w:p>
    <w:p w14:paraId="50C3C070" w14:textId="77777777" w:rsidR="00FF535C" w:rsidRDefault="00607429">
      <w:pPr>
        <w:spacing w:line="276" w:lineRule="auto"/>
        <w:ind w:left="2260"/>
        <w:rPr>
          <w:sz w:val="20"/>
          <w:szCs w:val="20"/>
        </w:rPr>
      </w:pPr>
      <w:r>
        <w:rPr>
          <w:sz w:val="20"/>
          <w:szCs w:val="20"/>
        </w:rPr>
        <w:t xml:space="preserve">§ 10. Será considerado para composição de IQEAL o Índice de Desenvolvimento da Educação Básica –IDEB dos anos iniciais do ensino fundamental de cada município e a variação no últimos 2 (dois) anos do indicador do IDEB publicados até o último dia do ano base de apuração. </w:t>
      </w:r>
    </w:p>
    <w:p w14:paraId="00BA6FB8" w14:textId="77777777" w:rsidR="00FF535C" w:rsidRDefault="00607429">
      <w:pPr>
        <w:spacing w:line="276" w:lineRule="auto"/>
        <w:ind w:left="2260"/>
      </w:pPr>
      <w:r>
        <w:rPr>
          <w:sz w:val="20"/>
          <w:szCs w:val="20"/>
        </w:rPr>
        <w:t>§ 11. Nos casos em que o IDEB do município não seja divulgado, será realizado para composição do índice a repetição do último valor publicado. (Alagoas, 2020).</w:t>
      </w:r>
    </w:p>
    <w:p w14:paraId="0B5C8FF5" w14:textId="77777777" w:rsidR="00FF535C" w:rsidRDefault="00607429" w:rsidP="009D2BF0">
      <w:pPr>
        <w:ind w:firstLine="720"/>
      </w:pPr>
      <w:r>
        <w:t>Percebe-se que a métrica de apuração do IQEAL era exclusivamente voltada ao Índice de Desenvolvimento da Educação Básica – IDEB.</w:t>
      </w:r>
    </w:p>
    <w:p w14:paraId="790B60A0" w14:textId="7BB3309A" w:rsidR="00FF535C" w:rsidRPr="00B20540" w:rsidRDefault="00607429" w:rsidP="00B20540">
      <w:pPr>
        <w:ind w:firstLine="720"/>
        <w:contextualSpacing/>
        <w:rPr>
          <w:rFonts w:eastAsiaTheme="minorEastAsia"/>
        </w:rPr>
      </w:pPr>
      <w:r>
        <w:t>No ano de 2022, a partir do Decreto n</w:t>
      </w:r>
      <w:r w:rsidR="009D2BF0">
        <w:t>.º</w:t>
      </w:r>
      <w:r>
        <w:t xml:space="preserve"> 85.568 de 16 de novembro, considerando o que determina a Emenda Constitucional n</w:t>
      </w:r>
      <w:r w:rsidR="009D2BF0">
        <w:t>.</w:t>
      </w:r>
      <w:r>
        <w:t>º 108/2020, “cidades terão direito a 15% diante da relação percentual entre o IQEAL do município e dos somatórios dos índ</w:t>
      </w:r>
      <w:r w:rsidR="00B20540">
        <w:t>ices do Estado”</w:t>
      </w:r>
      <w:r w:rsidR="00B20540" w:rsidRPr="00B20540">
        <w:t xml:space="preserve"> </w:t>
      </w:r>
      <w:r w:rsidR="00B20540">
        <w:t xml:space="preserve">(ALAGOAS, 2022). Em consequência, o IQEAL seria dividido em 5%, também chamado de </w:t>
      </w:r>
      <m:oMath>
        <m:sSub>
          <m:sSubPr>
            <m:ctrlPr>
              <w:rPr>
                <w:rFonts w:ascii="Cambria Math" w:hAnsi="Cambria Math"/>
                <w:i/>
              </w:rPr>
            </m:ctrlPr>
          </m:sSubPr>
          <m:e>
            <m:r>
              <w:rPr>
                <w:rFonts w:ascii="Cambria Math" w:hAnsi="Cambria Math"/>
              </w:rPr>
              <m:t>IQEAL</m:t>
            </m:r>
          </m:e>
          <m:sub>
            <m:r>
              <w:rPr>
                <w:rFonts w:ascii="Cambria Math" w:hAnsi="Cambria Math"/>
              </w:rPr>
              <m:t>IDEB</m:t>
            </m:r>
          </m:sub>
        </m:sSub>
      </m:oMath>
      <w:r w:rsidR="00B20540">
        <w:rPr>
          <w:rFonts w:eastAsiaTheme="minorEastAsia"/>
        </w:rPr>
        <w:t>,</w:t>
      </w:r>
      <w:r w:rsidR="0044036F">
        <w:rPr>
          <w:rFonts w:eastAsiaTheme="minorEastAsia"/>
        </w:rPr>
        <w:t xml:space="preserve"> e 10%</w:t>
      </w:r>
      <w:r w:rsidR="00B20540">
        <w:rPr>
          <w:rFonts w:eastAsiaTheme="minorEastAsia"/>
        </w:rPr>
        <w:t xml:space="preserve"> que foi denominado </w:t>
      </w:r>
      <m:oMath>
        <m:sSub>
          <m:sSubPr>
            <m:ctrlPr>
              <w:rPr>
                <w:rFonts w:ascii="Cambria Math" w:eastAsiaTheme="minorEastAsia" w:hAnsi="Cambria Math"/>
                <w:i/>
              </w:rPr>
            </m:ctrlPr>
          </m:sSubPr>
          <m:e>
            <m:r>
              <w:rPr>
                <w:rFonts w:ascii="Cambria Math" w:eastAsiaTheme="minorEastAsia" w:hAnsi="Cambria Math"/>
              </w:rPr>
              <m:t>IQEAL</m:t>
            </m:r>
          </m:e>
          <m:sub>
            <m:r>
              <w:rPr>
                <w:rFonts w:ascii="Cambria Math" w:eastAsiaTheme="minorEastAsia" w:hAnsi="Cambria Math"/>
              </w:rPr>
              <m:t>Rede Municipal</m:t>
            </m:r>
          </m:sub>
        </m:sSub>
      </m:oMath>
      <w:r w:rsidR="0044036F">
        <w:rPr>
          <w:rFonts w:eastAsiaTheme="minorEastAsia"/>
        </w:rPr>
        <w:t>.</w:t>
      </w:r>
    </w:p>
    <w:p w14:paraId="4486CF6D" w14:textId="74BDD678" w:rsidR="00FF535C" w:rsidRPr="0044036F" w:rsidRDefault="00607429" w:rsidP="0044036F">
      <w:pPr>
        <w:contextualSpacing/>
        <w:rPr>
          <w:rFonts w:eastAsiaTheme="minorEastAsia"/>
        </w:rPr>
      </w:pPr>
      <w:r>
        <w:t>A partir disso, pode-se analisar a Instrução Normativa n</w:t>
      </w:r>
      <w:r w:rsidR="009D2BF0">
        <w:t>.</w:t>
      </w:r>
      <w:r>
        <w:t xml:space="preserve">º 10/2022 que destrincha a fórmula do Índice Educacional Alagoano do respectivo ano. </w:t>
      </w:r>
      <w:r w:rsidR="0044036F">
        <w:t xml:space="preserve">O </w:t>
      </w:r>
      <m:oMath>
        <m:sSub>
          <m:sSubPr>
            <m:ctrlPr>
              <w:rPr>
                <w:rFonts w:ascii="Cambria Math" w:hAnsi="Cambria Math"/>
                <w:i/>
              </w:rPr>
            </m:ctrlPr>
          </m:sSubPr>
          <m:e>
            <m:r>
              <w:rPr>
                <w:rFonts w:ascii="Cambria Math" w:hAnsi="Cambria Math"/>
              </w:rPr>
              <m:t>IQEAL</m:t>
            </m:r>
          </m:e>
          <m:sub>
            <m:r>
              <w:rPr>
                <w:rFonts w:ascii="Cambria Math" w:hAnsi="Cambria Math"/>
              </w:rPr>
              <m:t>IDEB</m:t>
            </m:r>
          </m:sub>
        </m:sSub>
      </m:oMath>
      <w:r w:rsidR="0044036F">
        <w:t xml:space="preserve"> </w:t>
      </w:r>
      <w:r>
        <w:t>dividido da seguinte forma: 30% seria referente a relação percentual da diferença positiva entre a última nota do IDEB municipal e d</w:t>
      </w:r>
      <w:r w:rsidR="0090383F">
        <w:t>a</w:t>
      </w:r>
      <w:r>
        <w:t xml:space="preserve"> anterior sobre o somatório de </w:t>
      </w:r>
      <w:r w:rsidR="0044036F">
        <w:t xml:space="preserve">todos </w:t>
      </w:r>
      <w:r w:rsidR="0044036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∆IDEB</m:t>
            </m:r>
          </m:e>
          <m:sub>
            <m:r>
              <w:rPr>
                <w:rFonts w:ascii="Cambria Math" w:eastAsiaTheme="minorEastAsia" w:hAnsi="Cambria Math"/>
              </w:rPr>
              <m:t>i</m:t>
            </m:r>
          </m:sub>
        </m:sSub>
      </m:oMath>
      <w:r w:rsidR="0044036F">
        <w:t xml:space="preserve"> do Estado</w:t>
      </w:r>
      <w:r>
        <w:t xml:space="preserve"> e 70% referente a</w:t>
      </w:r>
      <w:r w:rsidR="0090383F">
        <w:t>o</w:t>
      </w:r>
      <w:r>
        <w:t xml:space="preserve"> </w:t>
      </w:r>
      <w:r w:rsidR="0090383F">
        <w:t>ú</w:t>
      </w:r>
      <w:r>
        <w:t xml:space="preserve">ltimo IDEB municipal publicado sobre o somatório </w:t>
      </w:r>
      <w:r w:rsidR="0044036F">
        <w:t xml:space="preserve">de </w:t>
      </w:r>
      <w:r>
        <w:t xml:space="preserve">todos </w:t>
      </w:r>
      <w:proofErr w:type="spellStart"/>
      <w:r>
        <w:t>IDEBs</w:t>
      </w:r>
      <w:proofErr w:type="spellEnd"/>
      <w:r>
        <w:t xml:space="preserve"> do Estado. Por outro lado, os 10% restantes são divididos em: </w:t>
      </w:r>
      <w:r w:rsidR="0044036F">
        <w:rPr>
          <w:rFonts w:eastAsiaTheme="minorEastAsia"/>
        </w:rPr>
        <w:t xml:space="preserve">80% ao </w:t>
      </w:r>
      <m:oMath>
        <m:sSub>
          <m:sSubPr>
            <m:ctrlPr>
              <w:rPr>
                <w:rFonts w:ascii="Cambria Math" w:eastAsiaTheme="minorEastAsia" w:hAnsi="Cambria Math"/>
                <w:i/>
              </w:rPr>
            </m:ctrlPr>
          </m:sSubPr>
          <m:e>
            <m:r>
              <w:rPr>
                <w:rFonts w:ascii="Cambria Math" w:eastAsiaTheme="minorEastAsia" w:hAnsi="Cambria Math"/>
              </w:rPr>
              <m:t>IQEAL</m:t>
            </m:r>
          </m:e>
          <m:sub>
            <m:r>
              <w:rPr>
                <w:rFonts w:ascii="Cambria Math" w:eastAsiaTheme="minorEastAsia" w:hAnsi="Cambria Math"/>
              </w:rPr>
              <m:t>Escola</m:t>
            </m:r>
          </m:sub>
        </m:sSub>
      </m:oMath>
      <w:r w:rsidR="0044036F">
        <w:rPr>
          <w:rFonts w:eastAsiaTheme="minorEastAsia"/>
        </w:rPr>
        <w:t xml:space="preserve"> que inclui os indicadores a perspectiva das escolas, e 20% referente ao </w:t>
      </w:r>
      <m:oMath>
        <m:sSub>
          <m:sSubPr>
            <m:ctrlPr>
              <w:rPr>
                <w:rFonts w:ascii="Cambria Math" w:eastAsiaTheme="minorEastAsia" w:hAnsi="Cambria Math"/>
                <w:i/>
              </w:rPr>
            </m:ctrlPr>
          </m:sSubPr>
          <m:e>
            <m:r>
              <w:rPr>
                <w:rFonts w:ascii="Cambria Math" w:eastAsiaTheme="minorEastAsia" w:hAnsi="Cambria Math"/>
              </w:rPr>
              <m:t>IQEAL</m:t>
            </m:r>
          </m:e>
          <m:sub>
            <m:r>
              <w:rPr>
                <w:rFonts w:ascii="Cambria Math" w:eastAsiaTheme="minorEastAsia" w:hAnsi="Cambria Math"/>
              </w:rPr>
              <m:t>Município</m:t>
            </m:r>
          </m:sub>
        </m:sSub>
      </m:oMath>
      <w:r w:rsidR="0044036F">
        <w:rPr>
          <w:rFonts w:eastAsiaTheme="minorEastAsia"/>
        </w:rPr>
        <w:t xml:space="preserve"> que traz parâmetros sobre ótica municipais. Essa trouxe mudança significativas, </w:t>
      </w:r>
      <w:r w:rsidR="000353A4">
        <w:rPr>
          <w:rFonts w:eastAsiaTheme="minorEastAsia"/>
        </w:rPr>
        <w:t>porém</w:t>
      </w:r>
      <w:r w:rsidR="0044036F">
        <w:rPr>
          <w:rFonts w:eastAsiaTheme="minorEastAsia"/>
        </w:rPr>
        <w:t xml:space="preserve"> mantendo um foco no IDEB.</w:t>
      </w:r>
    </w:p>
    <w:p w14:paraId="02D05D0C" w14:textId="5EEF0804" w:rsidR="00FF535C" w:rsidRDefault="00607429" w:rsidP="0090383F">
      <w:pPr>
        <w:ind w:firstLine="720"/>
      </w:pPr>
      <w:r>
        <w:t>Posteriormente, a Instrução Normativa n</w:t>
      </w:r>
      <w:r w:rsidR="0090383F">
        <w:t>.º</w:t>
      </w:r>
      <w:r>
        <w:t xml:space="preserve"> 03/2023, que respeita o Decreto Estadual n</w:t>
      </w:r>
      <w:r w:rsidR="0090383F">
        <w:t>.</w:t>
      </w:r>
      <w:r>
        <w:t xml:space="preserve">º 91.401 de 31 de maio de 2023, traz uma nova metodologia de cálculo do Índice de Qualidade Educacional de Alagoas. O IQEAL 15% foi dividido, com enfoque municipal, da seguinte forma: nos Índices de Qualidade da alfabetização (40%); no quinto ano do Ensino Fundamental (20%); e de acesso a permanência (15%); no tamanho da rede municipal </w:t>
      </w:r>
      <w:r>
        <w:lastRenderedPageBreak/>
        <w:t>(15%); o fator de aprendizagem considerando o fator socioeconômico (5%) e o índice de aprovação dos alunos do Ensino Fundamental I (5%). A partir desse momento, os pesos foram distribuídos de forma mais complexa e de maneira mais assertiva em indicadores de fragilidade do Estado Alagoano.</w:t>
      </w:r>
    </w:p>
    <w:p w14:paraId="0E8E3DAD" w14:textId="6A400B4B" w:rsidR="00FF535C" w:rsidRDefault="00607429" w:rsidP="0090383F">
      <w:pPr>
        <w:ind w:firstLine="720"/>
      </w:pPr>
      <w:r>
        <w:t>Subsequentemente, é publicado pela SEPLAG a Instrução Normativa n</w:t>
      </w:r>
      <w:r w:rsidR="0090383F">
        <w:t>.</w:t>
      </w:r>
      <w:r>
        <w:t>º 01/2024 uma nova abordagem de cálculo similar a anterior, porém com modificações importantes. A metodologia encontra-se da seguinte forma: Relacionados aos Índices de Qualidade como o da alfabetização (40%); Anos Iniciais e Finais do Ensino Fundamental (20%); e de Acesso e Permanência (15%); Índice de Gestão (15%); fator de aprendizagem considerando o fato socioeconômico (5%) e o índice de aprovação dos alunos do 1º e 9º ano do Ensino Fundamental (5%). Esse cálculo ficou mais complexo envolvendo fatores socioeconômicos, equidade, infraestrutura escolar, nível de escolaridade profissional, e resultado de outras avaliações em larga escala além do IDEB. Essa metodologia se estenderá até 2026.</w:t>
      </w:r>
    </w:p>
    <w:p w14:paraId="01E0BEB1" w14:textId="77777777" w:rsidR="00FF535C" w:rsidRDefault="00FF535C">
      <w:pPr>
        <w:rPr>
          <w:b/>
        </w:rPr>
      </w:pPr>
    </w:p>
    <w:p w14:paraId="26003031" w14:textId="77777777" w:rsidR="00FF535C" w:rsidRDefault="00607429">
      <w:pPr>
        <w:pBdr>
          <w:top w:val="nil"/>
          <w:left w:val="nil"/>
          <w:bottom w:val="nil"/>
          <w:right w:val="nil"/>
          <w:between w:val="nil"/>
        </w:pBdr>
        <w:rPr>
          <w:color w:val="000000"/>
        </w:rPr>
      </w:pPr>
      <w:r>
        <w:rPr>
          <w:b/>
          <w:color w:val="000000"/>
        </w:rPr>
        <w:t>PROCEDIMENTOS ÉTICOS E METODOLÓGICOS</w:t>
      </w:r>
    </w:p>
    <w:p w14:paraId="3A5F98DE" w14:textId="729EB943" w:rsidR="00FF535C" w:rsidRDefault="00607429">
      <w:pPr>
        <w:pBdr>
          <w:top w:val="nil"/>
          <w:left w:val="nil"/>
          <w:bottom w:val="nil"/>
          <w:right w:val="nil"/>
          <w:between w:val="nil"/>
        </w:pBdr>
        <w:ind w:firstLine="720"/>
      </w:pPr>
      <w:r>
        <w:t xml:space="preserve">A metodologia do trabalho tem uma abordagem qualitativa, com levantamento da legislação vigente, tanto através de leis, decretos e portarias disponíveis, visando compreender </w:t>
      </w:r>
      <w:r w:rsidR="0090383F">
        <w:t>o</w:t>
      </w:r>
      <w:r>
        <w:t xml:space="preserve"> IQEAL como instrumento de repartição e como são calculados os índices que o compõem.</w:t>
      </w:r>
    </w:p>
    <w:p w14:paraId="0078409D" w14:textId="77777777" w:rsidR="00FF535C" w:rsidRDefault="00FF535C">
      <w:pPr>
        <w:pBdr>
          <w:top w:val="nil"/>
          <w:left w:val="nil"/>
          <w:bottom w:val="nil"/>
          <w:right w:val="nil"/>
          <w:between w:val="nil"/>
        </w:pBdr>
        <w:ind w:firstLine="869"/>
        <w:rPr>
          <w:color w:val="000000"/>
        </w:rPr>
      </w:pPr>
    </w:p>
    <w:p w14:paraId="205370D9" w14:textId="77777777" w:rsidR="00FF535C" w:rsidRDefault="00607429">
      <w:pPr>
        <w:pBdr>
          <w:top w:val="nil"/>
          <w:left w:val="nil"/>
          <w:bottom w:val="nil"/>
          <w:right w:val="nil"/>
          <w:between w:val="nil"/>
        </w:pBdr>
        <w:rPr>
          <w:b/>
        </w:rPr>
      </w:pPr>
      <w:r>
        <w:rPr>
          <w:b/>
          <w:color w:val="000000"/>
        </w:rPr>
        <w:t>RESULTADOS</w:t>
      </w:r>
    </w:p>
    <w:p w14:paraId="3C1CF5F2" w14:textId="46834C20" w:rsidR="00FF535C" w:rsidRDefault="00607429" w:rsidP="0090383F">
      <w:pPr>
        <w:ind w:firstLine="720"/>
      </w:pPr>
      <w:r>
        <w:t>A partir de análises, identificou-se que entre as mudanças mais significativas a Lei n</w:t>
      </w:r>
      <w:r w:rsidR="0090383F">
        <w:t>.º</w:t>
      </w:r>
      <w:r>
        <w:t xml:space="preserve"> 8.744 de 25 de agosto de 2022, que cumpre completamente com a Emenda Constitucional n</w:t>
      </w:r>
      <w:r w:rsidR="0090383F">
        <w:t>.</w:t>
      </w:r>
      <w:r>
        <w:t>º 108/2020, traz em consequência uma perda expressiva de grande</w:t>
      </w:r>
      <w:r w:rsidR="0090383F">
        <w:t>s</w:t>
      </w:r>
      <w:r>
        <w:t xml:space="preserve"> municípios que recebiam maior participação da cota-parte em função do Índice de Valor Adicionado (I.V.A.), por outro lado cidades que tinham melhores indicadores educacionais aumentaram a soma do seu IPM.</w:t>
      </w:r>
    </w:p>
    <w:p w14:paraId="3E142456" w14:textId="1A49FD0F" w:rsidR="00FF535C" w:rsidRDefault="00607429" w:rsidP="0090383F">
      <w:pPr>
        <w:ind w:firstLine="700"/>
      </w:pPr>
      <w:r>
        <w:t>De acordo com as portarias da SEFAZ-AL de n</w:t>
      </w:r>
      <w:r w:rsidR="0090383F">
        <w:t>.</w:t>
      </w:r>
      <w:r>
        <w:t>º 2631/2020 e n</w:t>
      </w:r>
      <w:r w:rsidR="0090383F">
        <w:t>.</w:t>
      </w:r>
      <w:r>
        <w:t>º 1981/2022</w:t>
      </w:r>
      <w:r w:rsidR="0090383F">
        <w:t>,</w:t>
      </w:r>
      <w:r>
        <w:t xml:space="preserve"> pode-se comparar os indicadores e parcelas do ICMS destinadas a cada um dos municípios. A partir disso, percebe-se que em 2020 cidades de maior crescimento econômico como Maceió, Marechal Deodoro, Arapiraca e Pilar tinham os maiores I.V.A. e IQEAL (que até </w:t>
      </w:r>
      <w:r>
        <w:lastRenderedPageBreak/>
        <w:t>então era responsável com 5% do IPM) medianos; e em 2022</w:t>
      </w:r>
      <w:r w:rsidR="005D420F">
        <w:t>,</w:t>
      </w:r>
      <w:r>
        <w:t xml:space="preserve"> com a diminuição da porcentagem do I.V.A e acréscimo de 10% no IQEAL, essas cidades tiveram perdas exorbitantes em sua parcela do ICMS. Em contrapartida, Coruripe, Jequiá da Praia, Junquei</w:t>
      </w:r>
      <w:r w:rsidR="005D420F">
        <w:t>r</w:t>
      </w:r>
      <w:r>
        <w:t>o e Teotônio Vilela são município</w:t>
      </w:r>
      <w:r w:rsidR="005D420F">
        <w:t>s</w:t>
      </w:r>
      <w:r>
        <w:t xml:space="preserve"> com pouco desenvolvimento econômico, porém, os únicos com Índices educacionais acima da média (isso é, com IQEAL igual ou maior que 5) melhorando de maneira significativa seus indicadores finais</w:t>
      </w:r>
      <w:r w:rsidR="00C07A51">
        <w:t xml:space="preserve"> (somatório de todos os índices)</w:t>
      </w:r>
      <w:r>
        <w:t>.</w:t>
      </w:r>
    </w:p>
    <w:p w14:paraId="25C2CA1D" w14:textId="330BA4FB" w:rsidR="00FF535C" w:rsidRDefault="005D420F">
      <w:pPr>
        <w:ind w:firstLine="700"/>
      </w:pPr>
      <w:r>
        <w:t xml:space="preserve">Com essa mudança, </w:t>
      </w:r>
      <w:r w:rsidRPr="00DE1C00">
        <w:t xml:space="preserve">há indícios de que </w:t>
      </w:r>
      <w:r>
        <w:t xml:space="preserve">o estado consegue induzir os municípios a criarem projetos e políticas públicas voltadas à educação a fim de receber uma maior parcela da cota parte do ICMS. Com a última portaria publicada em 2024 apontam que 22 municípios obtiveram uma pontuação maior ou igual a 5 no IQEAL. A partir </w:t>
      </w:r>
      <w:r w:rsidR="00FE4637">
        <w:t>disso, nota-se que as cidades</w:t>
      </w:r>
      <w:r>
        <w:t xml:space="preserve"> tendem a aumentar o Índice Municipal de Qualidade da Educação de Alagoas – IQEAL a cada ano.</w:t>
      </w:r>
    </w:p>
    <w:p w14:paraId="229B5933" w14:textId="4F13278C" w:rsidR="00DE1C00" w:rsidRDefault="00DE1C00">
      <w:pPr>
        <w:ind w:firstLine="700"/>
      </w:pPr>
      <w:r>
        <w:t xml:space="preserve">Ademais, é possível observar </w:t>
      </w:r>
      <w:r w:rsidR="00FE4637">
        <w:t>uma queda nos indicadores finais d</w:t>
      </w:r>
      <w:r>
        <w:t xml:space="preserve">e municípios </w:t>
      </w:r>
      <w:r w:rsidR="00FE4637">
        <w:t xml:space="preserve">mais desenvolvidos, por exemplo, </w:t>
      </w:r>
      <w:r w:rsidR="00C07A51">
        <w:t>em 2020 Maceió tem o indicador final que corresponde a 24,728 e em 2024 foi equivalente a 16,2408. Entende-se que, possivelmente, quanto maior a quantidade</w:t>
      </w:r>
      <w:r w:rsidR="00670AB0">
        <w:t xml:space="preserve"> de cidades</w:t>
      </w:r>
      <w:r w:rsidR="00C07A51">
        <w:t xml:space="preserve"> </w:t>
      </w:r>
      <w:r w:rsidR="00670AB0">
        <w:t>que elevam seus indicadores finais através do aumento do IQEAL, maior será o déficit orçamentário de municípios maiores.</w:t>
      </w:r>
    </w:p>
    <w:p w14:paraId="283DBF88" w14:textId="77777777" w:rsidR="00FF535C" w:rsidRDefault="00FF535C">
      <w:pPr>
        <w:ind w:firstLine="700"/>
      </w:pPr>
    </w:p>
    <w:p w14:paraId="63E99627" w14:textId="77777777" w:rsidR="00FF535C" w:rsidRDefault="00607429">
      <w:pPr>
        <w:pBdr>
          <w:top w:val="nil"/>
          <w:left w:val="nil"/>
          <w:bottom w:val="nil"/>
          <w:right w:val="nil"/>
          <w:between w:val="nil"/>
        </w:pBdr>
        <w:rPr>
          <w:rFonts w:ascii="Times New Roman" w:eastAsia="Times New Roman" w:hAnsi="Times New Roman" w:cs="Times New Roman"/>
        </w:rPr>
      </w:pPr>
      <w:r>
        <w:rPr>
          <w:b/>
          <w:color w:val="000000"/>
        </w:rPr>
        <w:t>CONSIDERAÇÕES FINAIS </w:t>
      </w:r>
    </w:p>
    <w:p w14:paraId="0862A327" w14:textId="2F54B918" w:rsidR="00FF535C" w:rsidRDefault="00607429">
      <w:pPr>
        <w:ind w:firstLine="700"/>
      </w:pPr>
      <w:r>
        <w:t xml:space="preserve">A repartição da cota-parte do ICMS a partir do IQEAL representa uma mudança significativa na distribuição de recursos entre os municípios alagoanos. Ao inserir critérios educacionais no cálculo do IPM, reposiciona a educação básica como prioridade no desenvolvimento municipal. As alterações na metodologia do </w:t>
      </w:r>
      <w:r w:rsidR="005D420F">
        <w:t>IQEAL</w:t>
      </w:r>
      <w:r>
        <w:t>, ao longo dos anos, demonstram um esforço contínuo em aprimorar a avaliação da qualidade educacional</w:t>
      </w:r>
      <w:r w:rsidR="005D420F">
        <w:t xml:space="preserve">, </w:t>
      </w:r>
      <w:r w:rsidR="005D420F" w:rsidRPr="00DE1C00">
        <w:t>ainda que esse conceito seja controverso especialmente quando no contexto de avaliação para captação de recursos</w:t>
      </w:r>
      <w:r w:rsidR="005D420F">
        <w:t>.</w:t>
      </w:r>
    </w:p>
    <w:p w14:paraId="4B19B4EE" w14:textId="77777777" w:rsidR="00FF535C" w:rsidRDefault="00607429">
      <w:pPr>
        <w:ind w:firstLine="700"/>
      </w:pPr>
      <w:r>
        <w:t>Nesse contexto, o ICMS Educação torna-se um instrumento de incentivo, induzindo as gestões municipais a investirem em políticas públicas educacionais mais eficazes. No entanto, os efeitos dessa redistribuição precisam ser acompanhados, levando em consideração as desigualdades estruturais entre os municípios.</w:t>
      </w:r>
    </w:p>
    <w:p w14:paraId="343EFD48" w14:textId="1B562AD3" w:rsidR="00FF535C" w:rsidRDefault="00607429">
      <w:pPr>
        <w:ind w:firstLine="700"/>
      </w:pPr>
      <w:r>
        <w:t xml:space="preserve">Portanto, o sucesso desse modelo depende da justiça na fórmula de repartição e do apoio técnico oferecido pelo </w:t>
      </w:r>
      <w:r w:rsidR="005D420F">
        <w:t>e</w:t>
      </w:r>
      <w:r>
        <w:t>stado, garantindo que todos os municípios tenham condições de melhorar seus indicadores e assegurar o direito à educação de qualidade.</w:t>
      </w:r>
    </w:p>
    <w:p w14:paraId="6F877F6E" w14:textId="77777777" w:rsidR="00FF535C" w:rsidRDefault="00FF535C">
      <w:pPr>
        <w:pBdr>
          <w:top w:val="nil"/>
          <w:left w:val="nil"/>
          <w:bottom w:val="nil"/>
          <w:right w:val="nil"/>
          <w:between w:val="nil"/>
        </w:pBdr>
        <w:rPr>
          <w:b/>
        </w:rPr>
      </w:pPr>
    </w:p>
    <w:p w14:paraId="3C309BB8" w14:textId="77777777" w:rsidR="00FF535C" w:rsidRDefault="00607429">
      <w:pPr>
        <w:pBdr>
          <w:top w:val="nil"/>
          <w:left w:val="nil"/>
          <w:bottom w:val="nil"/>
          <w:right w:val="nil"/>
          <w:between w:val="nil"/>
        </w:pBdr>
        <w:rPr>
          <w:b/>
          <w:color w:val="000000"/>
        </w:rPr>
      </w:pPr>
      <w:r>
        <w:rPr>
          <w:b/>
          <w:color w:val="000000"/>
        </w:rPr>
        <w:t>REFERÊNCIAS </w:t>
      </w:r>
    </w:p>
    <w:p w14:paraId="3F355FC0" w14:textId="53B5B060" w:rsidR="00FF535C" w:rsidRDefault="00607429" w:rsidP="0021664B">
      <w:pPr>
        <w:jc w:val="left"/>
      </w:pPr>
      <w:r>
        <w:rPr>
          <w:b/>
        </w:rPr>
        <w:t>ALAGOAS</w:t>
      </w:r>
      <w:r>
        <w:t xml:space="preserve">. Lei nº 8.744, de 25 de agosto de 2022. Altera a Lei Estadual nº 5.981, de 19 de dezembro de 1997, que consolida os critérios de apuração, define os prazos de entrega das parcelas do produto de arrecadação dos impostos que menciona e das transferências asseguradas aos municípios alagoanos, e dá outras providências. </w:t>
      </w:r>
      <w:r>
        <w:rPr>
          <w:i/>
        </w:rPr>
        <w:t>Diário Oficial do Estado de Alagoas</w:t>
      </w:r>
      <w:r>
        <w:t>, Maceió, 26 ago. 2022.</w:t>
      </w:r>
    </w:p>
    <w:p w14:paraId="7DA727FB" w14:textId="77777777" w:rsidR="00FF535C" w:rsidRDefault="00607429" w:rsidP="0021664B">
      <w:pPr>
        <w:jc w:val="left"/>
      </w:pPr>
      <w:r>
        <w:t xml:space="preserve"> </w:t>
      </w:r>
    </w:p>
    <w:p w14:paraId="280EF8B6" w14:textId="7C3C36E7" w:rsidR="00FF535C" w:rsidRDefault="00607429" w:rsidP="0021664B">
      <w:pPr>
        <w:jc w:val="left"/>
      </w:pPr>
      <w:r>
        <w:rPr>
          <w:b/>
        </w:rPr>
        <w:t>ALAGOAS</w:t>
      </w:r>
      <w:r>
        <w:t xml:space="preserve">. Secretaria de Estado da Fazenda. Portaria SEFAZ nº 1981, de 29 de dezembro de 2022. Publica os índices definitivos de participação dos municípios alagoanos no produto da arrecadação do ICMS, a vigorar no exercício de 2023. </w:t>
      </w:r>
      <w:r>
        <w:rPr>
          <w:i/>
        </w:rPr>
        <w:t>Diário Oficial do Estado de Alagoas</w:t>
      </w:r>
      <w:r>
        <w:t>, Maceió, 29 dez. 2022, p. 35 a 37.</w:t>
      </w:r>
    </w:p>
    <w:p w14:paraId="61682EE3" w14:textId="77777777" w:rsidR="00FF535C" w:rsidRDefault="00607429" w:rsidP="0021664B">
      <w:pPr>
        <w:jc w:val="left"/>
      </w:pPr>
      <w:r>
        <w:t xml:space="preserve"> </w:t>
      </w:r>
    </w:p>
    <w:p w14:paraId="2B7B5078" w14:textId="2D132891" w:rsidR="00FF535C" w:rsidRDefault="00607429" w:rsidP="0021664B">
      <w:pPr>
        <w:jc w:val="left"/>
      </w:pPr>
      <w:r>
        <w:rPr>
          <w:b/>
        </w:rPr>
        <w:t>ALAGOAS</w:t>
      </w:r>
      <w:r>
        <w:t xml:space="preserve">. Secretaria de Estado da Fazenda. Portaria SEFAZ nº 2631, de 31 de dezembro de 2020. Publica os índices definitivos de participação dos municípios alagoanos no produto da arrecadação do ICMS, a vigorar no exercício de 2021. </w:t>
      </w:r>
      <w:r>
        <w:rPr>
          <w:i/>
        </w:rPr>
        <w:t>Diário Oficial do Estado de Alagoas</w:t>
      </w:r>
      <w:r>
        <w:t>, Maceió, 30 dez. 2020, p. 31 a 34.</w:t>
      </w:r>
    </w:p>
    <w:p w14:paraId="34CAD2DA" w14:textId="77777777" w:rsidR="00FF535C" w:rsidRDefault="00607429" w:rsidP="0021664B">
      <w:pPr>
        <w:jc w:val="left"/>
      </w:pPr>
      <w:r>
        <w:t xml:space="preserve"> </w:t>
      </w:r>
    </w:p>
    <w:p w14:paraId="6407C511" w14:textId="530804D6" w:rsidR="00FF535C" w:rsidRDefault="00607429" w:rsidP="0021664B">
      <w:pPr>
        <w:jc w:val="left"/>
      </w:pPr>
      <w:r>
        <w:rPr>
          <w:b/>
        </w:rPr>
        <w:t>BRASIL</w:t>
      </w:r>
      <w:r>
        <w:t xml:space="preserve">. Emenda Constitucional nº 108, de 26 de agosto de 2020. Altera a Constituição Federal para estabelecer critérios de distribuição da cota municipal do ICMS, disciplina a disponibilização de dados contábeis pelos entes federados, trata do planejamento na ordem social e dispõe sobre o Fundeb; altera o ADCT e dá outras providências. </w:t>
      </w:r>
      <w:r>
        <w:rPr>
          <w:i/>
        </w:rPr>
        <w:t>Diário Oficial da União</w:t>
      </w:r>
      <w:r>
        <w:t>, Seção 1, p. 5, 27 ago. 2020.</w:t>
      </w:r>
    </w:p>
    <w:p w14:paraId="19200F25" w14:textId="77777777" w:rsidR="00FF535C" w:rsidRDefault="00607429" w:rsidP="0021664B">
      <w:pPr>
        <w:jc w:val="left"/>
      </w:pPr>
      <w:r>
        <w:t xml:space="preserve"> </w:t>
      </w:r>
    </w:p>
    <w:p w14:paraId="00F9257A" w14:textId="634915F2" w:rsidR="00FF535C" w:rsidRPr="00691D4C" w:rsidRDefault="00607429" w:rsidP="00691D4C">
      <w:pPr>
        <w:jc w:val="left"/>
      </w:pPr>
      <w:r>
        <w:rPr>
          <w:b/>
        </w:rPr>
        <w:t>SILVA, Wellyngton Chaves Monteiro da; SANTOS, Karla de Oliveira</w:t>
      </w:r>
      <w:r>
        <w:t xml:space="preserve">. A distribuição de recursos do ICMS municipal em Alagoas por critérios educacionais: indicadores de qualidade na educação. </w:t>
      </w:r>
      <w:r>
        <w:rPr>
          <w:i/>
        </w:rPr>
        <w:t>FINEDUCA – Revista de Financiamento da Educação</w:t>
      </w:r>
      <w:r>
        <w:t xml:space="preserve">, Porto Alegre, v. 14, n. 14, 2024. </w:t>
      </w:r>
      <w:r w:rsidR="00E2256E">
        <w:t>DOI</w:t>
      </w:r>
      <w:r>
        <w:t>:</w:t>
      </w:r>
      <w:r w:rsidR="001073D6">
        <w:t xml:space="preserve"> </w:t>
      </w:r>
      <w:hyperlink r:id="rId6">
        <w:r>
          <w:rPr>
            <w:color w:val="1155CC"/>
          </w:rPr>
          <w:t>https://doi.org/10.22491/2236-5907136708</w:t>
        </w:r>
      </w:hyperlink>
      <w:r>
        <w:t>.</w:t>
      </w:r>
      <w:r>
        <w:rPr>
          <w:color w:val="1155CC"/>
          <w:u w:val="single"/>
        </w:rPr>
        <w:t xml:space="preserve"> </w:t>
      </w:r>
      <w:r>
        <w:t xml:space="preserve">Acesso em: 13 </w:t>
      </w:r>
      <w:r w:rsidR="00692C05">
        <w:t>jul</w:t>
      </w:r>
      <w:r>
        <w:t>. 202</w:t>
      </w:r>
      <w:r w:rsidR="00692C05">
        <w:t>5</w:t>
      </w:r>
      <w:r>
        <w:t>.</w:t>
      </w:r>
    </w:p>
    <w:sectPr w:rsidR="00FF535C" w:rsidRPr="00691D4C">
      <w:headerReference w:type="default" r:id="rId7"/>
      <w:footerReference w:type="default" r:id="rId8"/>
      <w:pgSz w:w="11906" w:h="16838"/>
      <w:pgMar w:top="1701" w:right="1134" w:bottom="170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ABB8" w14:textId="77777777" w:rsidR="00607429" w:rsidRDefault="00607429">
      <w:pPr>
        <w:spacing w:line="240" w:lineRule="auto"/>
      </w:pPr>
      <w:r>
        <w:separator/>
      </w:r>
    </w:p>
  </w:endnote>
  <w:endnote w:type="continuationSeparator" w:id="0">
    <w:p w14:paraId="4EEF7061" w14:textId="77777777" w:rsidR="00607429" w:rsidRDefault="006074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55E2" w14:textId="77777777" w:rsidR="00FF535C" w:rsidRDefault="00607429">
    <w:pPr>
      <w:pBdr>
        <w:top w:val="nil"/>
        <w:left w:val="nil"/>
        <w:bottom w:val="nil"/>
        <w:right w:val="nil"/>
        <w:between w:val="nil"/>
      </w:pBdr>
      <w:tabs>
        <w:tab w:val="center" w:pos="4252"/>
        <w:tab w:val="right" w:pos="8504"/>
      </w:tabs>
      <w:spacing w:line="240" w:lineRule="auto"/>
      <w:rPr>
        <w:color w:val="000000"/>
      </w:rPr>
    </w:pPr>
    <w:r>
      <w:rPr>
        <w:noProof/>
      </w:rPr>
      <w:drawing>
        <wp:anchor distT="0" distB="0" distL="0" distR="0" simplePos="0" relativeHeight="251659264" behindDoc="1" locked="0" layoutInCell="1" hidden="0" allowOverlap="1" wp14:anchorId="55890D46" wp14:editId="05CF08C8">
          <wp:simplePos x="0" y="0"/>
          <wp:positionH relativeFrom="column">
            <wp:posOffset>-729614</wp:posOffset>
          </wp:positionH>
          <wp:positionV relativeFrom="paragraph">
            <wp:posOffset>-103504</wp:posOffset>
          </wp:positionV>
          <wp:extent cx="7583344" cy="720725"/>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3344" cy="720725"/>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729085AB" wp14:editId="2D64E6FC">
              <wp:simplePos x="0" y="0"/>
              <wp:positionH relativeFrom="column">
                <wp:posOffset>6108700</wp:posOffset>
              </wp:positionH>
              <wp:positionV relativeFrom="paragraph">
                <wp:posOffset>0</wp:posOffset>
              </wp:positionV>
              <wp:extent cx="426453" cy="192405"/>
              <wp:effectExtent l="0" t="0" r="0" b="0"/>
              <wp:wrapNone/>
              <wp:docPr id="1" name="Retângulo 1"/>
              <wp:cNvGraphicFramePr/>
              <a:graphic xmlns:a="http://schemas.openxmlformats.org/drawingml/2006/main">
                <a:graphicData uri="http://schemas.microsoft.com/office/word/2010/wordprocessingShape">
                  <wps:wsp>
                    <wps:cNvSpPr/>
                    <wps:spPr>
                      <a:xfrm>
                        <a:off x="5137536" y="3688560"/>
                        <a:ext cx="416928" cy="182880"/>
                      </a:xfrm>
                      <a:prstGeom prst="rect">
                        <a:avLst/>
                      </a:prstGeom>
                      <a:noFill/>
                      <a:ln>
                        <a:noFill/>
                      </a:ln>
                    </wps:spPr>
                    <wps:txbx>
                      <w:txbxContent>
                        <w:p w14:paraId="1217B6F2" w14:textId="77777777" w:rsidR="00FF535C" w:rsidRDefault="00607429">
                          <w:pPr>
                            <w:jc w:val="center"/>
                            <w:textDirection w:val="btLr"/>
                          </w:pPr>
                          <w:r>
                            <w:rPr>
                              <w:color w:val="000000"/>
                            </w:rPr>
                            <w:t>PAGE    \* MERGEFORMAT</w:t>
                          </w:r>
                          <w:r>
                            <w:rPr>
                              <w:color w:val="8C8C8C"/>
                            </w:rPr>
                            <w:t>2</w:t>
                          </w:r>
                        </w:p>
                      </w:txbxContent>
                    </wps:txbx>
                    <wps:bodyPr spcFirstLastPara="1" wrap="square" lIns="0" tIns="0" rIns="0" bIns="0" anchor="t" anchorCtr="0">
                      <a:noAutofit/>
                    </wps:bodyPr>
                  </wps:wsp>
                </a:graphicData>
              </a:graphic>
            </wp:anchor>
          </w:drawing>
        </mc:Choice>
        <mc:Fallback>
          <w:pict>
            <v:rect w14:anchorId="729085AB" id="Retângulo 1" o:spid="_x0000_s1026" style="position:absolute;left:0;text-align:left;margin-left:481pt;margin-top:0;width:33.6pt;height:15.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" filled="f" stroked="f">
              <v:textbox inset="0,0,0,0">
                <w:txbxContent>
                  <w:p w14:paraId="1217B6F2" w14:textId="77777777" w:rsidR="00FF535C" w:rsidRDefault="00607429">
                    <w:pPr>
                      <w:jc w:val="center"/>
                      <w:textDirection w:val="btLr"/>
                    </w:pPr>
                    <w:r>
                      <w:rPr>
                        <w:color w:val="000000"/>
                      </w:rPr>
                      <w:t>PAGE    \* MERGEFORMAT</w:t>
                    </w:r>
                    <w:r>
                      <w:rPr>
                        <w:color w:val="8C8C8C"/>
                      </w:rPr>
                      <w:t>2</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12FE20C0" wp14:editId="3A3B1900">
              <wp:simplePos x="0" y="0"/>
              <wp:positionH relativeFrom="column">
                <wp:posOffset>330200</wp:posOffset>
              </wp:positionH>
              <wp:positionV relativeFrom="paragraph">
                <wp:posOffset>38100</wp:posOffset>
              </wp:positionV>
              <wp:extent cx="4073525" cy="333375"/>
              <wp:effectExtent l="0" t="0" r="0" b="0"/>
              <wp:wrapNone/>
              <wp:docPr id="2" name="Retângulo 2"/>
              <wp:cNvGraphicFramePr/>
              <a:graphic xmlns:a="http://schemas.openxmlformats.org/drawingml/2006/main">
                <a:graphicData uri="http://schemas.microsoft.com/office/word/2010/wordprocessingShape">
                  <wps:wsp>
                    <wps:cNvSpPr/>
                    <wps:spPr>
                      <a:xfrm>
                        <a:off x="3314000" y="3618075"/>
                        <a:ext cx="4064000" cy="323850"/>
                      </a:xfrm>
                      <a:prstGeom prst="rect">
                        <a:avLst/>
                      </a:prstGeom>
                      <a:noFill/>
                      <a:ln>
                        <a:noFill/>
                      </a:ln>
                    </wps:spPr>
                    <wps:txbx>
                      <w:txbxContent>
                        <w:p w14:paraId="41FB5E72" w14:textId="77777777" w:rsidR="00FF535C" w:rsidRDefault="00607429">
                          <w:pPr>
                            <w:textDirection w:val="btLr"/>
                          </w:pPr>
                          <w:r>
                            <w:rPr>
                              <w:color w:val="000000"/>
                              <w:sz w:val="22"/>
                            </w:rPr>
                            <w:t>XI Encontro de Pesquisa em Educação em Alagoas (</w:t>
                          </w:r>
                          <w:proofErr w:type="spellStart"/>
                          <w:r>
                            <w:rPr>
                              <w:color w:val="000000"/>
                              <w:sz w:val="22"/>
                            </w:rPr>
                            <w:t>Epeal</w:t>
                          </w:r>
                          <w:proofErr w:type="spellEnd"/>
                          <w:r>
                            <w:rPr>
                              <w:color w:val="000000"/>
                              <w:sz w:val="22"/>
                            </w:rPr>
                            <w:t>)</w:t>
                          </w:r>
                        </w:p>
                      </w:txbxContent>
                    </wps:txbx>
                    <wps:bodyPr spcFirstLastPara="1" wrap="square" lIns="91425" tIns="45700" rIns="91425" bIns="45700" anchor="t" anchorCtr="0">
                      <a:noAutofit/>
                    </wps:bodyPr>
                  </wps:wsp>
                </a:graphicData>
              </a:graphic>
            </wp:anchor>
          </w:drawing>
        </mc:Choice>
        <mc:Fallback>
          <w:pict>
            <v:rect w14:anchorId="12FE20C0" id="Retângulo 2" o:spid="_x0000_s1027" style="position:absolute;left:0;text-align:left;margin-left:26pt;margin-top:3pt;width:320.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" filled="f" stroked="f">
              <v:textbox inset="2.53958mm,1.2694mm,2.53958mm,1.2694mm">
                <w:txbxContent>
                  <w:p w14:paraId="41FB5E72" w14:textId="77777777" w:rsidR="00FF535C" w:rsidRDefault="00607429">
                    <w:pPr>
                      <w:textDirection w:val="btLr"/>
                    </w:pPr>
                    <w:r>
                      <w:rPr>
                        <w:color w:val="000000"/>
                        <w:sz w:val="22"/>
                      </w:rPr>
                      <w:t>XI Encontro de Pesquisa em Educação em Alagoas (</w:t>
                    </w:r>
                    <w:proofErr w:type="spellStart"/>
                    <w:r>
                      <w:rPr>
                        <w:color w:val="000000"/>
                        <w:sz w:val="22"/>
                      </w:rPr>
                      <w:t>Epeal</w:t>
                    </w:r>
                    <w:proofErr w:type="spellEnd"/>
                    <w:r>
                      <w:rPr>
                        <w:color w:val="000000"/>
                        <w:sz w:val="22"/>
                      </w:rPr>
                      <w:t>)</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25E31" w14:textId="77777777" w:rsidR="00607429" w:rsidRDefault="00607429">
      <w:pPr>
        <w:spacing w:line="240" w:lineRule="auto"/>
      </w:pPr>
      <w:r>
        <w:separator/>
      </w:r>
    </w:p>
  </w:footnote>
  <w:footnote w:type="continuationSeparator" w:id="0">
    <w:p w14:paraId="25FCC422" w14:textId="77777777" w:rsidR="00607429" w:rsidRDefault="00607429">
      <w:pPr>
        <w:spacing w:line="240" w:lineRule="auto"/>
      </w:pPr>
      <w:r>
        <w:continuationSeparator/>
      </w:r>
    </w:p>
  </w:footnote>
  <w:footnote w:id="1">
    <w:p w14:paraId="083AF822" w14:textId="77777777" w:rsidR="00FF535C" w:rsidRDefault="00607429">
      <w:pPr>
        <w:pBdr>
          <w:top w:val="nil"/>
          <w:left w:val="nil"/>
          <w:bottom w:val="nil"/>
          <w:right w:val="nil"/>
          <w:between w:val="nil"/>
        </w:pBdr>
        <w:spacing w:line="240" w:lineRule="auto"/>
        <w:rPr>
          <w:sz w:val="18"/>
          <w:szCs w:val="18"/>
        </w:rPr>
      </w:pPr>
      <w:r>
        <w:rPr>
          <w:vertAlign w:val="superscript"/>
        </w:rPr>
        <w:footnoteRef/>
      </w:r>
      <w:r>
        <w:rPr>
          <w:sz w:val="18"/>
          <w:szCs w:val="18"/>
        </w:rPr>
        <w:t>Estudante do Curso de Licenciatura em Física na Universidade Estadual de Alagoas (UNEAL) - Maceió/AL. Bolsista do Programa de Iniciação Científica (PIBIC/CNPq/UNEAL). E-mail: gabrielly.guilherme.2023@alunos.uneal.edu.br</w:t>
      </w:r>
    </w:p>
  </w:footnote>
  <w:footnote w:id="2">
    <w:p w14:paraId="594DEFBD" w14:textId="680E320A" w:rsidR="00FF535C" w:rsidRDefault="00607429">
      <w:pPr>
        <w:widowControl w:val="0"/>
        <w:spacing w:line="276" w:lineRule="auto"/>
        <w:rPr>
          <w:color w:val="000000"/>
          <w:sz w:val="18"/>
          <w:szCs w:val="18"/>
        </w:rPr>
      </w:pPr>
      <w:r>
        <w:rPr>
          <w:vertAlign w:val="superscript"/>
        </w:rPr>
        <w:footnoteRef/>
      </w:r>
      <w:r>
        <w:rPr>
          <w:sz w:val="18"/>
          <w:szCs w:val="18"/>
        </w:rPr>
        <w:t xml:space="preserve">Professor Titular da Universidade Estadual de Alagoas (UNEAL) - Maceió/AL. Orientador </w:t>
      </w:r>
      <w:r w:rsidR="00D24882">
        <w:rPr>
          <w:sz w:val="18"/>
          <w:szCs w:val="18"/>
        </w:rPr>
        <w:t>n</w:t>
      </w:r>
      <w:r>
        <w:rPr>
          <w:sz w:val="18"/>
          <w:szCs w:val="18"/>
        </w:rPr>
        <w:t xml:space="preserve">o Programa de Iniciação Científica (PIBIC/CNPq/UNEAL). E-mail: wellyngton.silva@uneal.edu.br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EEED" w14:textId="77777777" w:rsidR="00FF535C" w:rsidRDefault="00607429">
    <w:pPr>
      <w:pBdr>
        <w:top w:val="nil"/>
        <w:left w:val="nil"/>
        <w:bottom w:val="nil"/>
        <w:right w:val="nil"/>
        <w:between w:val="nil"/>
      </w:pBdr>
      <w:tabs>
        <w:tab w:val="center" w:pos="4252"/>
        <w:tab w:val="right" w:pos="8504"/>
      </w:tabs>
      <w:spacing w:line="240" w:lineRule="auto"/>
      <w:rPr>
        <w:color w:val="000000"/>
      </w:rPr>
    </w:pPr>
    <w:r>
      <w:rPr>
        <w:noProof/>
      </w:rPr>
      <w:drawing>
        <wp:anchor distT="0" distB="0" distL="114300" distR="114300" simplePos="0" relativeHeight="251658240" behindDoc="0" locked="0" layoutInCell="1" hidden="0" allowOverlap="1" wp14:anchorId="3C0A8F27" wp14:editId="7C2293B2">
          <wp:simplePos x="0" y="0"/>
          <wp:positionH relativeFrom="column">
            <wp:posOffset>-720089</wp:posOffset>
          </wp:positionH>
          <wp:positionV relativeFrom="paragraph">
            <wp:posOffset>-450214</wp:posOffset>
          </wp:positionV>
          <wp:extent cx="7577455" cy="1079500"/>
          <wp:effectExtent l="0" t="0" r="0" b="0"/>
          <wp:wrapSquare wrapText="bothSides" distT="0" distB="0" distL="114300" distR="114300"/>
          <wp:docPr id="4" name="image1.jpg" descr="Diagrama&#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jpg" descr="Diagrama&#10;&#10;O conteúdo gerado por IA pode estar incorreto."/>
                  <pic:cNvPicPr preferRelativeResize="0"/>
                </pic:nvPicPr>
                <pic:blipFill>
                  <a:blip r:embed="rId1"/>
                  <a:srcRect/>
                  <a:stretch>
                    <a:fillRect/>
                  </a:stretch>
                </pic:blipFill>
                <pic:spPr>
                  <a:xfrm>
                    <a:off x="0" y="0"/>
                    <a:ext cx="7577455" cy="10795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35C"/>
    <w:rsid w:val="000353A4"/>
    <w:rsid w:val="000D56A7"/>
    <w:rsid w:val="001073D6"/>
    <w:rsid w:val="0021664B"/>
    <w:rsid w:val="00267ABC"/>
    <w:rsid w:val="00343BB0"/>
    <w:rsid w:val="0044036F"/>
    <w:rsid w:val="00543325"/>
    <w:rsid w:val="005D420F"/>
    <w:rsid w:val="006028EF"/>
    <w:rsid w:val="00607429"/>
    <w:rsid w:val="00670AB0"/>
    <w:rsid w:val="00691D4C"/>
    <w:rsid w:val="00692C05"/>
    <w:rsid w:val="007949AE"/>
    <w:rsid w:val="0090383F"/>
    <w:rsid w:val="009B61F7"/>
    <w:rsid w:val="009D2BF0"/>
    <w:rsid w:val="00B20540"/>
    <w:rsid w:val="00BC46A8"/>
    <w:rsid w:val="00C07A51"/>
    <w:rsid w:val="00C94718"/>
    <w:rsid w:val="00CD7A41"/>
    <w:rsid w:val="00D24882"/>
    <w:rsid w:val="00DE1C00"/>
    <w:rsid w:val="00E2256E"/>
    <w:rsid w:val="00FE4637"/>
    <w:rsid w:val="00FF53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A6AE"/>
  <w15:docId w15:val="{1F1BC084-9314-4415-A60C-193652993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9D2BF0"/>
    <w:rPr>
      <w:sz w:val="16"/>
      <w:szCs w:val="16"/>
    </w:rPr>
  </w:style>
  <w:style w:type="paragraph" w:styleId="Textodecomentrio">
    <w:name w:val="annotation text"/>
    <w:basedOn w:val="Normal"/>
    <w:link w:val="TextodecomentrioChar"/>
    <w:uiPriority w:val="99"/>
    <w:unhideWhenUsed/>
    <w:rsid w:val="009D2BF0"/>
    <w:pPr>
      <w:spacing w:line="240" w:lineRule="auto"/>
    </w:pPr>
    <w:rPr>
      <w:sz w:val="20"/>
      <w:szCs w:val="20"/>
    </w:rPr>
  </w:style>
  <w:style w:type="character" w:customStyle="1" w:styleId="TextodecomentrioChar">
    <w:name w:val="Texto de comentário Char"/>
    <w:basedOn w:val="Fontepargpadro"/>
    <w:link w:val="Textodecomentrio"/>
    <w:uiPriority w:val="99"/>
    <w:rsid w:val="009D2BF0"/>
    <w:rPr>
      <w:sz w:val="20"/>
      <w:szCs w:val="20"/>
    </w:rPr>
  </w:style>
  <w:style w:type="paragraph" w:styleId="Assuntodocomentrio">
    <w:name w:val="annotation subject"/>
    <w:basedOn w:val="Textodecomentrio"/>
    <w:next w:val="Textodecomentrio"/>
    <w:link w:val="AssuntodocomentrioChar"/>
    <w:uiPriority w:val="99"/>
    <w:semiHidden/>
    <w:unhideWhenUsed/>
    <w:rsid w:val="009D2BF0"/>
    <w:rPr>
      <w:b/>
      <w:bCs/>
    </w:rPr>
  </w:style>
  <w:style w:type="character" w:customStyle="1" w:styleId="AssuntodocomentrioChar">
    <w:name w:val="Assunto do comentário Char"/>
    <w:basedOn w:val="TextodecomentrioChar"/>
    <w:link w:val="Assuntodocomentrio"/>
    <w:uiPriority w:val="99"/>
    <w:semiHidden/>
    <w:rsid w:val="009D2BF0"/>
    <w:rPr>
      <w:b/>
      <w:bCs/>
      <w:sz w:val="20"/>
      <w:szCs w:val="20"/>
    </w:rPr>
  </w:style>
  <w:style w:type="character" w:styleId="Hyperlink">
    <w:name w:val="Hyperlink"/>
    <w:basedOn w:val="Fontepargpadro"/>
    <w:uiPriority w:val="99"/>
    <w:unhideWhenUsed/>
    <w:rsid w:val="001073D6"/>
    <w:rPr>
      <w:color w:val="0000FF" w:themeColor="hyperlink"/>
      <w:u w:val="single"/>
    </w:rPr>
  </w:style>
  <w:style w:type="character" w:customStyle="1" w:styleId="MenoPendente1">
    <w:name w:val="Menção Pendente1"/>
    <w:basedOn w:val="Fontepargpadro"/>
    <w:uiPriority w:val="99"/>
    <w:semiHidden/>
    <w:unhideWhenUsed/>
    <w:rsid w:val="001073D6"/>
    <w:rPr>
      <w:color w:val="605E5C"/>
      <w:shd w:val="clear" w:color="auto" w:fill="E1DFDD"/>
    </w:rPr>
  </w:style>
  <w:style w:type="paragraph" w:styleId="Textodebalo">
    <w:name w:val="Balloon Text"/>
    <w:basedOn w:val="Normal"/>
    <w:link w:val="TextodebaloChar"/>
    <w:uiPriority w:val="99"/>
    <w:semiHidden/>
    <w:unhideWhenUsed/>
    <w:rsid w:val="00B20540"/>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205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eader" Target="head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22491/2236-5907136708" TargetMode="External"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_rels/footer1.xml.rels><?xml version="1.0" encoding="UTF-8" standalone="yes"?>
<Relationships xmlns="http://schemas.openxmlformats.org/package/2006/relationships"><Relationship Id="rId1" Type="http://schemas.openxmlformats.org/officeDocument/2006/relationships/image" Target="media/image2.jpg" /></Relationships>
</file>

<file path=word/_rels/header1.xml.rels><?xml version="1.0" encoding="UTF-8" standalone="yes"?>
<Relationships xmlns="http://schemas.openxmlformats.org/package/2006/relationships"><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2535</Words>
  <Characters>13692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gabrielly.gui321@gmail.com</cp:lastModifiedBy>
  <cp:revision>2</cp:revision>
  <dcterms:created xsi:type="dcterms:W3CDTF">2025-09-04T15:06:00Z</dcterms:created>
  <dcterms:modified xsi:type="dcterms:W3CDTF">2025-09-04T15:06:00Z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321584b4-2da1-4341-a419-7f2a042a900d</vt:lpwstr>
  </property>
</Properties>
</file>