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48E6" w:rsidRPr="000248E6" w:rsidRDefault="000248E6" w:rsidP="000248E6">
      <w:pPr>
        <w:pStyle w:val="Ttulo1"/>
        <w:spacing w:before="137"/>
        <w:ind w:left="127" w:firstLine="0"/>
        <w:jc w:val="center"/>
      </w:pPr>
      <w:r w:rsidRPr="000248E6">
        <w:t>Energ</w:t>
      </w:r>
      <w:r w:rsidR="00263A34">
        <w:t>etic</w:t>
      </w:r>
      <w:r w:rsidRPr="000248E6">
        <w:t xml:space="preserve"> Use of Biomethane in Brazil</w:t>
      </w:r>
    </w:p>
    <w:p w:rsidR="00D60E0D" w:rsidRDefault="000248E6">
      <w:pPr>
        <w:spacing w:before="230"/>
        <w:ind w:left="127"/>
        <w:jc w:val="center"/>
        <w:rPr>
          <w:b/>
          <w:sz w:val="20"/>
        </w:rPr>
      </w:pPr>
      <w:r>
        <w:rPr>
          <w:b/>
          <w:sz w:val="20"/>
        </w:rPr>
        <w:t>Luciano Hocevar</w:t>
      </w:r>
      <w:r w:rsidR="00A16AFA">
        <w:rPr>
          <w:b/>
          <w:sz w:val="20"/>
          <w:vertAlign w:val="superscript"/>
        </w:rPr>
        <w:t>1*</w:t>
      </w:r>
      <w:r w:rsidR="00A16AFA">
        <w:rPr>
          <w:b/>
          <w:sz w:val="20"/>
        </w:rPr>
        <w:t>,</w:t>
      </w:r>
      <w:r w:rsidR="00A16AFA">
        <w:rPr>
          <w:b/>
          <w:spacing w:val="-11"/>
          <w:sz w:val="20"/>
        </w:rPr>
        <w:t xml:space="preserve"> </w:t>
      </w:r>
      <w:r>
        <w:rPr>
          <w:b/>
          <w:sz w:val="20"/>
        </w:rPr>
        <w:t>Carla de Abreu D´Aquino</w:t>
      </w:r>
      <w:r w:rsidR="00A16AFA">
        <w:rPr>
          <w:b/>
          <w:sz w:val="20"/>
          <w:vertAlign w:val="superscript"/>
        </w:rPr>
        <w:t>2</w:t>
      </w:r>
      <w:r w:rsidR="00A16AFA">
        <w:rPr>
          <w:b/>
          <w:sz w:val="20"/>
        </w:rPr>
        <w:t>,</w:t>
      </w:r>
      <w:r w:rsidR="00A16AFA">
        <w:rPr>
          <w:b/>
          <w:spacing w:val="-11"/>
          <w:sz w:val="20"/>
        </w:rPr>
        <w:t xml:space="preserve"> </w:t>
      </w:r>
      <w:r>
        <w:rPr>
          <w:b/>
          <w:sz w:val="20"/>
        </w:rPr>
        <w:t>Carine Tondo Alves</w:t>
      </w:r>
      <w:r w:rsidR="00A16AFA">
        <w:rPr>
          <w:b/>
          <w:spacing w:val="-2"/>
          <w:sz w:val="20"/>
          <w:vertAlign w:val="superscript"/>
        </w:rPr>
        <w:t>3</w:t>
      </w:r>
      <w:r>
        <w:rPr>
          <w:b/>
          <w:sz w:val="20"/>
        </w:rPr>
        <w:t>,</w:t>
      </w:r>
      <w:r>
        <w:rPr>
          <w:b/>
          <w:spacing w:val="-11"/>
          <w:sz w:val="20"/>
        </w:rPr>
        <w:t xml:space="preserve"> </w:t>
      </w:r>
      <w:r>
        <w:rPr>
          <w:b/>
          <w:sz w:val="20"/>
        </w:rPr>
        <w:t xml:space="preserve">Alex </w:t>
      </w:r>
      <w:proofErr w:type="spellStart"/>
      <w:r>
        <w:rPr>
          <w:b/>
          <w:sz w:val="20"/>
        </w:rPr>
        <w:t>Álisson</w:t>
      </w:r>
      <w:proofErr w:type="spellEnd"/>
      <w:r>
        <w:rPr>
          <w:b/>
          <w:sz w:val="20"/>
        </w:rPr>
        <w:t xml:space="preserve"> Bandeira Santos</w:t>
      </w:r>
      <w:r>
        <w:rPr>
          <w:b/>
          <w:spacing w:val="-2"/>
          <w:sz w:val="20"/>
          <w:vertAlign w:val="superscript"/>
        </w:rPr>
        <w:t>4</w:t>
      </w:r>
    </w:p>
    <w:p w:rsidR="00D60E0D" w:rsidRDefault="00A16AFA">
      <w:pPr>
        <w:ind w:left="127"/>
        <w:jc w:val="center"/>
        <w:rPr>
          <w:i/>
          <w:sz w:val="20"/>
        </w:rPr>
      </w:pPr>
      <w:r>
        <w:rPr>
          <w:sz w:val="20"/>
          <w:vertAlign w:val="superscript"/>
        </w:rPr>
        <w:t>1</w:t>
      </w:r>
      <w:r>
        <w:rPr>
          <w:spacing w:val="-10"/>
          <w:sz w:val="20"/>
        </w:rPr>
        <w:t xml:space="preserve"> </w:t>
      </w:r>
      <w:r w:rsidR="000248E6">
        <w:rPr>
          <w:i/>
          <w:sz w:val="20"/>
        </w:rPr>
        <w:t>UFRB</w:t>
      </w:r>
      <w:r w:rsidR="002857EA">
        <w:rPr>
          <w:i/>
          <w:sz w:val="20"/>
        </w:rPr>
        <w:t xml:space="preserve"> – Federal University of </w:t>
      </w:r>
      <w:proofErr w:type="spellStart"/>
      <w:r w:rsidR="002857EA">
        <w:rPr>
          <w:i/>
          <w:sz w:val="20"/>
        </w:rPr>
        <w:t>Reconcavo</w:t>
      </w:r>
      <w:proofErr w:type="spellEnd"/>
      <w:r w:rsidR="002857EA">
        <w:rPr>
          <w:i/>
          <w:sz w:val="20"/>
        </w:rPr>
        <w:t xml:space="preserve"> da Bahia</w:t>
      </w:r>
      <w:r>
        <w:rPr>
          <w:i/>
          <w:sz w:val="20"/>
        </w:rPr>
        <w:t>,</w:t>
      </w:r>
      <w:r>
        <w:rPr>
          <w:i/>
          <w:spacing w:val="-9"/>
          <w:sz w:val="20"/>
        </w:rPr>
        <w:t xml:space="preserve"> </w:t>
      </w:r>
      <w:r w:rsidR="000248E6">
        <w:rPr>
          <w:i/>
          <w:spacing w:val="-9"/>
          <w:sz w:val="20"/>
        </w:rPr>
        <w:t xml:space="preserve">Energy </w:t>
      </w:r>
      <w:r>
        <w:rPr>
          <w:i/>
          <w:sz w:val="20"/>
        </w:rPr>
        <w:t>Department,</w:t>
      </w:r>
      <w:r>
        <w:rPr>
          <w:i/>
          <w:spacing w:val="-9"/>
          <w:sz w:val="20"/>
        </w:rPr>
        <w:t xml:space="preserve"> </w:t>
      </w:r>
      <w:r w:rsidR="000248E6">
        <w:rPr>
          <w:i/>
          <w:sz w:val="20"/>
        </w:rPr>
        <w:t>Feira de Santana</w:t>
      </w:r>
      <w:r>
        <w:rPr>
          <w:i/>
          <w:sz w:val="20"/>
        </w:rPr>
        <w:t>,</w:t>
      </w:r>
      <w:r>
        <w:rPr>
          <w:i/>
          <w:spacing w:val="-10"/>
          <w:sz w:val="20"/>
        </w:rPr>
        <w:t xml:space="preserve"> </w:t>
      </w:r>
      <w:r w:rsidR="000248E6">
        <w:rPr>
          <w:i/>
          <w:sz w:val="20"/>
        </w:rPr>
        <w:t>Bahia</w:t>
      </w:r>
      <w:r>
        <w:rPr>
          <w:i/>
          <w:sz w:val="20"/>
        </w:rPr>
        <w:t>,</w:t>
      </w:r>
      <w:r>
        <w:rPr>
          <w:i/>
          <w:spacing w:val="-10"/>
          <w:sz w:val="20"/>
        </w:rPr>
        <w:t xml:space="preserve"> </w:t>
      </w:r>
      <w:r w:rsidR="000248E6">
        <w:rPr>
          <w:i/>
          <w:spacing w:val="-2"/>
          <w:sz w:val="20"/>
        </w:rPr>
        <w:t>Brazil</w:t>
      </w:r>
    </w:p>
    <w:p w:rsidR="000248E6" w:rsidRDefault="00A16AFA" w:rsidP="000248E6">
      <w:pPr>
        <w:ind w:left="127"/>
        <w:jc w:val="center"/>
        <w:rPr>
          <w:i/>
          <w:sz w:val="20"/>
        </w:rPr>
      </w:pPr>
      <w:r>
        <w:rPr>
          <w:i/>
          <w:sz w:val="20"/>
          <w:vertAlign w:val="superscript"/>
        </w:rPr>
        <w:t>2</w:t>
      </w:r>
      <w:r>
        <w:rPr>
          <w:i/>
          <w:spacing w:val="-10"/>
          <w:sz w:val="20"/>
        </w:rPr>
        <w:t xml:space="preserve"> </w:t>
      </w:r>
      <w:proofErr w:type="gramStart"/>
      <w:r w:rsidR="000248E6">
        <w:rPr>
          <w:i/>
          <w:sz w:val="20"/>
        </w:rPr>
        <w:t>UFSC</w:t>
      </w:r>
      <w:r w:rsidR="002857EA">
        <w:rPr>
          <w:i/>
          <w:sz w:val="20"/>
        </w:rPr>
        <w:t xml:space="preserve">  –</w:t>
      </w:r>
      <w:proofErr w:type="gramEnd"/>
      <w:r w:rsidR="002857EA">
        <w:rPr>
          <w:i/>
          <w:sz w:val="20"/>
        </w:rPr>
        <w:t xml:space="preserve"> Federal University of Santa Catarina</w:t>
      </w:r>
      <w:r>
        <w:rPr>
          <w:i/>
          <w:sz w:val="20"/>
        </w:rPr>
        <w:t>,</w:t>
      </w:r>
      <w:r>
        <w:rPr>
          <w:i/>
          <w:spacing w:val="-9"/>
          <w:sz w:val="20"/>
        </w:rPr>
        <w:t xml:space="preserve"> </w:t>
      </w:r>
      <w:r w:rsidR="000248E6">
        <w:rPr>
          <w:i/>
          <w:spacing w:val="-9"/>
          <w:sz w:val="20"/>
        </w:rPr>
        <w:t xml:space="preserve">Energy </w:t>
      </w:r>
      <w:r w:rsidR="000248E6">
        <w:rPr>
          <w:i/>
          <w:sz w:val="20"/>
        </w:rPr>
        <w:t>Department,</w:t>
      </w:r>
      <w:r w:rsidR="000248E6">
        <w:rPr>
          <w:i/>
          <w:spacing w:val="-9"/>
          <w:sz w:val="20"/>
        </w:rPr>
        <w:t xml:space="preserve"> </w:t>
      </w:r>
      <w:proofErr w:type="spellStart"/>
      <w:r w:rsidR="000248E6">
        <w:rPr>
          <w:i/>
          <w:sz w:val="20"/>
        </w:rPr>
        <w:t>Araranguá</w:t>
      </w:r>
      <w:proofErr w:type="spellEnd"/>
      <w:r w:rsidR="000248E6">
        <w:rPr>
          <w:i/>
          <w:sz w:val="20"/>
        </w:rPr>
        <w:t>,</w:t>
      </w:r>
      <w:r w:rsidR="000248E6">
        <w:rPr>
          <w:i/>
          <w:spacing w:val="-10"/>
          <w:sz w:val="20"/>
        </w:rPr>
        <w:t xml:space="preserve"> </w:t>
      </w:r>
      <w:r w:rsidR="000248E6">
        <w:rPr>
          <w:i/>
          <w:sz w:val="20"/>
        </w:rPr>
        <w:t>Santa Catharina,</w:t>
      </w:r>
      <w:r w:rsidR="000248E6">
        <w:rPr>
          <w:i/>
          <w:spacing w:val="-10"/>
          <w:sz w:val="20"/>
        </w:rPr>
        <w:t xml:space="preserve"> </w:t>
      </w:r>
      <w:r w:rsidR="000248E6">
        <w:rPr>
          <w:i/>
          <w:spacing w:val="-2"/>
          <w:sz w:val="20"/>
        </w:rPr>
        <w:t>Brazil</w:t>
      </w:r>
    </w:p>
    <w:p w:rsidR="00D60E0D" w:rsidRDefault="00A16AFA">
      <w:pPr>
        <w:ind w:left="127"/>
        <w:jc w:val="center"/>
        <w:rPr>
          <w:i/>
          <w:spacing w:val="-2"/>
          <w:sz w:val="20"/>
        </w:rPr>
      </w:pPr>
      <w:r>
        <w:rPr>
          <w:i/>
          <w:sz w:val="20"/>
          <w:vertAlign w:val="superscript"/>
        </w:rPr>
        <w:t>3</w:t>
      </w:r>
      <w:r>
        <w:rPr>
          <w:i/>
          <w:spacing w:val="-10"/>
          <w:sz w:val="20"/>
        </w:rPr>
        <w:t xml:space="preserve"> </w:t>
      </w:r>
      <w:proofErr w:type="gramStart"/>
      <w:r w:rsidR="000248E6">
        <w:rPr>
          <w:i/>
          <w:sz w:val="20"/>
        </w:rPr>
        <w:t>UFRB</w:t>
      </w:r>
      <w:r w:rsidR="002857EA">
        <w:rPr>
          <w:i/>
          <w:sz w:val="20"/>
        </w:rPr>
        <w:t xml:space="preserve">  –</w:t>
      </w:r>
      <w:proofErr w:type="gramEnd"/>
      <w:r w:rsidR="002857EA">
        <w:rPr>
          <w:i/>
          <w:sz w:val="20"/>
        </w:rPr>
        <w:t xml:space="preserve"> Federal University of </w:t>
      </w:r>
      <w:proofErr w:type="spellStart"/>
      <w:r w:rsidR="002857EA">
        <w:rPr>
          <w:i/>
          <w:sz w:val="20"/>
        </w:rPr>
        <w:t>Reconcavo</w:t>
      </w:r>
      <w:proofErr w:type="spellEnd"/>
      <w:r w:rsidR="002857EA">
        <w:rPr>
          <w:i/>
          <w:sz w:val="20"/>
        </w:rPr>
        <w:t xml:space="preserve"> da Bahia</w:t>
      </w:r>
      <w:r w:rsidR="000248E6">
        <w:rPr>
          <w:i/>
          <w:sz w:val="20"/>
        </w:rPr>
        <w:t>,</w:t>
      </w:r>
      <w:r w:rsidR="000248E6">
        <w:rPr>
          <w:i/>
          <w:spacing w:val="-9"/>
          <w:sz w:val="20"/>
        </w:rPr>
        <w:t xml:space="preserve"> Energy </w:t>
      </w:r>
      <w:r w:rsidR="000248E6">
        <w:rPr>
          <w:i/>
          <w:sz w:val="20"/>
        </w:rPr>
        <w:t>Department,</w:t>
      </w:r>
      <w:r w:rsidR="000248E6">
        <w:rPr>
          <w:i/>
          <w:spacing w:val="-9"/>
          <w:sz w:val="20"/>
        </w:rPr>
        <w:t xml:space="preserve"> </w:t>
      </w:r>
      <w:r w:rsidR="000248E6">
        <w:rPr>
          <w:i/>
          <w:sz w:val="20"/>
        </w:rPr>
        <w:t>Feira de Santana,</w:t>
      </w:r>
      <w:r w:rsidR="000248E6">
        <w:rPr>
          <w:i/>
          <w:spacing w:val="-10"/>
          <w:sz w:val="20"/>
        </w:rPr>
        <w:t xml:space="preserve"> </w:t>
      </w:r>
      <w:r w:rsidR="000248E6">
        <w:rPr>
          <w:i/>
          <w:sz w:val="20"/>
        </w:rPr>
        <w:t>Bahia,</w:t>
      </w:r>
      <w:r w:rsidR="000248E6">
        <w:rPr>
          <w:i/>
          <w:spacing w:val="-10"/>
          <w:sz w:val="20"/>
        </w:rPr>
        <w:t xml:space="preserve"> </w:t>
      </w:r>
      <w:r w:rsidR="000248E6">
        <w:rPr>
          <w:i/>
          <w:spacing w:val="-2"/>
          <w:sz w:val="20"/>
        </w:rPr>
        <w:t>Brazil</w:t>
      </w:r>
    </w:p>
    <w:p w:rsidR="000248E6" w:rsidRDefault="000248E6">
      <w:pPr>
        <w:ind w:left="127"/>
        <w:jc w:val="center"/>
        <w:rPr>
          <w:i/>
          <w:sz w:val="20"/>
        </w:rPr>
      </w:pPr>
      <w:r>
        <w:rPr>
          <w:i/>
          <w:sz w:val="20"/>
          <w:vertAlign w:val="superscript"/>
        </w:rPr>
        <w:t>4</w:t>
      </w:r>
      <w:r>
        <w:rPr>
          <w:i/>
          <w:spacing w:val="-10"/>
          <w:sz w:val="20"/>
        </w:rPr>
        <w:t xml:space="preserve"> </w:t>
      </w:r>
      <w:r w:rsidR="002857EA">
        <w:rPr>
          <w:i/>
          <w:sz w:val="20"/>
        </w:rPr>
        <w:t>SENAI CIMATEC University</w:t>
      </w:r>
      <w:r>
        <w:rPr>
          <w:i/>
          <w:sz w:val="20"/>
        </w:rPr>
        <w:t>,</w:t>
      </w:r>
      <w:r>
        <w:rPr>
          <w:i/>
          <w:spacing w:val="-9"/>
          <w:sz w:val="20"/>
        </w:rPr>
        <w:t xml:space="preserve"> Energy </w:t>
      </w:r>
      <w:r>
        <w:rPr>
          <w:i/>
          <w:sz w:val="20"/>
        </w:rPr>
        <w:t>Department,</w:t>
      </w:r>
      <w:r>
        <w:rPr>
          <w:i/>
          <w:spacing w:val="-9"/>
          <w:sz w:val="20"/>
        </w:rPr>
        <w:t xml:space="preserve"> </w:t>
      </w:r>
      <w:r w:rsidR="002857EA">
        <w:rPr>
          <w:i/>
          <w:sz w:val="20"/>
        </w:rPr>
        <w:t>Salvador</w:t>
      </w:r>
      <w:r>
        <w:rPr>
          <w:i/>
          <w:sz w:val="20"/>
        </w:rPr>
        <w:t>,</w:t>
      </w:r>
      <w:r>
        <w:rPr>
          <w:i/>
          <w:spacing w:val="-10"/>
          <w:sz w:val="20"/>
        </w:rPr>
        <w:t xml:space="preserve"> </w:t>
      </w:r>
      <w:r>
        <w:rPr>
          <w:i/>
          <w:sz w:val="20"/>
        </w:rPr>
        <w:t>Bahia,</w:t>
      </w:r>
      <w:r>
        <w:rPr>
          <w:i/>
          <w:spacing w:val="-10"/>
          <w:sz w:val="20"/>
        </w:rPr>
        <w:t xml:space="preserve"> </w:t>
      </w:r>
      <w:r>
        <w:rPr>
          <w:i/>
          <w:spacing w:val="-2"/>
          <w:sz w:val="20"/>
        </w:rPr>
        <w:t>Brazil</w:t>
      </w:r>
    </w:p>
    <w:p w:rsidR="00D60E0D" w:rsidRDefault="00A16AFA">
      <w:pPr>
        <w:ind w:left="127"/>
        <w:jc w:val="center"/>
        <w:rPr>
          <w:i/>
          <w:sz w:val="20"/>
        </w:rPr>
      </w:pPr>
      <w:r>
        <w:rPr>
          <w:i/>
          <w:spacing w:val="-2"/>
          <w:sz w:val="20"/>
        </w:rPr>
        <w:t>*Corresponding</w:t>
      </w:r>
      <w:r>
        <w:rPr>
          <w:i/>
          <w:spacing w:val="7"/>
          <w:sz w:val="20"/>
        </w:rPr>
        <w:t xml:space="preserve"> </w:t>
      </w:r>
      <w:r>
        <w:rPr>
          <w:i/>
          <w:spacing w:val="-2"/>
          <w:sz w:val="20"/>
        </w:rPr>
        <w:t>author:</w:t>
      </w:r>
      <w:r>
        <w:rPr>
          <w:i/>
          <w:spacing w:val="7"/>
          <w:sz w:val="20"/>
        </w:rPr>
        <w:t xml:space="preserve"> </w:t>
      </w:r>
      <w:r w:rsidR="002857EA">
        <w:rPr>
          <w:i/>
          <w:sz w:val="20"/>
        </w:rPr>
        <w:t>UFRB</w:t>
      </w:r>
      <w:r>
        <w:rPr>
          <w:i/>
          <w:spacing w:val="-2"/>
          <w:sz w:val="20"/>
        </w:rPr>
        <w:t>;</w:t>
      </w:r>
      <w:r>
        <w:rPr>
          <w:i/>
          <w:spacing w:val="7"/>
          <w:sz w:val="20"/>
        </w:rPr>
        <w:t xml:space="preserve"> </w:t>
      </w:r>
      <w:r w:rsidR="002857EA">
        <w:rPr>
          <w:i/>
          <w:spacing w:val="-2"/>
          <w:sz w:val="20"/>
        </w:rPr>
        <w:t>lucianohocevar@ufrb.edu.br</w:t>
      </w:r>
    </w:p>
    <w:p w:rsidR="00D60E0D" w:rsidRDefault="00D60E0D">
      <w:pPr>
        <w:pStyle w:val="Corpodetexto"/>
        <w:rPr>
          <w:i/>
          <w:sz w:val="20"/>
        </w:rPr>
      </w:pPr>
    </w:p>
    <w:p w:rsidR="007A1961" w:rsidRPr="007A1961" w:rsidRDefault="00767820" w:rsidP="007A1961">
      <w:pPr>
        <w:ind w:left="456" w:right="337"/>
        <w:jc w:val="both"/>
        <w:rPr>
          <w:bCs/>
          <w:sz w:val="20"/>
        </w:rPr>
      </w:pPr>
      <w:r w:rsidRPr="00767820">
        <w:rPr>
          <w:b/>
          <w:sz w:val="20"/>
        </w:rPr>
        <w:t>Abstract:</w:t>
      </w:r>
      <w:r w:rsidRPr="00F91596">
        <w:rPr>
          <w:bCs/>
          <w:sz w:val="20"/>
        </w:rPr>
        <w:t xml:space="preserve"> </w:t>
      </w:r>
      <w:r w:rsidR="007A1961" w:rsidRPr="007A1961">
        <w:rPr>
          <w:bCs/>
          <w:sz w:val="20"/>
        </w:rPr>
        <w:t xml:space="preserve">Biomethane is a renewable energy source with great strategic potential for Brazil’s energy transition, especially due to its compatibility with the natural gas infrastructure. </w:t>
      </w:r>
      <w:r w:rsidRPr="00F91596">
        <w:rPr>
          <w:bCs/>
          <w:sz w:val="20"/>
        </w:rPr>
        <w:t xml:space="preserve">Produced through anaerobic digestion of organic residues, biogas mainly contains methane (CH₄) and carbon dioxide (CO₂). After purification, the resulting biomethane reaches a methane concentration of 90–98%, making it suitable for injection into gas distribution networks or use in transportation, industry, and residential sectors. </w:t>
      </w:r>
      <w:bookmarkStart w:id="0" w:name="_GoBack"/>
      <w:bookmarkEnd w:id="0"/>
      <w:r w:rsidR="007A1961" w:rsidRPr="007A1961">
        <w:rPr>
          <w:bCs/>
          <w:sz w:val="20"/>
        </w:rPr>
        <w:t>This study aims to analyze the potential, challenges, and opportunities of biomethane in Brazil, considering its contribution to the decarbonization of the energy matrix and the sustainable use of organic waste. The research adopts an exploratory and descriptive approach, based on a bibliographic and documentary review of scientific publications, institutional reports, and updated sectoral data. The results indicate that biomethane, in addition to reducing dependence on fossil fuels, contributes to waste management and the generation of carbon credits. As an advance over the current state of the art, this study systematizes recent data on production, public policies, and practical applications of biomethane in Brazil, highlighting its growing role in the national energy transition.</w:t>
      </w:r>
    </w:p>
    <w:p w:rsidR="007A1961" w:rsidRDefault="007A1961" w:rsidP="00767820">
      <w:pPr>
        <w:ind w:left="456" w:right="337"/>
        <w:jc w:val="both"/>
        <w:rPr>
          <w:bCs/>
          <w:sz w:val="20"/>
        </w:rPr>
      </w:pPr>
    </w:p>
    <w:p w:rsidR="00DF022C" w:rsidRDefault="00DF022C" w:rsidP="00767820">
      <w:pPr>
        <w:ind w:left="456" w:right="337"/>
        <w:jc w:val="both"/>
        <w:rPr>
          <w:bCs/>
          <w:sz w:val="20"/>
        </w:rPr>
      </w:pPr>
    </w:p>
    <w:p w:rsidR="00DF022C" w:rsidRDefault="00767820" w:rsidP="00DF022C">
      <w:pPr>
        <w:ind w:left="456" w:right="337"/>
        <w:jc w:val="both"/>
        <w:rPr>
          <w:bCs/>
          <w:sz w:val="20"/>
        </w:rPr>
      </w:pPr>
      <w:r w:rsidRPr="00767820">
        <w:rPr>
          <w:b/>
          <w:sz w:val="20"/>
        </w:rPr>
        <w:t>Keywords:</w:t>
      </w:r>
      <w:r>
        <w:rPr>
          <w:b/>
          <w:sz w:val="20"/>
        </w:rPr>
        <w:t xml:space="preserve"> </w:t>
      </w:r>
      <w:r w:rsidRPr="00767820">
        <w:rPr>
          <w:bCs/>
          <w:sz w:val="20"/>
        </w:rPr>
        <w:t>Biomethane</w:t>
      </w:r>
      <w:r w:rsidR="00DF022C">
        <w:rPr>
          <w:bCs/>
          <w:sz w:val="20"/>
        </w:rPr>
        <w:t xml:space="preserve">, </w:t>
      </w:r>
      <w:r w:rsidRPr="00767820">
        <w:rPr>
          <w:bCs/>
          <w:sz w:val="20"/>
        </w:rPr>
        <w:t>Energy transition</w:t>
      </w:r>
      <w:r w:rsidR="00DF022C">
        <w:rPr>
          <w:bCs/>
          <w:sz w:val="20"/>
        </w:rPr>
        <w:t xml:space="preserve">, </w:t>
      </w:r>
      <w:r w:rsidRPr="00767820">
        <w:rPr>
          <w:bCs/>
          <w:sz w:val="20"/>
        </w:rPr>
        <w:t>Renewable fuel</w:t>
      </w:r>
      <w:r w:rsidR="00DF022C">
        <w:rPr>
          <w:bCs/>
          <w:sz w:val="20"/>
        </w:rPr>
        <w:t xml:space="preserve">, </w:t>
      </w:r>
      <w:r w:rsidRPr="00767820">
        <w:rPr>
          <w:bCs/>
          <w:sz w:val="20"/>
        </w:rPr>
        <w:t>Greenhouse gas emissions</w:t>
      </w:r>
      <w:r w:rsidR="00DF022C">
        <w:rPr>
          <w:bCs/>
          <w:sz w:val="20"/>
        </w:rPr>
        <w:t xml:space="preserve">, </w:t>
      </w:r>
      <w:r w:rsidRPr="00767820">
        <w:rPr>
          <w:bCs/>
          <w:sz w:val="20"/>
        </w:rPr>
        <w:t>Organic waste valorization</w:t>
      </w:r>
      <w:r w:rsidR="00DF022C">
        <w:rPr>
          <w:bCs/>
          <w:sz w:val="20"/>
        </w:rPr>
        <w:t>.</w:t>
      </w:r>
    </w:p>
    <w:p w:rsidR="00DF022C" w:rsidRDefault="00DF022C" w:rsidP="00DF022C">
      <w:pPr>
        <w:ind w:left="456" w:right="337"/>
        <w:jc w:val="both"/>
        <w:rPr>
          <w:bCs/>
          <w:sz w:val="20"/>
        </w:rPr>
        <w:sectPr w:rsidR="00DF022C" w:rsidSect="00DF022C">
          <w:headerReference w:type="default" r:id="rId7"/>
          <w:footerReference w:type="default" r:id="rId8"/>
          <w:pgSz w:w="11920" w:h="16840"/>
          <w:pgMar w:top="1360" w:right="992" w:bottom="1340" w:left="992" w:header="0" w:footer="1154" w:gutter="0"/>
          <w:cols w:space="178"/>
        </w:sectPr>
      </w:pPr>
    </w:p>
    <w:p w:rsidR="00DF022C" w:rsidRDefault="00DF022C" w:rsidP="00DF022C">
      <w:pPr>
        <w:ind w:left="456" w:right="337"/>
        <w:jc w:val="both"/>
        <w:rPr>
          <w:bCs/>
          <w:sz w:val="20"/>
        </w:rPr>
        <w:sectPr w:rsidR="00DF022C" w:rsidSect="00DF022C">
          <w:type w:val="continuous"/>
          <w:pgSz w:w="11920" w:h="16840"/>
          <w:pgMar w:top="1360" w:right="992" w:bottom="1340" w:left="992" w:header="0" w:footer="1154" w:gutter="0"/>
          <w:cols w:num="2" w:space="720" w:equalWidth="0">
            <w:col w:w="4892" w:space="178"/>
            <w:col w:w="4866"/>
          </w:cols>
        </w:sectPr>
      </w:pPr>
    </w:p>
    <w:p w:rsidR="00DF022C" w:rsidRPr="00767820" w:rsidRDefault="00DF022C" w:rsidP="00DF022C">
      <w:pPr>
        <w:ind w:left="456" w:right="337"/>
        <w:jc w:val="both"/>
        <w:rPr>
          <w:bCs/>
          <w:sz w:val="20"/>
        </w:rPr>
      </w:pPr>
    </w:p>
    <w:p w:rsidR="003205FD" w:rsidRPr="00143552" w:rsidRDefault="003205FD" w:rsidP="00AA6B54">
      <w:pPr>
        <w:spacing w:line="360" w:lineRule="auto"/>
        <w:jc w:val="both"/>
        <w:rPr>
          <w:b/>
          <w:bCs/>
          <w:sz w:val="24"/>
          <w:szCs w:val="24"/>
        </w:rPr>
      </w:pPr>
      <w:r w:rsidRPr="00143552">
        <w:rPr>
          <w:b/>
          <w:bCs/>
          <w:sz w:val="24"/>
          <w:szCs w:val="24"/>
        </w:rPr>
        <w:t>1. INTRODUCTION</w:t>
      </w:r>
    </w:p>
    <w:p w:rsidR="00E060FB" w:rsidRPr="007A1961" w:rsidRDefault="00E060FB" w:rsidP="00E060FB">
      <w:pPr>
        <w:widowControl/>
        <w:autoSpaceDE/>
        <w:autoSpaceDN/>
        <w:jc w:val="both"/>
        <w:rPr>
          <w:sz w:val="24"/>
          <w:szCs w:val="24"/>
          <w:lang w:eastAsia="pt-BR"/>
        </w:rPr>
      </w:pPr>
      <w:r w:rsidRPr="007A1961">
        <w:rPr>
          <w:sz w:val="24"/>
          <w:szCs w:val="24"/>
          <w:lang w:eastAsia="pt-BR"/>
        </w:rPr>
        <w:t>The growing reliance on fossil fuels has been a major driver of greenhouse gas (GHG) emissions, intensifying the urgency for energy alternatives that are both sustainable and scalable. Among the viable solutions for decarbonizing the energy sector, biomethane stands out as a strategic renewable fuel that can support a gradual and effective transition toward a low-carbon energy matrix. While it is currently unfeasible to completely and immediately eliminate combustion-based energy sources [1], biomethane offers a practical bridge by directly substituting fossil natural gas (NG) without requiring significant changes to existing infrastructure.</w:t>
      </w:r>
    </w:p>
    <w:p w:rsidR="00E060FB" w:rsidRPr="007A1961" w:rsidRDefault="00E060FB" w:rsidP="00E060FB">
      <w:pPr>
        <w:widowControl/>
        <w:autoSpaceDE/>
        <w:autoSpaceDN/>
        <w:jc w:val="both"/>
        <w:rPr>
          <w:sz w:val="24"/>
          <w:szCs w:val="24"/>
          <w:lang w:eastAsia="pt-BR"/>
        </w:rPr>
      </w:pPr>
      <w:r w:rsidRPr="007A1961">
        <w:rPr>
          <w:sz w:val="24"/>
          <w:szCs w:val="24"/>
          <w:lang w:eastAsia="pt-BR"/>
        </w:rPr>
        <w:t>Driven by mounting pressure for environmental policies and the rising global energy demand, there is a strong incentive to develop cleaner, renewable fuel technologies [2]. In this context, scientific research, industrial innovation, and societal awareness have increasingly converged around the development of technologies that not only reduce emissions but also create value from organic residues. Among these, gaseous biofuels—particularly biomethane—have gained attention for their ability to transform waste into energy, leveraging resources such as agricultural by-</w:t>
      </w:r>
      <w:r w:rsidRPr="007A1961">
        <w:rPr>
          <w:sz w:val="24"/>
          <w:szCs w:val="24"/>
          <w:lang w:eastAsia="pt-BR"/>
        </w:rPr>
        <w:t>products and solid or liquid urban waste to power cities, industries, and transport systems.</w:t>
      </w:r>
    </w:p>
    <w:p w:rsidR="00E060FB" w:rsidRPr="007A1961" w:rsidRDefault="00E060FB" w:rsidP="00E060FB">
      <w:pPr>
        <w:widowControl/>
        <w:autoSpaceDE/>
        <w:autoSpaceDN/>
        <w:jc w:val="both"/>
        <w:rPr>
          <w:sz w:val="24"/>
          <w:szCs w:val="24"/>
          <w:lang w:eastAsia="pt-BR"/>
        </w:rPr>
      </w:pPr>
      <w:r w:rsidRPr="007A1961">
        <w:rPr>
          <w:sz w:val="24"/>
          <w:szCs w:val="24"/>
          <w:lang w:eastAsia="pt-BR"/>
        </w:rPr>
        <w:t>Biogas, the precursor of biomethane, is produced through the anaerobic digestion of organic matter, and consists mainly of methane (CH₄) [~60%] and carbon dioxide (CO₂) [~35%], along with trace gases like nitrogen, ammonia, hydrogen sulfide, and carbon monoxide [3–5]. Its exact composition depends on the type of substrate, the digestion technology used, and process conditions. After purification to remove impurities and non-combustible gases, biogas is upgraded to biomethane, achieving a methane concentration of 90–98% [7–8], as shown in Table 1. With superior calorific value and combustion characteristics, biomethane matches or even exceeds the quality of fossil NG, qualifying it as a fully renewable replacement, often referred to as Renewable Natural Gas (RNG) [9–10].</w:t>
      </w:r>
    </w:p>
    <w:p w:rsidR="00E060FB" w:rsidRPr="007A1961" w:rsidRDefault="00E060FB" w:rsidP="00E060FB">
      <w:pPr>
        <w:widowControl/>
        <w:autoSpaceDE/>
        <w:autoSpaceDN/>
        <w:jc w:val="both"/>
        <w:rPr>
          <w:sz w:val="24"/>
          <w:szCs w:val="24"/>
          <w:lang w:eastAsia="pt-BR"/>
        </w:rPr>
      </w:pPr>
      <w:r w:rsidRPr="007A1961">
        <w:rPr>
          <w:sz w:val="24"/>
          <w:szCs w:val="24"/>
          <w:lang w:eastAsia="pt-BR"/>
        </w:rPr>
        <w:t xml:space="preserve">According to the </w:t>
      </w:r>
      <w:r w:rsidRPr="007A1961">
        <w:rPr>
          <w:i/>
          <w:iCs/>
          <w:sz w:val="24"/>
          <w:szCs w:val="24"/>
          <w:lang w:eastAsia="pt-BR"/>
        </w:rPr>
        <w:t>Panorama of Biogas in Brazil</w:t>
      </w:r>
      <w:r w:rsidRPr="007A1961">
        <w:rPr>
          <w:sz w:val="24"/>
          <w:szCs w:val="24"/>
          <w:lang w:eastAsia="pt-BR"/>
        </w:rPr>
        <w:t xml:space="preserve"> [8], the country’s theoretical biogas potential reaches 85 billion m³/year—enough to replace approximately 70% of its diesel demand and 40% of its electricity needs. These figures reveal a massive untapped opportunity.</w:t>
      </w:r>
    </w:p>
    <w:p w:rsidR="00E060FB" w:rsidRPr="007A1961" w:rsidRDefault="00E060FB" w:rsidP="00E060FB">
      <w:pPr>
        <w:widowControl/>
        <w:autoSpaceDE/>
        <w:autoSpaceDN/>
        <w:jc w:val="both"/>
        <w:rPr>
          <w:sz w:val="24"/>
          <w:szCs w:val="24"/>
          <w:lang w:val="es-419" w:eastAsia="pt-BR"/>
        </w:rPr>
      </w:pPr>
      <w:r w:rsidRPr="007A1961">
        <w:rPr>
          <w:sz w:val="24"/>
          <w:szCs w:val="24"/>
          <w:lang w:eastAsia="pt-BR"/>
        </w:rPr>
        <w:t xml:space="preserve">Biomethane presents Brazil with a unique chance to integrate a renewable, decentralized, and low-emission fuel into its energy matrix. Its versatility, </w:t>
      </w:r>
      <w:r w:rsidRPr="007A1961">
        <w:rPr>
          <w:sz w:val="24"/>
          <w:szCs w:val="24"/>
          <w:lang w:eastAsia="pt-BR"/>
        </w:rPr>
        <w:lastRenderedPageBreak/>
        <w:t xml:space="preserve">compatibility with existing NG infrastructure, and ability to valorize organic waste make it not only a clean energy source but also a driver of circular economy, rural development, and climate mitigation. </w:t>
      </w:r>
      <w:proofErr w:type="spellStart"/>
      <w:r w:rsidRPr="007A1961">
        <w:rPr>
          <w:sz w:val="24"/>
          <w:szCs w:val="24"/>
          <w:lang w:val="es-419" w:eastAsia="pt-BR"/>
        </w:rPr>
        <w:t>Investing</w:t>
      </w:r>
      <w:proofErr w:type="spellEnd"/>
      <w:r w:rsidRPr="007A1961">
        <w:rPr>
          <w:sz w:val="24"/>
          <w:szCs w:val="24"/>
          <w:lang w:val="es-419" w:eastAsia="pt-BR"/>
        </w:rPr>
        <w:t xml:space="preserve"> in </w:t>
      </w:r>
      <w:proofErr w:type="spellStart"/>
      <w:r w:rsidRPr="007A1961">
        <w:rPr>
          <w:sz w:val="24"/>
          <w:szCs w:val="24"/>
          <w:lang w:val="es-419" w:eastAsia="pt-BR"/>
        </w:rPr>
        <w:t>biomethane</w:t>
      </w:r>
      <w:proofErr w:type="spellEnd"/>
      <w:r w:rsidRPr="007A1961">
        <w:rPr>
          <w:sz w:val="24"/>
          <w:szCs w:val="24"/>
          <w:lang w:val="es-419" w:eastAsia="pt-BR"/>
        </w:rPr>
        <w:t xml:space="preserve"> </w:t>
      </w:r>
      <w:proofErr w:type="spellStart"/>
      <w:r w:rsidRPr="007A1961">
        <w:rPr>
          <w:sz w:val="24"/>
          <w:szCs w:val="24"/>
          <w:lang w:val="es-419" w:eastAsia="pt-BR"/>
        </w:rPr>
        <w:t>today</w:t>
      </w:r>
      <w:proofErr w:type="spellEnd"/>
      <w:r w:rsidRPr="007A1961">
        <w:rPr>
          <w:sz w:val="24"/>
          <w:szCs w:val="24"/>
          <w:lang w:val="es-419" w:eastAsia="pt-BR"/>
        </w:rPr>
        <w:t xml:space="preserve"> </w:t>
      </w:r>
      <w:proofErr w:type="spellStart"/>
      <w:r w:rsidRPr="007A1961">
        <w:rPr>
          <w:sz w:val="24"/>
          <w:szCs w:val="24"/>
          <w:lang w:val="es-419" w:eastAsia="pt-BR"/>
        </w:rPr>
        <w:t>means</w:t>
      </w:r>
      <w:proofErr w:type="spellEnd"/>
      <w:r w:rsidRPr="007A1961">
        <w:rPr>
          <w:sz w:val="24"/>
          <w:szCs w:val="24"/>
          <w:lang w:val="es-419" w:eastAsia="pt-BR"/>
        </w:rPr>
        <w:t xml:space="preserve"> </w:t>
      </w:r>
      <w:proofErr w:type="spellStart"/>
      <w:r w:rsidRPr="007A1961">
        <w:rPr>
          <w:sz w:val="24"/>
          <w:szCs w:val="24"/>
          <w:lang w:val="es-419" w:eastAsia="pt-BR"/>
        </w:rPr>
        <w:t>advancing</w:t>
      </w:r>
      <w:proofErr w:type="spellEnd"/>
      <w:r w:rsidRPr="007A1961">
        <w:rPr>
          <w:sz w:val="24"/>
          <w:szCs w:val="24"/>
          <w:lang w:val="es-419" w:eastAsia="pt-BR"/>
        </w:rPr>
        <w:t xml:space="preserve"> </w:t>
      </w:r>
      <w:proofErr w:type="spellStart"/>
      <w:r w:rsidRPr="007A1961">
        <w:rPr>
          <w:sz w:val="24"/>
          <w:szCs w:val="24"/>
          <w:lang w:val="es-419" w:eastAsia="pt-BR"/>
        </w:rPr>
        <w:t>toward</w:t>
      </w:r>
      <w:proofErr w:type="spellEnd"/>
      <w:r w:rsidRPr="007A1961">
        <w:rPr>
          <w:sz w:val="24"/>
          <w:szCs w:val="24"/>
          <w:lang w:val="es-419" w:eastAsia="pt-BR"/>
        </w:rPr>
        <w:t xml:space="preserve"> a </w:t>
      </w:r>
      <w:proofErr w:type="spellStart"/>
      <w:r w:rsidRPr="007A1961">
        <w:rPr>
          <w:sz w:val="24"/>
          <w:szCs w:val="24"/>
          <w:lang w:val="es-419" w:eastAsia="pt-BR"/>
        </w:rPr>
        <w:t>cleaner</w:t>
      </w:r>
      <w:proofErr w:type="spellEnd"/>
      <w:r w:rsidRPr="007A1961">
        <w:rPr>
          <w:sz w:val="24"/>
          <w:szCs w:val="24"/>
          <w:lang w:val="es-419" w:eastAsia="pt-BR"/>
        </w:rPr>
        <w:t xml:space="preserve">, more </w:t>
      </w:r>
      <w:proofErr w:type="spellStart"/>
      <w:r w:rsidRPr="007A1961">
        <w:rPr>
          <w:sz w:val="24"/>
          <w:szCs w:val="24"/>
          <w:lang w:val="es-419" w:eastAsia="pt-BR"/>
        </w:rPr>
        <w:t>resilient</w:t>
      </w:r>
      <w:proofErr w:type="spellEnd"/>
      <w:r w:rsidRPr="007A1961">
        <w:rPr>
          <w:sz w:val="24"/>
          <w:szCs w:val="24"/>
          <w:lang w:val="es-419" w:eastAsia="pt-BR"/>
        </w:rPr>
        <w:t xml:space="preserve">, and </w:t>
      </w:r>
      <w:proofErr w:type="spellStart"/>
      <w:r w:rsidRPr="007A1961">
        <w:rPr>
          <w:sz w:val="24"/>
          <w:szCs w:val="24"/>
          <w:lang w:val="es-419" w:eastAsia="pt-BR"/>
        </w:rPr>
        <w:t>energy-sovereign</w:t>
      </w:r>
      <w:proofErr w:type="spellEnd"/>
      <w:r w:rsidRPr="007A1961">
        <w:rPr>
          <w:sz w:val="24"/>
          <w:szCs w:val="24"/>
          <w:lang w:val="es-419" w:eastAsia="pt-BR"/>
        </w:rPr>
        <w:t xml:space="preserve"> </w:t>
      </w:r>
      <w:proofErr w:type="spellStart"/>
      <w:r w:rsidRPr="007A1961">
        <w:rPr>
          <w:sz w:val="24"/>
          <w:szCs w:val="24"/>
          <w:lang w:val="es-419" w:eastAsia="pt-BR"/>
        </w:rPr>
        <w:t>tomorrow</w:t>
      </w:r>
      <w:proofErr w:type="spellEnd"/>
      <w:r w:rsidRPr="007A1961">
        <w:rPr>
          <w:sz w:val="24"/>
          <w:szCs w:val="24"/>
          <w:lang w:val="es-419" w:eastAsia="pt-BR"/>
        </w:rPr>
        <w:t>.</w:t>
      </w:r>
    </w:p>
    <w:p w:rsidR="00E060FB" w:rsidRDefault="00E060FB" w:rsidP="003205FD">
      <w:pPr>
        <w:jc w:val="both"/>
        <w:rPr>
          <w:sz w:val="24"/>
          <w:szCs w:val="24"/>
        </w:rPr>
      </w:pPr>
    </w:p>
    <w:p w:rsidR="003205FD" w:rsidRPr="002E04D4" w:rsidRDefault="003205FD" w:rsidP="003205FD">
      <w:pPr>
        <w:jc w:val="both"/>
        <w:rPr>
          <w:b/>
          <w:bCs/>
          <w:sz w:val="20"/>
          <w:szCs w:val="20"/>
        </w:rPr>
      </w:pPr>
      <w:r w:rsidRPr="002E04D4">
        <w:rPr>
          <w:b/>
          <w:bCs/>
          <w:sz w:val="20"/>
          <w:szCs w:val="20"/>
        </w:rPr>
        <w:t>Table 1 – Composition range of combustible gas mixtures</w:t>
      </w:r>
    </w:p>
    <w:tbl>
      <w:tblPr>
        <w:tblW w:w="4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73"/>
        <w:gridCol w:w="1141"/>
        <w:gridCol w:w="791"/>
        <w:gridCol w:w="977"/>
      </w:tblGrid>
      <w:tr w:rsidR="003205FD" w:rsidRPr="002E04D4" w:rsidTr="002E04D4">
        <w:trPr>
          <w:trHeight w:val="277"/>
        </w:trPr>
        <w:tc>
          <w:tcPr>
            <w:tcW w:w="0" w:type="auto"/>
            <w:vMerge w:val="restart"/>
            <w:vAlign w:val="center"/>
          </w:tcPr>
          <w:p w:rsidR="003205FD" w:rsidRPr="002E04D4" w:rsidRDefault="003205FD" w:rsidP="00DF022C">
            <w:pPr>
              <w:pStyle w:val="Tabelas"/>
              <w:spacing w:line="240" w:lineRule="auto"/>
              <w:rPr>
                <w:rFonts w:ascii="Times New Roman" w:hAnsi="Times New Roman"/>
              </w:rPr>
            </w:pPr>
            <w:proofErr w:type="spellStart"/>
            <w:r w:rsidRPr="002E04D4">
              <w:rPr>
                <w:rFonts w:ascii="Times New Roman" w:hAnsi="Times New Roman"/>
              </w:rPr>
              <w:t>Compounds</w:t>
            </w:r>
            <w:proofErr w:type="spellEnd"/>
          </w:p>
        </w:tc>
        <w:tc>
          <w:tcPr>
            <w:tcW w:w="0" w:type="auto"/>
            <w:gridSpan w:val="3"/>
            <w:vAlign w:val="center"/>
          </w:tcPr>
          <w:p w:rsidR="003205FD" w:rsidRPr="002E04D4" w:rsidRDefault="003205FD" w:rsidP="00DF022C">
            <w:pPr>
              <w:pStyle w:val="Tabelas"/>
              <w:spacing w:line="240" w:lineRule="auto"/>
              <w:jc w:val="center"/>
              <w:rPr>
                <w:rFonts w:ascii="Times New Roman" w:hAnsi="Times New Roman"/>
                <w:w w:val="90"/>
              </w:rPr>
            </w:pPr>
            <w:proofErr w:type="spellStart"/>
            <w:r w:rsidRPr="002E04D4">
              <w:rPr>
                <w:rFonts w:ascii="Times New Roman" w:hAnsi="Times New Roman"/>
              </w:rPr>
              <w:t>Concentration</w:t>
            </w:r>
            <w:proofErr w:type="spellEnd"/>
            <w:r w:rsidRPr="002E04D4">
              <w:rPr>
                <w:rFonts w:ascii="Times New Roman" w:hAnsi="Times New Roman"/>
              </w:rPr>
              <w:t xml:space="preserve"> </w:t>
            </w:r>
            <w:r w:rsidRPr="002E04D4">
              <w:rPr>
                <w:rFonts w:ascii="Times New Roman" w:hAnsi="Times New Roman"/>
                <w:spacing w:val="-5"/>
              </w:rPr>
              <w:t>(Vol. %)</w:t>
            </w:r>
          </w:p>
        </w:tc>
      </w:tr>
      <w:tr w:rsidR="003205FD" w:rsidRPr="002E04D4" w:rsidTr="002E04D4">
        <w:trPr>
          <w:trHeight w:val="272"/>
        </w:trPr>
        <w:tc>
          <w:tcPr>
            <w:tcW w:w="0" w:type="auto"/>
            <w:vMerge/>
          </w:tcPr>
          <w:p w:rsidR="003205FD" w:rsidRPr="002E04D4" w:rsidRDefault="003205FD" w:rsidP="00DF022C">
            <w:pPr>
              <w:pStyle w:val="Tabelas"/>
              <w:spacing w:line="240" w:lineRule="auto"/>
              <w:rPr>
                <w:rFonts w:ascii="Times New Roman" w:hAnsi="Times New Roman"/>
              </w:rPr>
            </w:pPr>
          </w:p>
        </w:tc>
        <w:tc>
          <w:tcPr>
            <w:tcW w:w="1141" w:type="dxa"/>
          </w:tcPr>
          <w:p w:rsidR="003205FD" w:rsidRPr="002E04D4" w:rsidRDefault="003205FD" w:rsidP="00DF022C">
            <w:pPr>
              <w:pStyle w:val="Tabelas"/>
              <w:spacing w:line="240" w:lineRule="auto"/>
              <w:jc w:val="center"/>
              <w:rPr>
                <w:rFonts w:ascii="Times New Roman" w:hAnsi="Times New Roman"/>
                <w:position w:val="5"/>
              </w:rPr>
            </w:pPr>
            <w:r w:rsidRPr="002E04D4">
              <w:rPr>
                <w:rFonts w:ascii="Times New Roman" w:hAnsi="Times New Roman"/>
              </w:rPr>
              <w:t>NG</w:t>
            </w:r>
          </w:p>
        </w:tc>
        <w:tc>
          <w:tcPr>
            <w:tcW w:w="791" w:type="dxa"/>
          </w:tcPr>
          <w:p w:rsidR="003205FD" w:rsidRPr="002E04D4" w:rsidRDefault="003205FD" w:rsidP="00DF022C">
            <w:pPr>
              <w:pStyle w:val="Tabelas"/>
              <w:spacing w:line="240" w:lineRule="auto"/>
              <w:jc w:val="center"/>
              <w:rPr>
                <w:rFonts w:ascii="Times New Roman" w:hAnsi="Times New Roman"/>
                <w:position w:val="5"/>
              </w:rPr>
            </w:pPr>
            <w:proofErr w:type="spellStart"/>
            <w:r w:rsidRPr="002E04D4">
              <w:rPr>
                <w:rFonts w:ascii="Times New Roman" w:hAnsi="Times New Roman"/>
              </w:rPr>
              <w:t>Biogas</w:t>
            </w:r>
            <w:proofErr w:type="spellEnd"/>
          </w:p>
        </w:tc>
        <w:tc>
          <w:tcPr>
            <w:tcW w:w="0" w:type="auto"/>
          </w:tcPr>
          <w:p w:rsidR="003205FD" w:rsidRPr="002E04D4" w:rsidRDefault="003205FD" w:rsidP="00DF022C">
            <w:pPr>
              <w:pStyle w:val="Tabelas"/>
              <w:spacing w:line="240" w:lineRule="auto"/>
              <w:jc w:val="center"/>
              <w:rPr>
                <w:rFonts w:ascii="Times New Roman" w:hAnsi="Times New Roman"/>
              </w:rPr>
            </w:pPr>
            <w:proofErr w:type="spellStart"/>
            <w:r w:rsidRPr="002E04D4">
              <w:rPr>
                <w:rFonts w:ascii="Times New Roman" w:hAnsi="Times New Roman"/>
              </w:rPr>
              <w:t>Biomethane</w:t>
            </w:r>
            <w:proofErr w:type="spellEnd"/>
          </w:p>
        </w:tc>
      </w:tr>
      <w:tr w:rsidR="003205FD" w:rsidRPr="002E04D4" w:rsidTr="002E04D4">
        <w:trPr>
          <w:trHeight w:val="272"/>
        </w:trPr>
        <w:tc>
          <w:tcPr>
            <w:tcW w:w="0" w:type="auto"/>
          </w:tcPr>
          <w:p w:rsidR="003205FD" w:rsidRPr="002E04D4" w:rsidRDefault="003205FD" w:rsidP="00DF022C">
            <w:pPr>
              <w:pStyle w:val="Tabelas"/>
              <w:spacing w:line="240" w:lineRule="auto"/>
              <w:rPr>
                <w:rFonts w:ascii="Times New Roman" w:hAnsi="Times New Roman"/>
              </w:rPr>
            </w:pPr>
            <w:proofErr w:type="spellStart"/>
            <w:r w:rsidRPr="002E04D4">
              <w:rPr>
                <w:rFonts w:ascii="Times New Roman" w:hAnsi="Times New Roman"/>
                <w:w w:val="105"/>
              </w:rPr>
              <w:t>Methane</w:t>
            </w:r>
            <w:proofErr w:type="spellEnd"/>
            <w:r w:rsidRPr="002E04D4">
              <w:rPr>
                <w:rFonts w:ascii="Times New Roman" w:hAnsi="Times New Roman"/>
                <w:spacing w:val="7"/>
                <w:w w:val="105"/>
              </w:rPr>
              <w:t xml:space="preserve"> </w:t>
            </w:r>
            <w:r w:rsidRPr="002E04D4">
              <w:rPr>
                <w:rFonts w:ascii="Times New Roman" w:hAnsi="Times New Roman"/>
                <w:spacing w:val="-2"/>
                <w:w w:val="105"/>
              </w:rPr>
              <w:t>(CH</w:t>
            </w:r>
            <w:r w:rsidRPr="002E04D4">
              <w:rPr>
                <w:rFonts w:ascii="Times New Roman" w:hAnsi="Times New Roman"/>
                <w:spacing w:val="-2"/>
                <w:w w:val="105"/>
                <w:vertAlign w:val="subscript"/>
              </w:rPr>
              <w:t>4</w:t>
            </w:r>
            <w:r w:rsidRPr="002E04D4">
              <w:rPr>
                <w:rFonts w:ascii="Times New Roman" w:hAnsi="Times New Roman"/>
                <w:spacing w:val="-2"/>
                <w:w w:val="105"/>
              </w:rPr>
              <w:t>)</w:t>
            </w:r>
          </w:p>
        </w:tc>
        <w:tc>
          <w:tcPr>
            <w:tcW w:w="1141" w:type="dxa"/>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91</w:t>
            </w:r>
          </w:p>
        </w:tc>
        <w:tc>
          <w:tcPr>
            <w:tcW w:w="791" w:type="dxa"/>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50-</w:t>
            </w:r>
            <w:r w:rsidRPr="002E04D4">
              <w:rPr>
                <w:rFonts w:ascii="Times New Roman" w:hAnsi="Times New Roman"/>
                <w:spacing w:val="-5"/>
              </w:rPr>
              <w:t>70</w:t>
            </w:r>
          </w:p>
        </w:tc>
        <w:tc>
          <w:tcPr>
            <w:tcW w:w="0" w:type="auto"/>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90-98</w:t>
            </w:r>
          </w:p>
        </w:tc>
      </w:tr>
      <w:tr w:rsidR="003205FD" w:rsidRPr="002E04D4" w:rsidTr="002E04D4">
        <w:trPr>
          <w:trHeight w:val="272"/>
        </w:trPr>
        <w:tc>
          <w:tcPr>
            <w:tcW w:w="0" w:type="auto"/>
          </w:tcPr>
          <w:p w:rsidR="003205FD" w:rsidRPr="002E04D4" w:rsidRDefault="003205FD" w:rsidP="00DF022C">
            <w:pPr>
              <w:pStyle w:val="Tabelas"/>
              <w:spacing w:line="240" w:lineRule="auto"/>
              <w:rPr>
                <w:rFonts w:ascii="Times New Roman" w:hAnsi="Times New Roman"/>
              </w:rPr>
            </w:pPr>
            <w:proofErr w:type="spellStart"/>
            <w:r w:rsidRPr="002E04D4">
              <w:rPr>
                <w:rFonts w:ascii="Times New Roman" w:hAnsi="Times New Roman"/>
              </w:rPr>
              <w:t>Carbon</w:t>
            </w:r>
            <w:proofErr w:type="spellEnd"/>
            <w:r w:rsidRPr="002E04D4">
              <w:rPr>
                <w:rFonts w:ascii="Times New Roman" w:hAnsi="Times New Roman"/>
              </w:rPr>
              <w:t xml:space="preserve"> </w:t>
            </w:r>
            <w:proofErr w:type="spellStart"/>
            <w:r w:rsidRPr="002E04D4">
              <w:rPr>
                <w:rFonts w:ascii="Times New Roman" w:hAnsi="Times New Roman"/>
              </w:rPr>
              <w:t>Dioxide</w:t>
            </w:r>
            <w:proofErr w:type="spellEnd"/>
            <w:r w:rsidRPr="002E04D4">
              <w:rPr>
                <w:rFonts w:ascii="Times New Roman" w:hAnsi="Times New Roman"/>
              </w:rPr>
              <w:t xml:space="preserve"> </w:t>
            </w:r>
            <w:r w:rsidRPr="002E04D4">
              <w:rPr>
                <w:rFonts w:ascii="Times New Roman" w:hAnsi="Times New Roman"/>
                <w:spacing w:val="-4"/>
              </w:rPr>
              <w:t>(CO</w:t>
            </w:r>
            <w:r w:rsidRPr="002E04D4">
              <w:rPr>
                <w:rFonts w:ascii="Times New Roman" w:hAnsi="Times New Roman"/>
                <w:spacing w:val="-4"/>
                <w:vertAlign w:val="subscript"/>
              </w:rPr>
              <w:t>2</w:t>
            </w:r>
            <w:r w:rsidRPr="002E04D4">
              <w:rPr>
                <w:rFonts w:ascii="Times New Roman" w:hAnsi="Times New Roman"/>
                <w:spacing w:val="-4"/>
              </w:rPr>
              <w:t>)</w:t>
            </w:r>
          </w:p>
        </w:tc>
        <w:tc>
          <w:tcPr>
            <w:tcW w:w="1141" w:type="dxa"/>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0,61</w:t>
            </w:r>
          </w:p>
        </w:tc>
        <w:tc>
          <w:tcPr>
            <w:tcW w:w="791" w:type="dxa"/>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25-</w:t>
            </w:r>
            <w:r w:rsidRPr="002E04D4">
              <w:rPr>
                <w:rFonts w:ascii="Times New Roman" w:hAnsi="Times New Roman"/>
                <w:spacing w:val="-5"/>
              </w:rPr>
              <w:t>40</w:t>
            </w:r>
          </w:p>
        </w:tc>
        <w:tc>
          <w:tcPr>
            <w:tcW w:w="0" w:type="auto"/>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0</w:t>
            </w:r>
          </w:p>
        </w:tc>
      </w:tr>
      <w:tr w:rsidR="003205FD" w:rsidRPr="002E04D4" w:rsidTr="002E04D4">
        <w:trPr>
          <w:trHeight w:val="272"/>
        </w:trPr>
        <w:tc>
          <w:tcPr>
            <w:tcW w:w="0" w:type="auto"/>
          </w:tcPr>
          <w:p w:rsidR="003205FD" w:rsidRPr="002E04D4" w:rsidRDefault="003205FD" w:rsidP="00DF022C">
            <w:pPr>
              <w:pStyle w:val="Tabelas"/>
              <w:spacing w:line="240" w:lineRule="auto"/>
              <w:rPr>
                <w:rFonts w:ascii="Times New Roman" w:hAnsi="Times New Roman"/>
              </w:rPr>
            </w:pPr>
            <w:proofErr w:type="spellStart"/>
            <w:r w:rsidRPr="002E04D4">
              <w:rPr>
                <w:rFonts w:ascii="Times New Roman" w:hAnsi="Times New Roman"/>
              </w:rPr>
              <w:t>Hydrogen</w:t>
            </w:r>
            <w:proofErr w:type="spellEnd"/>
            <w:r w:rsidRPr="002E04D4">
              <w:rPr>
                <w:rFonts w:ascii="Times New Roman" w:hAnsi="Times New Roman"/>
              </w:rPr>
              <w:t xml:space="preserve"> </w:t>
            </w:r>
            <w:proofErr w:type="spellStart"/>
            <w:r w:rsidRPr="002E04D4">
              <w:rPr>
                <w:rFonts w:ascii="Times New Roman" w:hAnsi="Times New Roman"/>
              </w:rPr>
              <w:t>Sulfide</w:t>
            </w:r>
            <w:proofErr w:type="spellEnd"/>
            <w:r w:rsidRPr="002E04D4">
              <w:rPr>
                <w:rFonts w:ascii="Times New Roman" w:hAnsi="Times New Roman"/>
              </w:rPr>
              <w:t xml:space="preserve"> </w:t>
            </w:r>
            <w:r w:rsidRPr="002E04D4">
              <w:rPr>
                <w:rFonts w:ascii="Times New Roman" w:hAnsi="Times New Roman"/>
                <w:spacing w:val="-2"/>
              </w:rPr>
              <w:t>(H</w:t>
            </w:r>
            <w:r w:rsidRPr="002E04D4">
              <w:rPr>
                <w:rFonts w:ascii="Times New Roman" w:hAnsi="Times New Roman"/>
                <w:spacing w:val="-2"/>
                <w:vertAlign w:val="subscript"/>
              </w:rPr>
              <w:t>2</w:t>
            </w:r>
            <w:r w:rsidRPr="002E04D4">
              <w:rPr>
                <w:rFonts w:ascii="Times New Roman" w:hAnsi="Times New Roman"/>
                <w:spacing w:val="-2"/>
              </w:rPr>
              <w:t>S)</w:t>
            </w:r>
          </w:p>
        </w:tc>
        <w:tc>
          <w:tcPr>
            <w:tcW w:w="1141" w:type="dxa"/>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&lt;</w:t>
            </w:r>
            <w:r w:rsidRPr="002E04D4">
              <w:rPr>
                <w:rFonts w:ascii="Times New Roman" w:hAnsi="Times New Roman"/>
                <w:spacing w:val="-4"/>
              </w:rPr>
              <w:t xml:space="preserve"> </w:t>
            </w:r>
            <w:r w:rsidRPr="002E04D4">
              <w:rPr>
                <w:rFonts w:ascii="Times New Roman" w:hAnsi="Times New Roman"/>
              </w:rPr>
              <w:t>0,001</w:t>
            </w:r>
          </w:p>
        </w:tc>
        <w:tc>
          <w:tcPr>
            <w:tcW w:w="791" w:type="dxa"/>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0,5-</w:t>
            </w:r>
            <w:r w:rsidRPr="002E04D4">
              <w:rPr>
                <w:rFonts w:ascii="Times New Roman" w:hAnsi="Times New Roman"/>
                <w:spacing w:val="-10"/>
              </w:rPr>
              <w:t>1</w:t>
            </w:r>
          </w:p>
        </w:tc>
        <w:tc>
          <w:tcPr>
            <w:tcW w:w="0" w:type="auto"/>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0</w:t>
            </w:r>
          </w:p>
        </w:tc>
      </w:tr>
      <w:tr w:rsidR="003205FD" w:rsidRPr="002E04D4" w:rsidTr="002E04D4">
        <w:trPr>
          <w:trHeight w:val="272"/>
        </w:trPr>
        <w:tc>
          <w:tcPr>
            <w:tcW w:w="0" w:type="auto"/>
          </w:tcPr>
          <w:p w:rsidR="003205FD" w:rsidRPr="002E04D4" w:rsidRDefault="003205FD" w:rsidP="00DF022C">
            <w:pPr>
              <w:pStyle w:val="Tabelas"/>
              <w:spacing w:line="240" w:lineRule="auto"/>
              <w:rPr>
                <w:rFonts w:ascii="Times New Roman" w:hAnsi="Times New Roman"/>
              </w:rPr>
            </w:pPr>
            <w:proofErr w:type="spellStart"/>
            <w:r w:rsidRPr="002E04D4">
              <w:rPr>
                <w:rFonts w:ascii="Times New Roman" w:hAnsi="Times New Roman"/>
                <w:w w:val="105"/>
              </w:rPr>
              <w:t>Nitrogen</w:t>
            </w:r>
            <w:proofErr w:type="spellEnd"/>
            <w:r w:rsidRPr="002E04D4">
              <w:rPr>
                <w:rFonts w:ascii="Times New Roman" w:hAnsi="Times New Roman"/>
                <w:spacing w:val="18"/>
                <w:w w:val="105"/>
              </w:rPr>
              <w:t xml:space="preserve"> </w:t>
            </w:r>
            <w:r w:rsidRPr="002E04D4">
              <w:rPr>
                <w:rFonts w:ascii="Times New Roman" w:hAnsi="Times New Roman"/>
                <w:spacing w:val="-4"/>
                <w:w w:val="105"/>
              </w:rPr>
              <w:t>(N</w:t>
            </w:r>
            <w:r w:rsidRPr="002E04D4">
              <w:rPr>
                <w:rFonts w:ascii="Times New Roman" w:hAnsi="Times New Roman"/>
                <w:spacing w:val="-4"/>
                <w:w w:val="105"/>
                <w:vertAlign w:val="subscript"/>
              </w:rPr>
              <w:t>2</w:t>
            </w:r>
            <w:r w:rsidRPr="002E04D4">
              <w:rPr>
                <w:rFonts w:ascii="Times New Roman" w:hAnsi="Times New Roman"/>
                <w:spacing w:val="-4"/>
                <w:w w:val="105"/>
              </w:rPr>
              <w:t>)</w:t>
            </w:r>
          </w:p>
        </w:tc>
        <w:tc>
          <w:tcPr>
            <w:tcW w:w="1141" w:type="dxa"/>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0,32</w:t>
            </w:r>
          </w:p>
        </w:tc>
        <w:tc>
          <w:tcPr>
            <w:tcW w:w="791" w:type="dxa"/>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&lt;</w:t>
            </w:r>
            <w:r w:rsidRPr="002E04D4">
              <w:rPr>
                <w:rFonts w:ascii="Times New Roman" w:hAnsi="Times New Roman"/>
                <w:spacing w:val="-4"/>
              </w:rPr>
              <w:t xml:space="preserve"> </w:t>
            </w:r>
            <w:r w:rsidRPr="002E04D4">
              <w:rPr>
                <w:rFonts w:ascii="Times New Roman" w:hAnsi="Times New Roman"/>
              </w:rPr>
              <w:t>0,001</w:t>
            </w:r>
          </w:p>
        </w:tc>
        <w:tc>
          <w:tcPr>
            <w:tcW w:w="0" w:type="auto"/>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0</w:t>
            </w:r>
          </w:p>
        </w:tc>
      </w:tr>
      <w:tr w:rsidR="003205FD" w:rsidRPr="002E04D4" w:rsidTr="002E04D4">
        <w:trPr>
          <w:trHeight w:val="272"/>
        </w:trPr>
        <w:tc>
          <w:tcPr>
            <w:tcW w:w="0" w:type="auto"/>
          </w:tcPr>
          <w:p w:rsidR="003205FD" w:rsidRPr="002E04D4" w:rsidRDefault="003205FD" w:rsidP="00DF022C">
            <w:pPr>
              <w:pStyle w:val="Tabelas"/>
              <w:spacing w:line="240" w:lineRule="auto"/>
              <w:rPr>
                <w:rFonts w:ascii="Times New Roman" w:hAnsi="Times New Roman"/>
              </w:rPr>
            </w:pPr>
            <w:proofErr w:type="spellStart"/>
            <w:r w:rsidRPr="002E04D4">
              <w:rPr>
                <w:rFonts w:ascii="Times New Roman" w:hAnsi="Times New Roman"/>
              </w:rPr>
              <w:t>Ammonia</w:t>
            </w:r>
            <w:proofErr w:type="spellEnd"/>
            <w:r w:rsidRPr="002E04D4">
              <w:rPr>
                <w:rFonts w:ascii="Times New Roman" w:hAnsi="Times New Roman"/>
              </w:rPr>
              <w:t xml:space="preserve"> </w:t>
            </w:r>
            <w:r w:rsidRPr="002E04D4">
              <w:rPr>
                <w:rFonts w:ascii="Times New Roman" w:hAnsi="Times New Roman"/>
                <w:spacing w:val="-2"/>
              </w:rPr>
              <w:t>(NH</w:t>
            </w:r>
            <w:r w:rsidRPr="002E04D4">
              <w:rPr>
                <w:rFonts w:ascii="Times New Roman" w:hAnsi="Times New Roman"/>
                <w:spacing w:val="-2"/>
                <w:vertAlign w:val="subscript"/>
              </w:rPr>
              <w:t>3</w:t>
            </w:r>
            <w:r w:rsidRPr="002E04D4">
              <w:rPr>
                <w:rFonts w:ascii="Times New Roman" w:hAnsi="Times New Roman"/>
                <w:spacing w:val="-2"/>
              </w:rPr>
              <w:t>)</w:t>
            </w:r>
          </w:p>
        </w:tc>
        <w:tc>
          <w:tcPr>
            <w:tcW w:w="1141" w:type="dxa"/>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&lt;</w:t>
            </w:r>
            <w:r w:rsidRPr="002E04D4">
              <w:rPr>
                <w:rFonts w:ascii="Times New Roman" w:hAnsi="Times New Roman"/>
                <w:spacing w:val="-4"/>
              </w:rPr>
              <w:t xml:space="preserve"> </w:t>
            </w:r>
            <w:r w:rsidRPr="002E04D4">
              <w:rPr>
                <w:rFonts w:ascii="Times New Roman" w:hAnsi="Times New Roman"/>
              </w:rPr>
              <w:t>0,001</w:t>
            </w:r>
          </w:p>
        </w:tc>
        <w:tc>
          <w:tcPr>
            <w:tcW w:w="791" w:type="dxa"/>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&lt; 0,01</w:t>
            </w:r>
          </w:p>
        </w:tc>
        <w:tc>
          <w:tcPr>
            <w:tcW w:w="0" w:type="auto"/>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0</w:t>
            </w:r>
          </w:p>
        </w:tc>
      </w:tr>
      <w:tr w:rsidR="003205FD" w:rsidRPr="002E04D4" w:rsidTr="002E04D4">
        <w:trPr>
          <w:trHeight w:val="277"/>
        </w:trPr>
        <w:tc>
          <w:tcPr>
            <w:tcW w:w="0" w:type="auto"/>
          </w:tcPr>
          <w:p w:rsidR="003205FD" w:rsidRPr="002E04D4" w:rsidRDefault="003205FD" w:rsidP="00DF022C">
            <w:pPr>
              <w:pStyle w:val="Tabelas"/>
              <w:spacing w:line="240" w:lineRule="auto"/>
              <w:rPr>
                <w:rFonts w:ascii="Times New Roman" w:hAnsi="Times New Roman"/>
              </w:rPr>
            </w:pPr>
            <w:proofErr w:type="spellStart"/>
            <w:r w:rsidRPr="002E04D4">
              <w:rPr>
                <w:rFonts w:ascii="Times New Roman" w:hAnsi="Times New Roman"/>
              </w:rPr>
              <w:t>Carbon</w:t>
            </w:r>
            <w:proofErr w:type="spellEnd"/>
            <w:r w:rsidRPr="002E04D4">
              <w:rPr>
                <w:rFonts w:ascii="Times New Roman" w:hAnsi="Times New Roman"/>
              </w:rPr>
              <w:t xml:space="preserve"> </w:t>
            </w:r>
            <w:proofErr w:type="spellStart"/>
            <w:r w:rsidRPr="002E04D4">
              <w:rPr>
                <w:rFonts w:ascii="Times New Roman" w:hAnsi="Times New Roman"/>
              </w:rPr>
              <w:t>Monoxide</w:t>
            </w:r>
            <w:proofErr w:type="spellEnd"/>
            <w:r w:rsidRPr="002E04D4">
              <w:rPr>
                <w:rFonts w:ascii="Times New Roman" w:hAnsi="Times New Roman"/>
              </w:rPr>
              <w:t xml:space="preserve"> </w:t>
            </w:r>
            <w:r w:rsidRPr="002E04D4">
              <w:rPr>
                <w:rFonts w:ascii="Times New Roman" w:hAnsi="Times New Roman"/>
                <w:spacing w:val="-4"/>
                <w:w w:val="105"/>
              </w:rPr>
              <w:t>(CO)</w:t>
            </w:r>
          </w:p>
        </w:tc>
        <w:tc>
          <w:tcPr>
            <w:tcW w:w="1141" w:type="dxa"/>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0</w:t>
            </w:r>
          </w:p>
        </w:tc>
        <w:tc>
          <w:tcPr>
            <w:tcW w:w="791" w:type="dxa"/>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&lt; 0,01</w:t>
            </w:r>
          </w:p>
        </w:tc>
        <w:tc>
          <w:tcPr>
            <w:tcW w:w="0" w:type="auto"/>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0</w:t>
            </w:r>
          </w:p>
        </w:tc>
      </w:tr>
      <w:tr w:rsidR="003205FD" w:rsidRPr="002E04D4" w:rsidTr="002E04D4">
        <w:trPr>
          <w:trHeight w:val="277"/>
        </w:trPr>
        <w:tc>
          <w:tcPr>
            <w:tcW w:w="0" w:type="auto"/>
            <w:vAlign w:val="center"/>
          </w:tcPr>
          <w:p w:rsidR="003205FD" w:rsidRPr="002E04D4" w:rsidRDefault="003205FD" w:rsidP="00DF022C">
            <w:pPr>
              <w:pStyle w:val="Tabelas"/>
              <w:spacing w:line="240" w:lineRule="auto"/>
              <w:rPr>
                <w:rFonts w:ascii="Times New Roman" w:hAnsi="Times New Roman"/>
                <w:w w:val="105"/>
              </w:rPr>
            </w:pPr>
            <w:proofErr w:type="spellStart"/>
            <w:r w:rsidRPr="002E04D4">
              <w:rPr>
                <w:rFonts w:ascii="Times New Roman" w:hAnsi="Times New Roman"/>
              </w:rPr>
              <w:t>Calorific</w:t>
            </w:r>
            <w:proofErr w:type="spellEnd"/>
            <w:r w:rsidRPr="002E04D4">
              <w:rPr>
                <w:rFonts w:ascii="Times New Roman" w:hAnsi="Times New Roman"/>
              </w:rPr>
              <w:t xml:space="preserve"> </w:t>
            </w:r>
            <w:proofErr w:type="spellStart"/>
            <w:r w:rsidRPr="002E04D4">
              <w:rPr>
                <w:rFonts w:ascii="Times New Roman" w:hAnsi="Times New Roman"/>
              </w:rPr>
              <w:t>Value</w:t>
            </w:r>
            <w:proofErr w:type="spellEnd"/>
            <w:r w:rsidRPr="002E04D4">
              <w:rPr>
                <w:rFonts w:ascii="Times New Roman" w:hAnsi="Times New Roman"/>
              </w:rPr>
              <w:t xml:space="preserve"> </w:t>
            </w:r>
            <w:r w:rsidRPr="002E04D4">
              <w:rPr>
                <w:rFonts w:ascii="Times New Roman" w:hAnsi="Times New Roman"/>
                <w:w w:val="105"/>
              </w:rPr>
              <w:t>[MJ/</w:t>
            </w:r>
            <w:proofErr w:type="spellStart"/>
            <w:r w:rsidRPr="002E04D4">
              <w:rPr>
                <w:rFonts w:ascii="Times New Roman" w:hAnsi="Times New Roman"/>
                <w:w w:val="105"/>
              </w:rPr>
              <w:t>Nm</w:t>
            </w:r>
            <w:proofErr w:type="spellEnd"/>
            <w:r w:rsidRPr="002E04D4">
              <w:rPr>
                <w:rFonts w:ascii="Times New Roman" w:hAnsi="Times New Roman"/>
                <w:w w:val="105"/>
              </w:rPr>
              <w:t>³]</w:t>
            </w:r>
          </w:p>
        </w:tc>
        <w:tc>
          <w:tcPr>
            <w:tcW w:w="1141" w:type="dxa"/>
            <w:vAlign w:val="center"/>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27</w:t>
            </w:r>
          </w:p>
        </w:tc>
        <w:tc>
          <w:tcPr>
            <w:tcW w:w="791" w:type="dxa"/>
            <w:vAlign w:val="center"/>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20–25</w:t>
            </w:r>
          </w:p>
        </w:tc>
        <w:tc>
          <w:tcPr>
            <w:tcW w:w="0" w:type="auto"/>
            <w:vAlign w:val="center"/>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35–39</w:t>
            </w:r>
          </w:p>
        </w:tc>
      </w:tr>
      <w:tr w:rsidR="003205FD" w:rsidRPr="002E04D4" w:rsidTr="002E04D4">
        <w:trPr>
          <w:trHeight w:val="277"/>
        </w:trPr>
        <w:tc>
          <w:tcPr>
            <w:tcW w:w="0" w:type="auto"/>
            <w:vAlign w:val="center"/>
          </w:tcPr>
          <w:p w:rsidR="003205FD" w:rsidRPr="002E04D4" w:rsidRDefault="003205FD" w:rsidP="00DF022C">
            <w:pPr>
              <w:pStyle w:val="Tabelas"/>
              <w:spacing w:line="240" w:lineRule="auto"/>
              <w:rPr>
                <w:rFonts w:ascii="Times New Roman" w:hAnsi="Times New Roman"/>
                <w:w w:val="105"/>
              </w:rPr>
            </w:pPr>
            <w:proofErr w:type="spellStart"/>
            <w:r w:rsidRPr="002E04D4">
              <w:rPr>
                <w:rFonts w:ascii="Times New Roman" w:hAnsi="Times New Roman"/>
              </w:rPr>
              <w:t>Directly</w:t>
            </w:r>
            <w:proofErr w:type="spellEnd"/>
            <w:r w:rsidRPr="002E04D4">
              <w:rPr>
                <w:rFonts w:ascii="Times New Roman" w:hAnsi="Times New Roman"/>
              </w:rPr>
              <w:t xml:space="preserve"> </w:t>
            </w:r>
            <w:proofErr w:type="spellStart"/>
            <w:r w:rsidRPr="002E04D4">
              <w:rPr>
                <w:rFonts w:ascii="Times New Roman" w:hAnsi="Times New Roman"/>
              </w:rPr>
              <w:t>replaces</w:t>
            </w:r>
            <w:proofErr w:type="spellEnd"/>
            <w:r w:rsidRPr="002E04D4">
              <w:rPr>
                <w:rFonts w:ascii="Times New Roman" w:hAnsi="Times New Roman"/>
              </w:rPr>
              <w:t xml:space="preserve"> NG?</w:t>
            </w:r>
          </w:p>
        </w:tc>
        <w:tc>
          <w:tcPr>
            <w:tcW w:w="1141" w:type="dxa"/>
            <w:vAlign w:val="center"/>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w:t>
            </w:r>
          </w:p>
        </w:tc>
        <w:tc>
          <w:tcPr>
            <w:tcW w:w="791" w:type="dxa"/>
            <w:vAlign w:val="center"/>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No</w:t>
            </w:r>
          </w:p>
        </w:tc>
        <w:tc>
          <w:tcPr>
            <w:tcW w:w="0" w:type="auto"/>
            <w:vAlign w:val="center"/>
          </w:tcPr>
          <w:p w:rsidR="003205FD" w:rsidRPr="002E04D4" w:rsidRDefault="003205FD" w:rsidP="00DF022C">
            <w:pPr>
              <w:pStyle w:val="Tabelas"/>
              <w:spacing w:line="240" w:lineRule="auto"/>
              <w:jc w:val="center"/>
              <w:rPr>
                <w:rFonts w:ascii="Times New Roman" w:hAnsi="Times New Roman"/>
              </w:rPr>
            </w:pPr>
            <w:r w:rsidRPr="002E04D4">
              <w:rPr>
                <w:rFonts w:ascii="Times New Roman" w:hAnsi="Times New Roman"/>
              </w:rPr>
              <w:t>Yes</w:t>
            </w:r>
          </w:p>
        </w:tc>
      </w:tr>
    </w:tbl>
    <w:p w:rsidR="003205FD" w:rsidRPr="002E04D4" w:rsidRDefault="003205FD" w:rsidP="003205FD">
      <w:pPr>
        <w:jc w:val="both"/>
        <w:rPr>
          <w:sz w:val="20"/>
          <w:szCs w:val="20"/>
        </w:rPr>
      </w:pPr>
      <w:r w:rsidRPr="002E04D4">
        <w:rPr>
          <w:sz w:val="20"/>
          <w:szCs w:val="20"/>
        </w:rPr>
        <w:t>Source: prepared by the Authors based on [5] and [6].</w:t>
      </w:r>
    </w:p>
    <w:p w:rsidR="003205FD" w:rsidRPr="008B5241" w:rsidRDefault="003205FD" w:rsidP="003205FD">
      <w:pPr>
        <w:jc w:val="both"/>
        <w:rPr>
          <w:sz w:val="24"/>
          <w:szCs w:val="24"/>
        </w:rPr>
      </w:pPr>
    </w:p>
    <w:p w:rsidR="003205FD" w:rsidRPr="00143552" w:rsidRDefault="003205FD" w:rsidP="00AA6B54">
      <w:pPr>
        <w:spacing w:line="360" w:lineRule="auto"/>
        <w:jc w:val="both"/>
        <w:rPr>
          <w:b/>
          <w:bCs/>
          <w:sz w:val="24"/>
          <w:szCs w:val="24"/>
        </w:rPr>
      </w:pPr>
      <w:r w:rsidRPr="00143552">
        <w:rPr>
          <w:b/>
          <w:bCs/>
          <w:sz w:val="24"/>
          <w:szCs w:val="24"/>
        </w:rPr>
        <w:t>2. MATERIALS AND METHODS</w:t>
      </w:r>
    </w:p>
    <w:p w:rsidR="003205FD" w:rsidRDefault="003205FD" w:rsidP="003205FD">
      <w:pPr>
        <w:jc w:val="both"/>
        <w:rPr>
          <w:sz w:val="24"/>
          <w:szCs w:val="24"/>
        </w:rPr>
      </w:pPr>
      <w:r w:rsidRPr="008B5241">
        <w:rPr>
          <w:sz w:val="24"/>
          <w:szCs w:val="24"/>
        </w:rPr>
        <w:t>The methodology adopted in this work was exploratory and descriptive research, based on bibliographic and documentary research, with indirect data collection from official agencies and public and private institutions. It also considered scientific literature, technical production, sector reports, and legal and technical standards related to biomethane in Brazil. The collected data were analyzed qualitatively and quantitatively, with the deductive method being the central vector for conducting the work. The analysis of the collected data allowed us to describe the characteristics of the biomethane sector in Brazil.</w:t>
      </w:r>
    </w:p>
    <w:p w:rsidR="00AA6B54" w:rsidRDefault="00AA6B54" w:rsidP="003205FD">
      <w:pPr>
        <w:jc w:val="both"/>
        <w:rPr>
          <w:sz w:val="24"/>
          <w:szCs w:val="24"/>
        </w:rPr>
      </w:pPr>
    </w:p>
    <w:p w:rsidR="00E060FB" w:rsidRPr="008B5241" w:rsidRDefault="00E060FB" w:rsidP="003205FD">
      <w:pPr>
        <w:jc w:val="both"/>
        <w:rPr>
          <w:sz w:val="24"/>
          <w:szCs w:val="24"/>
        </w:rPr>
      </w:pPr>
    </w:p>
    <w:p w:rsidR="003205FD" w:rsidRPr="00143552" w:rsidRDefault="003205FD" w:rsidP="00AA6B54">
      <w:pPr>
        <w:spacing w:line="360" w:lineRule="auto"/>
        <w:jc w:val="both"/>
        <w:rPr>
          <w:b/>
          <w:bCs/>
          <w:sz w:val="24"/>
          <w:szCs w:val="24"/>
        </w:rPr>
      </w:pPr>
      <w:r w:rsidRPr="00143552">
        <w:rPr>
          <w:b/>
          <w:bCs/>
          <w:sz w:val="24"/>
          <w:szCs w:val="24"/>
        </w:rPr>
        <w:t>3. ENERGY OVERVIEW OF BRAZIL</w:t>
      </w:r>
    </w:p>
    <w:p w:rsidR="003205FD" w:rsidRDefault="003205FD" w:rsidP="003205FD">
      <w:pPr>
        <w:jc w:val="both"/>
        <w:rPr>
          <w:sz w:val="24"/>
          <w:szCs w:val="24"/>
        </w:rPr>
      </w:pPr>
      <w:r w:rsidRPr="008B5241">
        <w:rPr>
          <w:sz w:val="24"/>
          <w:szCs w:val="24"/>
        </w:rPr>
        <w:t xml:space="preserve">The analysis of the National Energy Balance 2025 </w:t>
      </w:r>
      <w:r>
        <w:rPr>
          <w:sz w:val="24"/>
          <w:szCs w:val="24"/>
        </w:rPr>
        <w:t xml:space="preserve">[6] </w:t>
      </w:r>
      <w:r w:rsidRPr="008B5241">
        <w:rPr>
          <w:sz w:val="24"/>
          <w:szCs w:val="24"/>
        </w:rPr>
        <w:t>shows that combustion is responsible for 81% of the country's Internal Energy Supply (OIE) (Table 2).</w:t>
      </w:r>
    </w:p>
    <w:p w:rsidR="004D0293" w:rsidRDefault="004D0293" w:rsidP="003205FD">
      <w:pPr>
        <w:jc w:val="both"/>
        <w:rPr>
          <w:sz w:val="24"/>
          <w:szCs w:val="24"/>
        </w:rPr>
      </w:pPr>
    </w:p>
    <w:p w:rsidR="00E060FB" w:rsidRDefault="00E060FB" w:rsidP="003205FD">
      <w:pPr>
        <w:jc w:val="both"/>
        <w:rPr>
          <w:sz w:val="24"/>
          <w:szCs w:val="24"/>
        </w:rPr>
      </w:pPr>
    </w:p>
    <w:p w:rsidR="003205FD" w:rsidRPr="004D0293" w:rsidRDefault="003205FD" w:rsidP="003205FD">
      <w:pPr>
        <w:jc w:val="both"/>
        <w:rPr>
          <w:b/>
          <w:bCs/>
          <w:sz w:val="20"/>
          <w:szCs w:val="20"/>
        </w:rPr>
      </w:pPr>
      <w:r w:rsidRPr="004D0293">
        <w:rPr>
          <w:b/>
          <w:bCs/>
          <w:sz w:val="20"/>
          <w:szCs w:val="20"/>
        </w:rPr>
        <w:t>Table 2 - Breakdown of Internal Energy Supply - OIE</w:t>
      </w:r>
    </w:p>
    <w:tbl>
      <w:tblPr>
        <w:tblW w:w="0" w:type="auto"/>
        <w:tblCellMar>
          <w:left w:w="70" w:type="dxa"/>
          <w:right w:w="70" w:type="dxa"/>
        </w:tblCellMar>
        <w:tblLook w:val="00A0" w:firstRow="1" w:lastRow="0" w:firstColumn="1" w:lastColumn="0" w:noHBand="0" w:noVBand="0"/>
      </w:tblPr>
      <w:tblGrid>
        <w:gridCol w:w="4171"/>
        <w:gridCol w:w="437"/>
      </w:tblGrid>
      <w:tr w:rsidR="002E04D4" w:rsidRPr="008B5241" w:rsidTr="007B108B">
        <w:trPr>
          <w:trHeight w:val="227"/>
        </w:trPr>
        <w:tc>
          <w:tcPr>
            <w:tcW w:w="0" w:type="auto"/>
            <w:tcBorders>
              <w:top w:val="single" w:sz="8" w:space="0" w:color="auto"/>
              <w:left w:val="nil"/>
              <w:bottom w:val="single" w:sz="4" w:space="0" w:color="auto"/>
              <w:right w:val="nil"/>
            </w:tcBorders>
            <w:shd w:val="clear" w:color="000000" w:fill="FFFFFF"/>
            <w:noWrap/>
            <w:vAlign w:val="center"/>
          </w:tcPr>
          <w:p w:rsidR="003205FD" w:rsidRPr="002E04D4" w:rsidRDefault="003205FD" w:rsidP="002E04D4">
            <w:pPr>
              <w:rPr>
                <w:b/>
                <w:bCs/>
                <w:sz w:val="20"/>
                <w:szCs w:val="20"/>
              </w:rPr>
            </w:pPr>
            <w:r w:rsidRPr="002E04D4">
              <w:rPr>
                <w:b/>
                <w:bCs/>
                <w:sz w:val="20"/>
                <w:szCs w:val="20"/>
              </w:rPr>
              <w:t>SOURCES</w:t>
            </w:r>
          </w:p>
        </w:tc>
        <w:tc>
          <w:tcPr>
            <w:tcW w:w="0" w:type="auto"/>
            <w:tcBorders>
              <w:top w:val="single" w:sz="8" w:space="0" w:color="auto"/>
              <w:left w:val="nil"/>
              <w:bottom w:val="single" w:sz="4" w:space="0" w:color="auto"/>
              <w:right w:val="nil"/>
            </w:tcBorders>
            <w:shd w:val="clear" w:color="000000" w:fill="FFFFFF"/>
            <w:vAlign w:val="center"/>
          </w:tcPr>
          <w:p w:rsidR="003205FD" w:rsidRPr="002E04D4" w:rsidRDefault="003205FD" w:rsidP="007B108B">
            <w:pPr>
              <w:jc w:val="both"/>
              <w:rPr>
                <w:b/>
                <w:bCs/>
                <w:sz w:val="18"/>
                <w:szCs w:val="18"/>
              </w:rPr>
            </w:pPr>
            <w:r w:rsidRPr="002E04D4">
              <w:rPr>
                <w:b/>
                <w:bCs/>
                <w:sz w:val="18"/>
                <w:szCs w:val="18"/>
              </w:rPr>
              <w:t>[%]</w:t>
            </w:r>
          </w:p>
        </w:tc>
      </w:tr>
      <w:tr w:rsidR="002E04D4" w:rsidRPr="008B5241" w:rsidTr="007B108B">
        <w:trPr>
          <w:trHeight w:val="227"/>
        </w:trPr>
        <w:tc>
          <w:tcPr>
            <w:tcW w:w="0" w:type="auto"/>
            <w:tcBorders>
              <w:top w:val="nil"/>
              <w:left w:val="nil"/>
              <w:bottom w:val="nil"/>
              <w:right w:val="nil"/>
            </w:tcBorders>
            <w:shd w:val="clear" w:color="000000" w:fill="FFFFFF"/>
            <w:noWrap/>
            <w:vAlign w:val="center"/>
          </w:tcPr>
          <w:p w:rsidR="003205FD" w:rsidRPr="002E04D4" w:rsidRDefault="003205FD" w:rsidP="002E04D4">
            <w:pPr>
              <w:rPr>
                <w:sz w:val="20"/>
                <w:szCs w:val="20"/>
              </w:rPr>
            </w:pPr>
            <w:r w:rsidRPr="002E04D4">
              <w:rPr>
                <w:sz w:val="20"/>
                <w:szCs w:val="20"/>
              </w:rPr>
              <w:t>Combustion - Oil and Derivatives</w:t>
            </w:r>
          </w:p>
        </w:tc>
        <w:tc>
          <w:tcPr>
            <w:tcW w:w="0" w:type="auto"/>
            <w:tcBorders>
              <w:top w:val="nil"/>
              <w:left w:val="nil"/>
              <w:bottom w:val="nil"/>
              <w:right w:val="nil"/>
            </w:tcBorders>
            <w:shd w:val="clear" w:color="000000" w:fill="FFFFFF"/>
            <w:vAlign w:val="center"/>
          </w:tcPr>
          <w:p w:rsidR="003205FD" w:rsidRPr="00DF022C" w:rsidRDefault="003205FD" w:rsidP="00DF022C">
            <w:pPr>
              <w:jc w:val="right"/>
              <w:rPr>
                <w:sz w:val="20"/>
                <w:szCs w:val="20"/>
              </w:rPr>
            </w:pPr>
            <w:r w:rsidRPr="00DF022C">
              <w:rPr>
                <w:sz w:val="20"/>
                <w:szCs w:val="20"/>
              </w:rPr>
              <w:t>34</w:t>
            </w:r>
          </w:p>
        </w:tc>
      </w:tr>
      <w:tr w:rsidR="002E04D4" w:rsidRPr="008B5241" w:rsidTr="007B108B">
        <w:trPr>
          <w:trHeight w:val="227"/>
        </w:trPr>
        <w:tc>
          <w:tcPr>
            <w:tcW w:w="0" w:type="auto"/>
            <w:tcBorders>
              <w:top w:val="nil"/>
              <w:left w:val="nil"/>
              <w:bottom w:val="nil"/>
              <w:right w:val="nil"/>
            </w:tcBorders>
            <w:shd w:val="clear" w:color="000000" w:fill="FFFFFF"/>
            <w:noWrap/>
            <w:vAlign w:val="center"/>
          </w:tcPr>
          <w:p w:rsidR="003205FD" w:rsidRPr="002E04D4" w:rsidRDefault="003205FD" w:rsidP="002E04D4">
            <w:pPr>
              <w:rPr>
                <w:sz w:val="20"/>
                <w:szCs w:val="20"/>
              </w:rPr>
            </w:pPr>
            <w:r w:rsidRPr="002E04D4">
              <w:rPr>
                <w:sz w:val="20"/>
                <w:szCs w:val="20"/>
              </w:rPr>
              <w:t>Combustion - Sugarcane Biomass</w:t>
            </w:r>
          </w:p>
        </w:tc>
        <w:tc>
          <w:tcPr>
            <w:tcW w:w="0" w:type="auto"/>
            <w:tcBorders>
              <w:top w:val="nil"/>
              <w:left w:val="nil"/>
              <w:bottom w:val="nil"/>
              <w:right w:val="nil"/>
            </w:tcBorders>
            <w:shd w:val="clear" w:color="000000" w:fill="FFFFFF"/>
            <w:vAlign w:val="center"/>
          </w:tcPr>
          <w:p w:rsidR="003205FD" w:rsidRPr="00DF022C" w:rsidRDefault="003205FD" w:rsidP="00DF022C">
            <w:pPr>
              <w:jc w:val="right"/>
              <w:rPr>
                <w:sz w:val="20"/>
                <w:szCs w:val="20"/>
              </w:rPr>
            </w:pPr>
            <w:r w:rsidRPr="00DF022C">
              <w:rPr>
                <w:sz w:val="20"/>
                <w:szCs w:val="20"/>
              </w:rPr>
              <w:t>17</w:t>
            </w:r>
          </w:p>
        </w:tc>
      </w:tr>
      <w:tr w:rsidR="002E04D4" w:rsidRPr="008B5241" w:rsidTr="007B108B">
        <w:trPr>
          <w:trHeight w:val="227"/>
        </w:trPr>
        <w:tc>
          <w:tcPr>
            <w:tcW w:w="0" w:type="auto"/>
            <w:tcBorders>
              <w:top w:val="nil"/>
              <w:left w:val="nil"/>
              <w:bottom w:val="nil"/>
              <w:right w:val="nil"/>
            </w:tcBorders>
            <w:shd w:val="clear" w:color="000000" w:fill="FFFFFF"/>
            <w:noWrap/>
            <w:vAlign w:val="center"/>
          </w:tcPr>
          <w:p w:rsidR="003205FD" w:rsidRPr="002E04D4" w:rsidRDefault="003205FD" w:rsidP="002E04D4">
            <w:pPr>
              <w:rPr>
                <w:sz w:val="20"/>
                <w:szCs w:val="20"/>
              </w:rPr>
            </w:pPr>
            <w:r w:rsidRPr="002E04D4">
              <w:rPr>
                <w:sz w:val="20"/>
                <w:szCs w:val="20"/>
              </w:rPr>
              <w:t>Combustion - Natural Gas</w:t>
            </w:r>
          </w:p>
        </w:tc>
        <w:tc>
          <w:tcPr>
            <w:tcW w:w="0" w:type="auto"/>
            <w:tcBorders>
              <w:top w:val="nil"/>
              <w:left w:val="nil"/>
              <w:bottom w:val="nil"/>
              <w:right w:val="nil"/>
            </w:tcBorders>
            <w:shd w:val="clear" w:color="000000" w:fill="FFFFFF"/>
            <w:vAlign w:val="center"/>
          </w:tcPr>
          <w:p w:rsidR="003205FD" w:rsidRPr="00DF022C" w:rsidRDefault="003205FD" w:rsidP="00DF022C">
            <w:pPr>
              <w:jc w:val="right"/>
              <w:rPr>
                <w:sz w:val="20"/>
                <w:szCs w:val="20"/>
              </w:rPr>
            </w:pPr>
            <w:r w:rsidRPr="00DF022C">
              <w:rPr>
                <w:sz w:val="20"/>
                <w:szCs w:val="20"/>
              </w:rPr>
              <w:t>10</w:t>
            </w:r>
          </w:p>
        </w:tc>
      </w:tr>
      <w:tr w:rsidR="002E04D4" w:rsidRPr="008B5241" w:rsidTr="007B108B">
        <w:trPr>
          <w:trHeight w:val="227"/>
        </w:trPr>
        <w:tc>
          <w:tcPr>
            <w:tcW w:w="0" w:type="auto"/>
            <w:tcBorders>
              <w:top w:val="nil"/>
              <w:left w:val="nil"/>
              <w:bottom w:val="nil"/>
              <w:right w:val="nil"/>
            </w:tcBorders>
            <w:shd w:val="clear" w:color="000000" w:fill="FFFFFF"/>
            <w:noWrap/>
            <w:vAlign w:val="center"/>
          </w:tcPr>
          <w:p w:rsidR="003205FD" w:rsidRPr="002E04D4" w:rsidRDefault="003205FD" w:rsidP="002E04D4">
            <w:pPr>
              <w:rPr>
                <w:sz w:val="20"/>
                <w:szCs w:val="20"/>
              </w:rPr>
            </w:pPr>
            <w:r w:rsidRPr="002E04D4">
              <w:rPr>
                <w:sz w:val="20"/>
                <w:szCs w:val="20"/>
              </w:rPr>
              <w:t>Combustion - Firewood and Charcoal</w:t>
            </w:r>
          </w:p>
        </w:tc>
        <w:tc>
          <w:tcPr>
            <w:tcW w:w="0" w:type="auto"/>
            <w:tcBorders>
              <w:top w:val="nil"/>
              <w:left w:val="nil"/>
              <w:bottom w:val="nil"/>
              <w:right w:val="nil"/>
            </w:tcBorders>
            <w:shd w:val="clear" w:color="000000" w:fill="FFFFFF"/>
            <w:vAlign w:val="center"/>
          </w:tcPr>
          <w:p w:rsidR="003205FD" w:rsidRPr="00DF022C" w:rsidRDefault="003205FD" w:rsidP="00DF022C">
            <w:pPr>
              <w:jc w:val="right"/>
              <w:rPr>
                <w:sz w:val="20"/>
                <w:szCs w:val="20"/>
              </w:rPr>
            </w:pPr>
            <w:r w:rsidRPr="00DF022C">
              <w:rPr>
                <w:sz w:val="20"/>
                <w:szCs w:val="20"/>
              </w:rPr>
              <w:t>8</w:t>
            </w:r>
          </w:p>
        </w:tc>
      </w:tr>
      <w:tr w:rsidR="002E04D4" w:rsidRPr="008B5241" w:rsidTr="007B108B">
        <w:trPr>
          <w:trHeight w:val="227"/>
        </w:trPr>
        <w:tc>
          <w:tcPr>
            <w:tcW w:w="0" w:type="auto"/>
            <w:tcBorders>
              <w:top w:val="nil"/>
              <w:left w:val="nil"/>
              <w:bottom w:val="nil"/>
              <w:right w:val="nil"/>
            </w:tcBorders>
            <w:shd w:val="clear" w:color="000000" w:fill="FFFFFF"/>
            <w:noWrap/>
            <w:vAlign w:val="center"/>
          </w:tcPr>
          <w:p w:rsidR="003205FD" w:rsidRPr="002E04D4" w:rsidRDefault="003205FD" w:rsidP="002E04D4">
            <w:pPr>
              <w:rPr>
                <w:sz w:val="20"/>
                <w:szCs w:val="20"/>
              </w:rPr>
            </w:pPr>
            <w:r w:rsidRPr="002E04D4">
              <w:rPr>
                <w:sz w:val="20"/>
                <w:szCs w:val="20"/>
              </w:rPr>
              <w:t>Combustion</w:t>
            </w:r>
            <w:r w:rsidR="002E04D4" w:rsidRPr="002E04D4">
              <w:rPr>
                <w:sz w:val="20"/>
                <w:szCs w:val="20"/>
              </w:rPr>
              <w:t xml:space="preserve"> </w:t>
            </w:r>
            <w:r w:rsidRPr="002E04D4">
              <w:rPr>
                <w:sz w:val="20"/>
                <w:szCs w:val="20"/>
              </w:rPr>
              <w:t>- Black Liquor and Other Renewables</w:t>
            </w:r>
          </w:p>
        </w:tc>
        <w:tc>
          <w:tcPr>
            <w:tcW w:w="0" w:type="auto"/>
            <w:tcBorders>
              <w:top w:val="nil"/>
              <w:left w:val="nil"/>
              <w:bottom w:val="nil"/>
              <w:right w:val="nil"/>
            </w:tcBorders>
            <w:shd w:val="clear" w:color="000000" w:fill="FFFFFF"/>
            <w:vAlign w:val="center"/>
          </w:tcPr>
          <w:p w:rsidR="003205FD" w:rsidRPr="00DF022C" w:rsidRDefault="003205FD" w:rsidP="00DF022C">
            <w:pPr>
              <w:jc w:val="right"/>
              <w:rPr>
                <w:sz w:val="20"/>
                <w:szCs w:val="20"/>
              </w:rPr>
            </w:pPr>
            <w:r w:rsidRPr="00DF022C">
              <w:rPr>
                <w:sz w:val="20"/>
                <w:szCs w:val="20"/>
              </w:rPr>
              <w:t>8</w:t>
            </w:r>
          </w:p>
        </w:tc>
      </w:tr>
      <w:tr w:rsidR="002E04D4" w:rsidRPr="008B5241" w:rsidTr="007B108B">
        <w:trPr>
          <w:trHeight w:val="227"/>
        </w:trPr>
        <w:tc>
          <w:tcPr>
            <w:tcW w:w="0" w:type="auto"/>
            <w:tcBorders>
              <w:top w:val="nil"/>
              <w:left w:val="nil"/>
              <w:bottom w:val="nil"/>
              <w:right w:val="nil"/>
            </w:tcBorders>
            <w:shd w:val="clear" w:color="000000" w:fill="FFFFFF"/>
            <w:noWrap/>
            <w:vAlign w:val="center"/>
          </w:tcPr>
          <w:p w:rsidR="003205FD" w:rsidRPr="002E04D4" w:rsidRDefault="003205FD" w:rsidP="002E04D4">
            <w:pPr>
              <w:rPr>
                <w:sz w:val="20"/>
                <w:szCs w:val="20"/>
              </w:rPr>
            </w:pPr>
            <w:r w:rsidRPr="002E04D4">
              <w:rPr>
                <w:sz w:val="20"/>
                <w:szCs w:val="20"/>
              </w:rPr>
              <w:t>Combustion of Mineral Coal</w:t>
            </w:r>
          </w:p>
        </w:tc>
        <w:tc>
          <w:tcPr>
            <w:tcW w:w="0" w:type="auto"/>
            <w:tcBorders>
              <w:top w:val="nil"/>
              <w:left w:val="nil"/>
              <w:bottom w:val="nil"/>
              <w:right w:val="nil"/>
            </w:tcBorders>
            <w:shd w:val="clear" w:color="000000" w:fill="FFFFFF"/>
            <w:vAlign w:val="center"/>
          </w:tcPr>
          <w:p w:rsidR="003205FD" w:rsidRPr="00DF022C" w:rsidRDefault="003205FD" w:rsidP="00DF022C">
            <w:pPr>
              <w:jc w:val="right"/>
              <w:rPr>
                <w:sz w:val="20"/>
                <w:szCs w:val="20"/>
              </w:rPr>
            </w:pPr>
            <w:r w:rsidRPr="00DF022C">
              <w:rPr>
                <w:sz w:val="20"/>
                <w:szCs w:val="20"/>
              </w:rPr>
              <w:t>4</w:t>
            </w:r>
          </w:p>
        </w:tc>
      </w:tr>
      <w:tr w:rsidR="002E04D4" w:rsidRPr="008B5241" w:rsidTr="007B108B">
        <w:trPr>
          <w:trHeight w:val="227"/>
        </w:trPr>
        <w:tc>
          <w:tcPr>
            <w:tcW w:w="0" w:type="auto"/>
            <w:tcBorders>
              <w:top w:val="nil"/>
              <w:left w:val="nil"/>
              <w:bottom w:val="nil"/>
              <w:right w:val="nil"/>
            </w:tcBorders>
            <w:shd w:val="clear" w:color="000000" w:fill="FFFFFF"/>
            <w:noWrap/>
            <w:vAlign w:val="center"/>
          </w:tcPr>
          <w:p w:rsidR="003205FD" w:rsidRPr="002E04D4" w:rsidRDefault="003205FD" w:rsidP="002E04D4">
            <w:pPr>
              <w:rPr>
                <w:sz w:val="20"/>
                <w:szCs w:val="20"/>
              </w:rPr>
            </w:pPr>
            <w:r w:rsidRPr="002E04D4">
              <w:rPr>
                <w:sz w:val="20"/>
                <w:szCs w:val="20"/>
              </w:rPr>
              <w:t>Hydraulic Power</w:t>
            </w:r>
          </w:p>
        </w:tc>
        <w:tc>
          <w:tcPr>
            <w:tcW w:w="0" w:type="auto"/>
            <w:tcBorders>
              <w:top w:val="nil"/>
              <w:left w:val="nil"/>
              <w:bottom w:val="nil"/>
              <w:right w:val="nil"/>
            </w:tcBorders>
            <w:shd w:val="clear" w:color="000000" w:fill="FFFFFF"/>
            <w:vAlign w:val="center"/>
          </w:tcPr>
          <w:p w:rsidR="003205FD" w:rsidRPr="00DF022C" w:rsidRDefault="003205FD" w:rsidP="00DF022C">
            <w:pPr>
              <w:jc w:val="right"/>
              <w:rPr>
                <w:sz w:val="20"/>
                <w:szCs w:val="20"/>
              </w:rPr>
            </w:pPr>
            <w:r w:rsidRPr="00DF022C">
              <w:rPr>
                <w:sz w:val="20"/>
                <w:szCs w:val="20"/>
              </w:rPr>
              <w:t>12</w:t>
            </w:r>
          </w:p>
        </w:tc>
      </w:tr>
      <w:tr w:rsidR="002E04D4" w:rsidRPr="008B5241" w:rsidTr="007B108B">
        <w:trPr>
          <w:trHeight w:val="227"/>
        </w:trPr>
        <w:tc>
          <w:tcPr>
            <w:tcW w:w="0" w:type="auto"/>
            <w:tcBorders>
              <w:top w:val="nil"/>
              <w:left w:val="nil"/>
              <w:bottom w:val="nil"/>
              <w:right w:val="nil"/>
            </w:tcBorders>
            <w:shd w:val="clear" w:color="000000" w:fill="FFFFFF"/>
            <w:noWrap/>
            <w:vAlign w:val="center"/>
          </w:tcPr>
          <w:p w:rsidR="003205FD" w:rsidRPr="002E04D4" w:rsidRDefault="003205FD" w:rsidP="002E04D4">
            <w:pPr>
              <w:rPr>
                <w:sz w:val="20"/>
                <w:szCs w:val="20"/>
              </w:rPr>
            </w:pPr>
            <w:r w:rsidRPr="002E04D4">
              <w:rPr>
                <w:sz w:val="20"/>
                <w:szCs w:val="20"/>
              </w:rPr>
              <w:t>Wind Power</w:t>
            </w:r>
          </w:p>
        </w:tc>
        <w:tc>
          <w:tcPr>
            <w:tcW w:w="0" w:type="auto"/>
            <w:tcBorders>
              <w:top w:val="nil"/>
              <w:left w:val="nil"/>
              <w:bottom w:val="nil"/>
              <w:right w:val="nil"/>
            </w:tcBorders>
            <w:shd w:val="clear" w:color="000000" w:fill="FFFFFF"/>
            <w:vAlign w:val="center"/>
          </w:tcPr>
          <w:p w:rsidR="003205FD" w:rsidRPr="00DF022C" w:rsidRDefault="003205FD" w:rsidP="00DF022C">
            <w:pPr>
              <w:jc w:val="right"/>
              <w:rPr>
                <w:sz w:val="20"/>
                <w:szCs w:val="20"/>
              </w:rPr>
            </w:pPr>
            <w:r w:rsidRPr="00DF022C">
              <w:rPr>
                <w:sz w:val="20"/>
                <w:szCs w:val="20"/>
              </w:rPr>
              <w:t>3</w:t>
            </w:r>
          </w:p>
        </w:tc>
      </w:tr>
      <w:tr w:rsidR="002E04D4" w:rsidRPr="008B5241" w:rsidTr="007B108B">
        <w:trPr>
          <w:trHeight w:val="227"/>
        </w:trPr>
        <w:tc>
          <w:tcPr>
            <w:tcW w:w="0" w:type="auto"/>
            <w:tcBorders>
              <w:top w:val="nil"/>
              <w:left w:val="nil"/>
              <w:bottom w:val="nil"/>
              <w:right w:val="nil"/>
            </w:tcBorders>
            <w:shd w:val="clear" w:color="000000" w:fill="FFFFFF"/>
            <w:noWrap/>
            <w:vAlign w:val="center"/>
          </w:tcPr>
          <w:p w:rsidR="003205FD" w:rsidRPr="002E04D4" w:rsidRDefault="003205FD" w:rsidP="002E04D4">
            <w:pPr>
              <w:rPr>
                <w:sz w:val="20"/>
                <w:szCs w:val="20"/>
              </w:rPr>
            </w:pPr>
            <w:r w:rsidRPr="002E04D4">
              <w:rPr>
                <w:sz w:val="20"/>
                <w:szCs w:val="20"/>
              </w:rPr>
              <w:t>Solar Power</w:t>
            </w:r>
          </w:p>
        </w:tc>
        <w:tc>
          <w:tcPr>
            <w:tcW w:w="0" w:type="auto"/>
            <w:tcBorders>
              <w:top w:val="nil"/>
              <w:left w:val="nil"/>
              <w:bottom w:val="nil"/>
              <w:right w:val="nil"/>
            </w:tcBorders>
            <w:shd w:val="clear" w:color="000000" w:fill="FFFFFF"/>
            <w:vAlign w:val="center"/>
          </w:tcPr>
          <w:p w:rsidR="003205FD" w:rsidRPr="00DF022C" w:rsidRDefault="003205FD" w:rsidP="00DF022C">
            <w:pPr>
              <w:jc w:val="right"/>
              <w:rPr>
                <w:sz w:val="20"/>
                <w:szCs w:val="20"/>
              </w:rPr>
            </w:pPr>
            <w:r w:rsidRPr="00DF022C">
              <w:rPr>
                <w:sz w:val="20"/>
                <w:szCs w:val="20"/>
              </w:rPr>
              <w:t>2</w:t>
            </w:r>
          </w:p>
        </w:tc>
      </w:tr>
      <w:tr w:rsidR="002E04D4" w:rsidRPr="008B5241" w:rsidTr="007B108B">
        <w:trPr>
          <w:trHeight w:val="227"/>
        </w:trPr>
        <w:tc>
          <w:tcPr>
            <w:tcW w:w="0" w:type="auto"/>
            <w:tcBorders>
              <w:top w:val="nil"/>
              <w:left w:val="nil"/>
              <w:bottom w:val="nil"/>
              <w:right w:val="nil"/>
            </w:tcBorders>
            <w:shd w:val="clear" w:color="000000" w:fill="FFFFFF"/>
            <w:noWrap/>
            <w:vAlign w:val="center"/>
          </w:tcPr>
          <w:p w:rsidR="003205FD" w:rsidRPr="002E04D4" w:rsidRDefault="003205FD" w:rsidP="002E04D4">
            <w:pPr>
              <w:rPr>
                <w:sz w:val="20"/>
                <w:szCs w:val="20"/>
              </w:rPr>
            </w:pPr>
            <w:r w:rsidRPr="002E04D4">
              <w:rPr>
                <w:sz w:val="20"/>
                <w:szCs w:val="20"/>
              </w:rPr>
              <w:t>Uranium</w:t>
            </w:r>
          </w:p>
        </w:tc>
        <w:tc>
          <w:tcPr>
            <w:tcW w:w="0" w:type="auto"/>
            <w:tcBorders>
              <w:top w:val="nil"/>
              <w:left w:val="nil"/>
              <w:bottom w:val="nil"/>
              <w:right w:val="nil"/>
            </w:tcBorders>
            <w:shd w:val="clear" w:color="000000" w:fill="FFFFFF"/>
            <w:vAlign w:val="center"/>
          </w:tcPr>
          <w:p w:rsidR="003205FD" w:rsidRPr="00DF022C" w:rsidRDefault="003205FD" w:rsidP="00DF022C">
            <w:pPr>
              <w:jc w:val="right"/>
              <w:rPr>
                <w:sz w:val="20"/>
                <w:szCs w:val="20"/>
              </w:rPr>
            </w:pPr>
            <w:r w:rsidRPr="00DF022C">
              <w:rPr>
                <w:sz w:val="20"/>
                <w:szCs w:val="20"/>
              </w:rPr>
              <w:t>1</w:t>
            </w:r>
          </w:p>
        </w:tc>
      </w:tr>
      <w:tr w:rsidR="002E04D4" w:rsidRPr="008B5241" w:rsidTr="007B108B">
        <w:trPr>
          <w:trHeight w:val="227"/>
        </w:trPr>
        <w:tc>
          <w:tcPr>
            <w:tcW w:w="0" w:type="auto"/>
            <w:tcBorders>
              <w:top w:val="nil"/>
              <w:left w:val="nil"/>
              <w:bottom w:val="nil"/>
              <w:right w:val="nil"/>
            </w:tcBorders>
            <w:shd w:val="clear" w:color="000000" w:fill="FFFFFF"/>
            <w:noWrap/>
            <w:vAlign w:val="center"/>
          </w:tcPr>
          <w:p w:rsidR="003205FD" w:rsidRPr="002E04D4" w:rsidRDefault="003205FD" w:rsidP="002E04D4">
            <w:pPr>
              <w:rPr>
                <w:sz w:val="20"/>
                <w:szCs w:val="20"/>
              </w:rPr>
            </w:pPr>
            <w:r w:rsidRPr="002E04D4">
              <w:rPr>
                <w:sz w:val="20"/>
                <w:szCs w:val="20"/>
              </w:rPr>
              <w:t>Other Non-Renewables</w:t>
            </w:r>
          </w:p>
        </w:tc>
        <w:tc>
          <w:tcPr>
            <w:tcW w:w="0" w:type="auto"/>
            <w:tcBorders>
              <w:top w:val="nil"/>
              <w:left w:val="nil"/>
              <w:bottom w:val="nil"/>
              <w:right w:val="nil"/>
            </w:tcBorders>
            <w:shd w:val="clear" w:color="000000" w:fill="FFFFFF"/>
            <w:vAlign w:val="center"/>
          </w:tcPr>
          <w:p w:rsidR="003205FD" w:rsidRPr="00DF022C" w:rsidRDefault="003205FD" w:rsidP="00DF022C">
            <w:pPr>
              <w:jc w:val="right"/>
              <w:rPr>
                <w:sz w:val="20"/>
                <w:szCs w:val="20"/>
              </w:rPr>
            </w:pPr>
            <w:r w:rsidRPr="00DF022C">
              <w:rPr>
                <w:sz w:val="20"/>
                <w:szCs w:val="20"/>
              </w:rPr>
              <w:t>1</w:t>
            </w:r>
          </w:p>
        </w:tc>
      </w:tr>
      <w:tr w:rsidR="002E04D4" w:rsidRPr="008B5241" w:rsidTr="007B108B">
        <w:trPr>
          <w:trHeight w:val="227"/>
        </w:trPr>
        <w:tc>
          <w:tcPr>
            <w:tcW w:w="0" w:type="auto"/>
            <w:tcBorders>
              <w:top w:val="single" w:sz="4" w:space="0" w:color="auto"/>
              <w:left w:val="nil"/>
              <w:bottom w:val="single" w:sz="8" w:space="0" w:color="auto"/>
              <w:right w:val="nil"/>
            </w:tcBorders>
            <w:shd w:val="clear" w:color="000000" w:fill="FFFFFF"/>
            <w:noWrap/>
            <w:vAlign w:val="center"/>
          </w:tcPr>
          <w:p w:rsidR="003205FD" w:rsidRPr="002E04D4" w:rsidRDefault="003205FD" w:rsidP="002E04D4">
            <w:pPr>
              <w:rPr>
                <w:b/>
                <w:bCs/>
                <w:sz w:val="20"/>
                <w:szCs w:val="20"/>
              </w:rPr>
            </w:pPr>
            <w:r w:rsidRPr="002E04D4">
              <w:rPr>
                <w:b/>
                <w:bCs/>
                <w:sz w:val="20"/>
                <w:szCs w:val="20"/>
              </w:rPr>
              <w:t>TOTAL</w:t>
            </w:r>
          </w:p>
        </w:tc>
        <w:tc>
          <w:tcPr>
            <w:tcW w:w="0" w:type="auto"/>
            <w:tcBorders>
              <w:top w:val="single" w:sz="4" w:space="0" w:color="auto"/>
              <w:left w:val="nil"/>
              <w:bottom w:val="single" w:sz="8" w:space="0" w:color="auto"/>
              <w:right w:val="nil"/>
            </w:tcBorders>
            <w:shd w:val="clear" w:color="000000" w:fill="FFFFFF"/>
            <w:vAlign w:val="center"/>
          </w:tcPr>
          <w:p w:rsidR="003205FD" w:rsidRPr="00DF022C" w:rsidRDefault="003205FD" w:rsidP="00DF022C">
            <w:pPr>
              <w:jc w:val="right"/>
              <w:rPr>
                <w:sz w:val="20"/>
                <w:szCs w:val="20"/>
              </w:rPr>
            </w:pPr>
            <w:r w:rsidRPr="00DF022C">
              <w:rPr>
                <w:sz w:val="20"/>
                <w:szCs w:val="20"/>
              </w:rPr>
              <w:t>100</w:t>
            </w:r>
          </w:p>
        </w:tc>
      </w:tr>
    </w:tbl>
    <w:p w:rsidR="003205FD" w:rsidRPr="002E04D4" w:rsidRDefault="003205FD" w:rsidP="003205FD">
      <w:pPr>
        <w:jc w:val="both"/>
        <w:rPr>
          <w:sz w:val="20"/>
          <w:szCs w:val="20"/>
        </w:rPr>
      </w:pPr>
      <w:r w:rsidRPr="002E04D4">
        <w:rPr>
          <w:sz w:val="20"/>
          <w:szCs w:val="20"/>
        </w:rPr>
        <w:t>Source: Prepared by the Authors based on data from [6].</w:t>
      </w:r>
    </w:p>
    <w:p w:rsidR="003205FD" w:rsidRPr="008B5241" w:rsidRDefault="003205FD" w:rsidP="003205FD">
      <w:pPr>
        <w:jc w:val="both"/>
        <w:rPr>
          <w:sz w:val="24"/>
          <w:szCs w:val="24"/>
        </w:rPr>
      </w:pPr>
    </w:p>
    <w:p w:rsidR="003205FD" w:rsidRPr="008B5241" w:rsidRDefault="003205FD" w:rsidP="003205FD">
      <w:pPr>
        <w:jc w:val="both"/>
        <w:rPr>
          <w:sz w:val="24"/>
          <w:szCs w:val="24"/>
        </w:rPr>
      </w:pPr>
      <w:r w:rsidRPr="008B5241">
        <w:rPr>
          <w:sz w:val="24"/>
          <w:szCs w:val="24"/>
        </w:rPr>
        <w:t>BEN 2025 also shows that the transportation and industry sectors consume 65% of the energy produced in the country (Table 3).</w:t>
      </w:r>
    </w:p>
    <w:p w:rsidR="003205FD" w:rsidRPr="008B5241" w:rsidRDefault="003205FD" w:rsidP="003205FD">
      <w:pPr>
        <w:jc w:val="both"/>
        <w:rPr>
          <w:sz w:val="24"/>
          <w:szCs w:val="24"/>
        </w:rPr>
      </w:pPr>
    </w:p>
    <w:p w:rsidR="003205FD" w:rsidRPr="004D0293" w:rsidRDefault="003205FD" w:rsidP="003205FD">
      <w:pPr>
        <w:jc w:val="both"/>
        <w:rPr>
          <w:b/>
          <w:bCs/>
          <w:sz w:val="20"/>
          <w:szCs w:val="20"/>
        </w:rPr>
      </w:pPr>
      <w:r w:rsidRPr="004D0293">
        <w:rPr>
          <w:b/>
          <w:bCs/>
          <w:sz w:val="20"/>
          <w:szCs w:val="20"/>
        </w:rPr>
        <w:t>Table 3 - Breakdown of Internal Energy Supply by Sector (%).</w:t>
      </w:r>
    </w:p>
    <w:tbl>
      <w:tblPr>
        <w:tblW w:w="0" w:type="auto"/>
        <w:jc w:val="center"/>
        <w:tblCellMar>
          <w:left w:w="70" w:type="dxa"/>
          <w:right w:w="70" w:type="dxa"/>
        </w:tblCellMar>
        <w:tblLook w:val="00A0" w:firstRow="1" w:lastRow="0" w:firstColumn="1" w:lastColumn="0" w:noHBand="0" w:noVBand="0"/>
      </w:tblPr>
      <w:tblGrid>
        <w:gridCol w:w="1634"/>
        <w:gridCol w:w="474"/>
      </w:tblGrid>
      <w:tr w:rsidR="003205FD" w:rsidRPr="002E04D4" w:rsidTr="00DF022C">
        <w:trPr>
          <w:trHeight w:val="227"/>
          <w:jc w:val="center"/>
        </w:trPr>
        <w:tc>
          <w:tcPr>
            <w:tcW w:w="0" w:type="auto"/>
            <w:tcBorders>
              <w:top w:val="single" w:sz="8" w:space="0" w:color="auto"/>
              <w:left w:val="nil"/>
              <w:bottom w:val="single" w:sz="4" w:space="0" w:color="auto"/>
              <w:right w:val="nil"/>
            </w:tcBorders>
            <w:shd w:val="clear" w:color="000000" w:fill="FFFFFF"/>
            <w:noWrap/>
            <w:vAlign w:val="center"/>
          </w:tcPr>
          <w:p w:rsidR="003205FD" w:rsidRPr="002E04D4" w:rsidRDefault="003205FD" w:rsidP="007B108B">
            <w:pPr>
              <w:jc w:val="both"/>
              <w:rPr>
                <w:b/>
                <w:bCs/>
                <w:sz w:val="20"/>
                <w:szCs w:val="20"/>
              </w:rPr>
            </w:pPr>
            <w:r w:rsidRPr="002E04D4">
              <w:rPr>
                <w:b/>
                <w:bCs/>
                <w:sz w:val="20"/>
                <w:szCs w:val="20"/>
              </w:rPr>
              <w:t>SETOR</w:t>
            </w:r>
          </w:p>
        </w:tc>
        <w:tc>
          <w:tcPr>
            <w:tcW w:w="0" w:type="auto"/>
            <w:tcBorders>
              <w:top w:val="single" w:sz="8" w:space="0" w:color="auto"/>
              <w:left w:val="nil"/>
              <w:bottom w:val="single" w:sz="4" w:space="0" w:color="auto"/>
              <w:right w:val="nil"/>
            </w:tcBorders>
            <w:shd w:val="clear" w:color="000000" w:fill="FFFFFF"/>
            <w:vAlign w:val="center"/>
          </w:tcPr>
          <w:p w:rsidR="003205FD" w:rsidRPr="002E04D4" w:rsidRDefault="003205FD" w:rsidP="007B108B">
            <w:pPr>
              <w:jc w:val="both"/>
              <w:rPr>
                <w:b/>
                <w:bCs/>
                <w:sz w:val="20"/>
                <w:szCs w:val="20"/>
              </w:rPr>
            </w:pPr>
            <w:r w:rsidRPr="002E04D4">
              <w:rPr>
                <w:b/>
                <w:bCs/>
                <w:sz w:val="20"/>
                <w:szCs w:val="20"/>
              </w:rPr>
              <w:t>[%]</w:t>
            </w:r>
          </w:p>
        </w:tc>
      </w:tr>
      <w:tr w:rsidR="003205FD" w:rsidRPr="002E04D4" w:rsidTr="00DF022C">
        <w:trPr>
          <w:trHeight w:val="227"/>
          <w:jc w:val="center"/>
        </w:trPr>
        <w:tc>
          <w:tcPr>
            <w:tcW w:w="0" w:type="auto"/>
            <w:tcBorders>
              <w:top w:val="nil"/>
              <w:left w:val="nil"/>
              <w:bottom w:val="nil"/>
              <w:right w:val="nil"/>
            </w:tcBorders>
            <w:shd w:val="clear" w:color="000000" w:fill="FFFFFF"/>
            <w:noWrap/>
            <w:vAlign w:val="center"/>
          </w:tcPr>
          <w:p w:rsidR="003205FD" w:rsidRPr="002E04D4" w:rsidRDefault="003205FD" w:rsidP="007B108B">
            <w:pPr>
              <w:jc w:val="both"/>
              <w:rPr>
                <w:sz w:val="20"/>
                <w:szCs w:val="20"/>
              </w:rPr>
            </w:pPr>
            <w:r w:rsidRPr="002E04D4">
              <w:rPr>
                <w:sz w:val="20"/>
                <w:szCs w:val="20"/>
              </w:rPr>
              <w:t>Transportation</w:t>
            </w:r>
          </w:p>
        </w:tc>
        <w:tc>
          <w:tcPr>
            <w:tcW w:w="0" w:type="auto"/>
            <w:tcBorders>
              <w:top w:val="nil"/>
              <w:left w:val="nil"/>
              <w:bottom w:val="nil"/>
              <w:right w:val="nil"/>
            </w:tcBorders>
            <w:shd w:val="clear" w:color="000000" w:fill="FFFFFF"/>
            <w:vAlign w:val="center"/>
          </w:tcPr>
          <w:p w:rsidR="003205FD" w:rsidRPr="002E04D4" w:rsidRDefault="003205FD" w:rsidP="007B108B">
            <w:pPr>
              <w:jc w:val="both"/>
              <w:rPr>
                <w:sz w:val="20"/>
                <w:szCs w:val="20"/>
              </w:rPr>
            </w:pPr>
            <w:r w:rsidRPr="002E04D4">
              <w:rPr>
                <w:sz w:val="20"/>
                <w:szCs w:val="20"/>
              </w:rPr>
              <w:t>33</w:t>
            </w:r>
          </w:p>
        </w:tc>
      </w:tr>
      <w:tr w:rsidR="003205FD" w:rsidRPr="002E04D4" w:rsidTr="00DF022C">
        <w:trPr>
          <w:trHeight w:val="227"/>
          <w:jc w:val="center"/>
        </w:trPr>
        <w:tc>
          <w:tcPr>
            <w:tcW w:w="0" w:type="auto"/>
            <w:tcBorders>
              <w:top w:val="nil"/>
              <w:left w:val="nil"/>
              <w:bottom w:val="nil"/>
              <w:right w:val="nil"/>
            </w:tcBorders>
            <w:shd w:val="clear" w:color="000000" w:fill="FFFFFF"/>
            <w:noWrap/>
            <w:vAlign w:val="center"/>
          </w:tcPr>
          <w:p w:rsidR="003205FD" w:rsidRPr="002E04D4" w:rsidRDefault="003205FD" w:rsidP="007B108B">
            <w:pPr>
              <w:jc w:val="both"/>
              <w:rPr>
                <w:sz w:val="20"/>
                <w:szCs w:val="20"/>
              </w:rPr>
            </w:pPr>
            <w:r w:rsidRPr="002E04D4">
              <w:rPr>
                <w:sz w:val="20"/>
                <w:szCs w:val="20"/>
              </w:rPr>
              <w:t>Industrial</w:t>
            </w:r>
          </w:p>
        </w:tc>
        <w:tc>
          <w:tcPr>
            <w:tcW w:w="0" w:type="auto"/>
            <w:tcBorders>
              <w:top w:val="nil"/>
              <w:left w:val="nil"/>
              <w:bottom w:val="nil"/>
              <w:right w:val="nil"/>
            </w:tcBorders>
            <w:shd w:val="clear" w:color="000000" w:fill="FFFFFF"/>
            <w:vAlign w:val="center"/>
          </w:tcPr>
          <w:p w:rsidR="003205FD" w:rsidRPr="002E04D4" w:rsidRDefault="003205FD" w:rsidP="007B108B">
            <w:pPr>
              <w:jc w:val="both"/>
              <w:rPr>
                <w:sz w:val="20"/>
                <w:szCs w:val="20"/>
              </w:rPr>
            </w:pPr>
            <w:r w:rsidRPr="002E04D4">
              <w:rPr>
                <w:sz w:val="20"/>
                <w:szCs w:val="20"/>
              </w:rPr>
              <w:t>32</w:t>
            </w:r>
          </w:p>
        </w:tc>
      </w:tr>
      <w:tr w:rsidR="003205FD" w:rsidRPr="002E04D4" w:rsidTr="00DF022C">
        <w:trPr>
          <w:trHeight w:val="227"/>
          <w:jc w:val="center"/>
        </w:trPr>
        <w:tc>
          <w:tcPr>
            <w:tcW w:w="0" w:type="auto"/>
            <w:tcBorders>
              <w:top w:val="nil"/>
              <w:left w:val="nil"/>
              <w:bottom w:val="nil"/>
              <w:right w:val="nil"/>
            </w:tcBorders>
            <w:shd w:val="clear" w:color="000000" w:fill="FFFFFF"/>
            <w:noWrap/>
            <w:vAlign w:val="center"/>
          </w:tcPr>
          <w:p w:rsidR="003205FD" w:rsidRPr="002E04D4" w:rsidRDefault="003205FD" w:rsidP="007B108B">
            <w:pPr>
              <w:jc w:val="both"/>
              <w:rPr>
                <w:sz w:val="20"/>
                <w:szCs w:val="20"/>
              </w:rPr>
            </w:pPr>
            <w:r w:rsidRPr="002E04D4">
              <w:rPr>
                <w:sz w:val="20"/>
                <w:szCs w:val="20"/>
              </w:rPr>
              <w:t>Residential</w:t>
            </w:r>
          </w:p>
        </w:tc>
        <w:tc>
          <w:tcPr>
            <w:tcW w:w="0" w:type="auto"/>
            <w:tcBorders>
              <w:top w:val="nil"/>
              <w:left w:val="nil"/>
              <w:bottom w:val="nil"/>
              <w:right w:val="nil"/>
            </w:tcBorders>
            <w:shd w:val="clear" w:color="000000" w:fill="FFFFFF"/>
            <w:vAlign w:val="center"/>
          </w:tcPr>
          <w:p w:rsidR="003205FD" w:rsidRPr="002E04D4" w:rsidRDefault="003205FD" w:rsidP="007B108B">
            <w:pPr>
              <w:jc w:val="both"/>
              <w:rPr>
                <w:sz w:val="20"/>
                <w:szCs w:val="20"/>
              </w:rPr>
            </w:pPr>
            <w:r w:rsidRPr="002E04D4">
              <w:rPr>
                <w:sz w:val="20"/>
                <w:szCs w:val="20"/>
              </w:rPr>
              <w:t>11</w:t>
            </w:r>
          </w:p>
        </w:tc>
      </w:tr>
      <w:tr w:rsidR="003205FD" w:rsidRPr="002E04D4" w:rsidTr="00DF022C">
        <w:trPr>
          <w:trHeight w:val="227"/>
          <w:jc w:val="center"/>
        </w:trPr>
        <w:tc>
          <w:tcPr>
            <w:tcW w:w="0" w:type="auto"/>
            <w:tcBorders>
              <w:top w:val="nil"/>
              <w:left w:val="nil"/>
              <w:bottom w:val="nil"/>
              <w:right w:val="nil"/>
            </w:tcBorders>
            <w:shd w:val="clear" w:color="000000" w:fill="FFFFFF"/>
            <w:noWrap/>
            <w:vAlign w:val="center"/>
          </w:tcPr>
          <w:p w:rsidR="003205FD" w:rsidRPr="002E04D4" w:rsidRDefault="003205FD" w:rsidP="007B108B">
            <w:pPr>
              <w:jc w:val="both"/>
              <w:rPr>
                <w:sz w:val="20"/>
                <w:szCs w:val="20"/>
              </w:rPr>
            </w:pPr>
            <w:r w:rsidRPr="002E04D4">
              <w:rPr>
                <w:sz w:val="20"/>
                <w:szCs w:val="20"/>
              </w:rPr>
              <w:t>Energy</w:t>
            </w:r>
          </w:p>
        </w:tc>
        <w:tc>
          <w:tcPr>
            <w:tcW w:w="0" w:type="auto"/>
            <w:tcBorders>
              <w:top w:val="nil"/>
              <w:left w:val="nil"/>
              <w:bottom w:val="nil"/>
              <w:right w:val="nil"/>
            </w:tcBorders>
            <w:shd w:val="clear" w:color="000000" w:fill="FFFFFF"/>
            <w:vAlign w:val="center"/>
          </w:tcPr>
          <w:p w:rsidR="003205FD" w:rsidRPr="002E04D4" w:rsidRDefault="003205FD" w:rsidP="007B108B">
            <w:pPr>
              <w:jc w:val="both"/>
              <w:rPr>
                <w:sz w:val="20"/>
                <w:szCs w:val="20"/>
              </w:rPr>
            </w:pPr>
            <w:r w:rsidRPr="002E04D4">
              <w:rPr>
                <w:sz w:val="20"/>
                <w:szCs w:val="20"/>
              </w:rPr>
              <w:t>9</w:t>
            </w:r>
          </w:p>
        </w:tc>
      </w:tr>
      <w:tr w:rsidR="003205FD" w:rsidRPr="002E04D4" w:rsidTr="00DF022C">
        <w:trPr>
          <w:trHeight w:val="227"/>
          <w:jc w:val="center"/>
        </w:trPr>
        <w:tc>
          <w:tcPr>
            <w:tcW w:w="0" w:type="auto"/>
            <w:tcBorders>
              <w:top w:val="nil"/>
              <w:left w:val="nil"/>
              <w:bottom w:val="nil"/>
              <w:right w:val="nil"/>
            </w:tcBorders>
            <w:shd w:val="clear" w:color="000000" w:fill="FFFFFF"/>
            <w:noWrap/>
            <w:vAlign w:val="center"/>
          </w:tcPr>
          <w:p w:rsidR="003205FD" w:rsidRPr="002E04D4" w:rsidRDefault="003205FD" w:rsidP="007B108B">
            <w:pPr>
              <w:jc w:val="both"/>
              <w:rPr>
                <w:sz w:val="20"/>
                <w:szCs w:val="20"/>
              </w:rPr>
            </w:pPr>
            <w:r w:rsidRPr="002E04D4">
              <w:rPr>
                <w:sz w:val="20"/>
                <w:szCs w:val="20"/>
              </w:rPr>
              <w:t>Non-</w:t>
            </w:r>
            <w:r w:rsidR="00263A34">
              <w:rPr>
                <w:sz w:val="20"/>
                <w:szCs w:val="20"/>
              </w:rPr>
              <w:t>Energetic use</w:t>
            </w:r>
          </w:p>
        </w:tc>
        <w:tc>
          <w:tcPr>
            <w:tcW w:w="0" w:type="auto"/>
            <w:tcBorders>
              <w:top w:val="nil"/>
              <w:left w:val="nil"/>
              <w:bottom w:val="nil"/>
              <w:right w:val="nil"/>
            </w:tcBorders>
            <w:shd w:val="clear" w:color="000000" w:fill="FFFFFF"/>
            <w:vAlign w:val="center"/>
          </w:tcPr>
          <w:p w:rsidR="003205FD" w:rsidRPr="002E04D4" w:rsidRDefault="003205FD" w:rsidP="007B108B">
            <w:pPr>
              <w:jc w:val="both"/>
              <w:rPr>
                <w:sz w:val="20"/>
                <w:szCs w:val="20"/>
              </w:rPr>
            </w:pPr>
            <w:r w:rsidRPr="002E04D4">
              <w:rPr>
                <w:sz w:val="20"/>
                <w:szCs w:val="20"/>
              </w:rPr>
              <w:t>6</w:t>
            </w:r>
          </w:p>
        </w:tc>
      </w:tr>
      <w:tr w:rsidR="003205FD" w:rsidRPr="002E04D4" w:rsidTr="00DF022C">
        <w:trPr>
          <w:trHeight w:val="227"/>
          <w:jc w:val="center"/>
        </w:trPr>
        <w:tc>
          <w:tcPr>
            <w:tcW w:w="0" w:type="auto"/>
            <w:tcBorders>
              <w:top w:val="nil"/>
              <w:left w:val="nil"/>
              <w:bottom w:val="nil"/>
              <w:right w:val="nil"/>
            </w:tcBorders>
            <w:shd w:val="clear" w:color="000000" w:fill="FFFFFF"/>
            <w:noWrap/>
            <w:vAlign w:val="center"/>
          </w:tcPr>
          <w:p w:rsidR="003205FD" w:rsidRPr="002E04D4" w:rsidRDefault="003205FD" w:rsidP="007B108B">
            <w:pPr>
              <w:jc w:val="both"/>
              <w:rPr>
                <w:sz w:val="20"/>
                <w:szCs w:val="20"/>
              </w:rPr>
            </w:pPr>
            <w:r w:rsidRPr="002E04D4">
              <w:rPr>
                <w:sz w:val="20"/>
                <w:szCs w:val="20"/>
              </w:rPr>
              <w:t>Agriculture</w:t>
            </w:r>
          </w:p>
        </w:tc>
        <w:tc>
          <w:tcPr>
            <w:tcW w:w="0" w:type="auto"/>
            <w:tcBorders>
              <w:top w:val="nil"/>
              <w:left w:val="nil"/>
              <w:bottom w:val="nil"/>
              <w:right w:val="nil"/>
            </w:tcBorders>
            <w:shd w:val="clear" w:color="000000" w:fill="FFFFFF"/>
            <w:vAlign w:val="center"/>
          </w:tcPr>
          <w:p w:rsidR="003205FD" w:rsidRPr="002E04D4" w:rsidRDefault="003205FD" w:rsidP="007B108B">
            <w:pPr>
              <w:jc w:val="both"/>
              <w:rPr>
                <w:sz w:val="20"/>
                <w:szCs w:val="20"/>
              </w:rPr>
            </w:pPr>
            <w:r w:rsidRPr="002E04D4">
              <w:rPr>
                <w:sz w:val="20"/>
                <w:szCs w:val="20"/>
              </w:rPr>
              <w:t>5</w:t>
            </w:r>
          </w:p>
        </w:tc>
      </w:tr>
      <w:tr w:rsidR="003205FD" w:rsidRPr="002E04D4" w:rsidTr="00DF022C">
        <w:trPr>
          <w:trHeight w:val="227"/>
          <w:jc w:val="center"/>
        </w:trPr>
        <w:tc>
          <w:tcPr>
            <w:tcW w:w="0" w:type="auto"/>
            <w:tcBorders>
              <w:top w:val="nil"/>
              <w:left w:val="nil"/>
              <w:bottom w:val="nil"/>
              <w:right w:val="nil"/>
            </w:tcBorders>
            <w:shd w:val="clear" w:color="000000" w:fill="FFFFFF"/>
            <w:noWrap/>
            <w:vAlign w:val="center"/>
          </w:tcPr>
          <w:p w:rsidR="003205FD" w:rsidRPr="002E04D4" w:rsidRDefault="003205FD" w:rsidP="007B108B">
            <w:pPr>
              <w:jc w:val="both"/>
              <w:rPr>
                <w:sz w:val="20"/>
                <w:szCs w:val="20"/>
              </w:rPr>
            </w:pPr>
            <w:r w:rsidRPr="002E04D4">
              <w:rPr>
                <w:sz w:val="20"/>
                <w:szCs w:val="20"/>
              </w:rPr>
              <w:t>Services</w:t>
            </w:r>
          </w:p>
        </w:tc>
        <w:tc>
          <w:tcPr>
            <w:tcW w:w="0" w:type="auto"/>
            <w:tcBorders>
              <w:top w:val="nil"/>
              <w:left w:val="nil"/>
              <w:bottom w:val="nil"/>
              <w:right w:val="nil"/>
            </w:tcBorders>
            <w:shd w:val="clear" w:color="000000" w:fill="FFFFFF"/>
            <w:vAlign w:val="center"/>
          </w:tcPr>
          <w:p w:rsidR="003205FD" w:rsidRPr="002E04D4" w:rsidRDefault="003205FD" w:rsidP="007B108B">
            <w:pPr>
              <w:jc w:val="both"/>
              <w:rPr>
                <w:sz w:val="20"/>
                <w:szCs w:val="20"/>
              </w:rPr>
            </w:pPr>
            <w:r w:rsidRPr="002E04D4">
              <w:rPr>
                <w:sz w:val="20"/>
                <w:szCs w:val="20"/>
              </w:rPr>
              <w:t>4</w:t>
            </w:r>
          </w:p>
        </w:tc>
      </w:tr>
      <w:tr w:rsidR="003205FD" w:rsidRPr="002E04D4" w:rsidTr="00DF022C">
        <w:trPr>
          <w:trHeight w:val="227"/>
          <w:jc w:val="center"/>
        </w:trPr>
        <w:tc>
          <w:tcPr>
            <w:tcW w:w="0" w:type="auto"/>
            <w:tcBorders>
              <w:top w:val="single" w:sz="4" w:space="0" w:color="auto"/>
              <w:left w:val="nil"/>
              <w:bottom w:val="single" w:sz="8" w:space="0" w:color="auto"/>
              <w:right w:val="nil"/>
            </w:tcBorders>
            <w:shd w:val="clear" w:color="000000" w:fill="FFFFFF"/>
            <w:noWrap/>
            <w:vAlign w:val="center"/>
          </w:tcPr>
          <w:p w:rsidR="003205FD" w:rsidRPr="002E04D4" w:rsidRDefault="003205FD" w:rsidP="007B108B">
            <w:pPr>
              <w:jc w:val="both"/>
              <w:rPr>
                <w:b/>
                <w:bCs/>
                <w:sz w:val="20"/>
                <w:szCs w:val="20"/>
              </w:rPr>
            </w:pPr>
            <w:r w:rsidRPr="002E04D4">
              <w:rPr>
                <w:b/>
                <w:bCs/>
                <w:sz w:val="20"/>
                <w:szCs w:val="20"/>
              </w:rPr>
              <w:t>TOTAL</w:t>
            </w:r>
          </w:p>
        </w:tc>
        <w:tc>
          <w:tcPr>
            <w:tcW w:w="0" w:type="auto"/>
            <w:tcBorders>
              <w:top w:val="single" w:sz="4" w:space="0" w:color="auto"/>
              <w:left w:val="nil"/>
              <w:bottom w:val="single" w:sz="8" w:space="0" w:color="auto"/>
              <w:right w:val="nil"/>
            </w:tcBorders>
            <w:shd w:val="clear" w:color="000000" w:fill="FFFFFF"/>
            <w:vAlign w:val="center"/>
          </w:tcPr>
          <w:p w:rsidR="003205FD" w:rsidRPr="002E04D4" w:rsidRDefault="003205FD" w:rsidP="007B108B">
            <w:pPr>
              <w:jc w:val="both"/>
              <w:rPr>
                <w:sz w:val="20"/>
                <w:szCs w:val="20"/>
              </w:rPr>
            </w:pPr>
            <w:r w:rsidRPr="002E04D4">
              <w:rPr>
                <w:sz w:val="20"/>
                <w:szCs w:val="20"/>
              </w:rPr>
              <w:t>100</w:t>
            </w:r>
          </w:p>
        </w:tc>
      </w:tr>
    </w:tbl>
    <w:p w:rsidR="003205FD" w:rsidRPr="002E04D4" w:rsidRDefault="003205FD" w:rsidP="003205FD">
      <w:pPr>
        <w:jc w:val="both"/>
        <w:rPr>
          <w:sz w:val="20"/>
          <w:szCs w:val="20"/>
        </w:rPr>
      </w:pPr>
      <w:r w:rsidRPr="002E04D4">
        <w:rPr>
          <w:sz w:val="20"/>
          <w:szCs w:val="20"/>
        </w:rPr>
        <w:t>Source: Prepared by the Authors based on data from [6].</w:t>
      </w:r>
    </w:p>
    <w:p w:rsidR="003205FD" w:rsidRPr="008B5241" w:rsidRDefault="003205FD" w:rsidP="003205FD">
      <w:pPr>
        <w:jc w:val="both"/>
        <w:rPr>
          <w:sz w:val="24"/>
          <w:szCs w:val="24"/>
        </w:rPr>
      </w:pPr>
    </w:p>
    <w:p w:rsidR="003205FD" w:rsidRDefault="003205FD" w:rsidP="003205FD">
      <w:pPr>
        <w:jc w:val="both"/>
        <w:rPr>
          <w:sz w:val="24"/>
          <w:szCs w:val="24"/>
        </w:rPr>
      </w:pPr>
      <w:r w:rsidRPr="008B5241">
        <w:rPr>
          <w:sz w:val="24"/>
          <w:szCs w:val="24"/>
        </w:rPr>
        <w:t xml:space="preserve">An analysis of the energy consumption structure in the industrial sector indicates that combustion supplies 80% of the energy consumed by industry, and electricity only 20%. In the transportation sector, combustion accounts for 99% of the energy consumed by industry, and electricity contributes 1% </w:t>
      </w:r>
      <w:r>
        <w:rPr>
          <w:sz w:val="24"/>
          <w:szCs w:val="24"/>
        </w:rPr>
        <w:t>[6]</w:t>
      </w:r>
      <w:r w:rsidRPr="008B5241">
        <w:rPr>
          <w:sz w:val="24"/>
          <w:szCs w:val="24"/>
        </w:rPr>
        <w:t>.</w:t>
      </w:r>
    </w:p>
    <w:p w:rsidR="00AA6B54" w:rsidRPr="008B5241" w:rsidRDefault="00AA6B54" w:rsidP="003205FD">
      <w:pPr>
        <w:jc w:val="both"/>
        <w:rPr>
          <w:sz w:val="24"/>
          <w:szCs w:val="24"/>
        </w:rPr>
      </w:pPr>
    </w:p>
    <w:p w:rsidR="003205FD" w:rsidRPr="00143552" w:rsidRDefault="003205FD" w:rsidP="00AA6B54">
      <w:pPr>
        <w:spacing w:line="360" w:lineRule="auto"/>
        <w:jc w:val="both"/>
        <w:rPr>
          <w:b/>
          <w:bCs/>
          <w:sz w:val="24"/>
          <w:szCs w:val="24"/>
        </w:rPr>
      </w:pPr>
      <w:r w:rsidRPr="00143552">
        <w:rPr>
          <w:b/>
          <w:bCs/>
          <w:sz w:val="24"/>
          <w:szCs w:val="24"/>
        </w:rPr>
        <w:t>4. BIOMETHANE PRODUCTION IN BRAZIL</w:t>
      </w:r>
    </w:p>
    <w:p w:rsidR="003205FD" w:rsidRDefault="003205FD" w:rsidP="003205FD">
      <w:pPr>
        <w:jc w:val="both"/>
        <w:rPr>
          <w:sz w:val="24"/>
          <w:szCs w:val="24"/>
        </w:rPr>
      </w:pPr>
      <w:r w:rsidRPr="008B5241">
        <w:rPr>
          <w:sz w:val="24"/>
          <w:szCs w:val="24"/>
        </w:rPr>
        <w:t>The country's biomethane production capacity is 667,000 m3/day (Table 3).</w:t>
      </w:r>
    </w:p>
    <w:p w:rsidR="003205FD" w:rsidRPr="00E060FB" w:rsidRDefault="003205FD" w:rsidP="003205FD">
      <w:pPr>
        <w:jc w:val="both"/>
        <w:rPr>
          <w:b/>
          <w:bCs/>
          <w:spacing w:val="-8"/>
        </w:rPr>
      </w:pPr>
      <w:r w:rsidRPr="004D0293">
        <w:rPr>
          <w:b/>
          <w:bCs/>
        </w:rPr>
        <w:t>T</w:t>
      </w:r>
      <w:r w:rsidRPr="00E060FB">
        <w:rPr>
          <w:b/>
          <w:bCs/>
          <w:spacing w:val="-8"/>
        </w:rPr>
        <w:t>able 3 - Companies authorized to sell biomethane / ANP</w:t>
      </w:r>
    </w:p>
    <w:tbl>
      <w:tblPr>
        <w:tblW w:w="4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
        <w:gridCol w:w="756"/>
        <w:gridCol w:w="635"/>
        <w:gridCol w:w="1567"/>
        <w:gridCol w:w="949"/>
      </w:tblGrid>
      <w:tr w:rsidR="003205FD" w:rsidRPr="002E04D4" w:rsidTr="00FF0CB3">
        <w:trPr>
          <w:trHeight w:val="531"/>
          <w:jc w:val="center"/>
        </w:trPr>
        <w:tc>
          <w:tcPr>
            <w:tcW w:w="0" w:type="auto"/>
            <w:vMerge w:val="restart"/>
            <w:vAlign w:val="center"/>
          </w:tcPr>
          <w:p w:rsidR="003205FD" w:rsidRPr="002E04D4" w:rsidRDefault="003205FD" w:rsidP="002E04D4">
            <w:pPr>
              <w:pStyle w:val="Tabelas"/>
              <w:rPr>
                <w:rFonts w:ascii="Times New Roman" w:hAnsi="Times New Roman"/>
                <w:shd w:val="clear" w:color="auto" w:fill="FFFFFF"/>
              </w:rPr>
            </w:pPr>
            <w:r w:rsidRPr="002E04D4">
              <w:rPr>
                <w:rFonts w:ascii="Times New Roman" w:hAnsi="Times New Roman"/>
                <w:shd w:val="clear" w:color="auto" w:fill="FFFFFF"/>
              </w:rPr>
              <w:t>TOTAL</w:t>
            </w:r>
          </w:p>
        </w:tc>
        <w:tc>
          <w:tcPr>
            <w:tcW w:w="0" w:type="auto"/>
            <w:gridSpan w:val="4"/>
            <w:vAlign w:val="center"/>
          </w:tcPr>
          <w:p w:rsidR="003205FD" w:rsidRPr="007A1961" w:rsidRDefault="002E04D4" w:rsidP="00E060FB">
            <w:pPr>
              <w:pStyle w:val="Tabelas"/>
              <w:jc w:val="center"/>
              <w:rPr>
                <w:rFonts w:ascii="Times New Roman" w:hAnsi="Times New Roman"/>
                <w:shd w:val="clear" w:color="auto" w:fill="FFFFFF"/>
                <w:lang w:val="es-419"/>
              </w:rPr>
            </w:pPr>
            <w:proofErr w:type="spellStart"/>
            <w:r w:rsidRPr="007A1961">
              <w:rPr>
                <w:rFonts w:ascii="Times New Roman" w:hAnsi="Times New Roman"/>
                <w:lang w:val="es-419"/>
              </w:rPr>
              <w:t>Production</w:t>
            </w:r>
            <w:proofErr w:type="spellEnd"/>
            <w:r w:rsidRPr="007A1961">
              <w:rPr>
                <w:rFonts w:ascii="Times New Roman" w:hAnsi="Times New Roman"/>
                <w:lang w:val="es-419"/>
              </w:rPr>
              <w:t xml:space="preserve"> </w:t>
            </w:r>
            <w:proofErr w:type="spellStart"/>
            <w:r w:rsidRPr="007A1961">
              <w:rPr>
                <w:rFonts w:ascii="Times New Roman" w:hAnsi="Times New Roman"/>
                <w:lang w:val="es-419"/>
              </w:rPr>
              <w:t>Capacity</w:t>
            </w:r>
            <w:proofErr w:type="spellEnd"/>
            <w:r w:rsidRPr="007A1961">
              <w:rPr>
                <w:rFonts w:ascii="Times New Roman" w:hAnsi="Times New Roman"/>
                <w:lang w:val="es-419"/>
              </w:rPr>
              <w:t xml:space="preserve"> </w:t>
            </w:r>
            <w:proofErr w:type="spellStart"/>
            <w:r w:rsidRPr="007A1961">
              <w:rPr>
                <w:rFonts w:ascii="Times New Roman" w:hAnsi="Times New Roman"/>
                <w:lang w:val="es-419"/>
              </w:rPr>
              <w:t>By</w:t>
            </w:r>
            <w:proofErr w:type="spellEnd"/>
            <w:r w:rsidRPr="007A1961">
              <w:rPr>
                <w:rFonts w:ascii="Times New Roman" w:hAnsi="Times New Roman"/>
                <w:lang w:val="es-419"/>
              </w:rPr>
              <w:t xml:space="preserve"> Raw Material</w:t>
            </w:r>
          </w:p>
        </w:tc>
      </w:tr>
      <w:tr w:rsidR="003205FD" w:rsidRPr="002E04D4" w:rsidTr="00FF0CB3">
        <w:trPr>
          <w:trHeight w:val="283"/>
          <w:jc w:val="center"/>
        </w:trPr>
        <w:tc>
          <w:tcPr>
            <w:tcW w:w="0" w:type="auto"/>
            <w:vMerge/>
            <w:vAlign w:val="center"/>
          </w:tcPr>
          <w:p w:rsidR="003205FD" w:rsidRPr="007A1961" w:rsidRDefault="003205FD" w:rsidP="002E04D4">
            <w:pPr>
              <w:pStyle w:val="Tabelas"/>
              <w:rPr>
                <w:rFonts w:ascii="Times New Roman" w:hAnsi="Times New Roman"/>
                <w:shd w:val="clear" w:color="auto" w:fill="FFFFFF"/>
                <w:lang w:val="es-419"/>
              </w:rPr>
            </w:pPr>
          </w:p>
        </w:tc>
        <w:tc>
          <w:tcPr>
            <w:tcW w:w="0" w:type="auto"/>
            <w:vAlign w:val="center"/>
          </w:tcPr>
          <w:p w:rsidR="003205FD" w:rsidRPr="002E04D4" w:rsidRDefault="003205FD" w:rsidP="002E04D4">
            <w:pPr>
              <w:pStyle w:val="Tabelas"/>
              <w:jc w:val="center"/>
              <w:rPr>
                <w:rFonts w:ascii="Times New Roman" w:hAnsi="Times New Roman"/>
                <w:shd w:val="clear" w:color="auto" w:fill="FFFFFF"/>
              </w:rPr>
            </w:pPr>
            <w:r w:rsidRPr="002E04D4">
              <w:rPr>
                <w:rFonts w:ascii="Times New Roman" w:hAnsi="Times New Roman"/>
                <w:shd w:val="clear" w:color="auto" w:fill="FFFFFF"/>
              </w:rPr>
              <w:t>MSW</w:t>
            </w:r>
          </w:p>
        </w:tc>
        <w:tc>
          <w:tcPr>
            <w:tcW w:w="0" w:type="auto"/>
            <w:vAlign w:val="center"/>
          </w:tcPr>
          <w:p w:rsidR="003205FD" w:rsidRPr="002E04D4" w:rsidRDefault="003205FD" w:rsidP="002E04D4">
            <w:pPr>
              <w:pStyle w:val="Tabelas"/>
              <w:jc w:val="center"/>
              <w:rPr>
                <w:rFonts w:ascii="Times New Roman" w:hAnsi="Times New Roman"/>
                <w:shd w:val="clear" w:color="auto" w:fill="FFFFFF"/>
              </w:rPr>
            </w:pPr>
            <w:r w:rsidRPr="002E04D4">
              <w:rPr>
                <w:rFonts w:ascii="Times New Roman" w:hAnsi="Times New Roman"/>
                <w:shd w:val="clear" w:color="auto" w:fill="FFFFFF"/>
              </w:rPr>
              <w:t>ASP</w:t>
            </w:r>
          </w:p>
        </w:tc>
        <w:tc>
          <w:tcPr>
            <w:tcW w:w="0" w:type="auto"/>
            <w:vAlign w:val="center"/>
          </w:tcPr>
          <w:p w:rsidR="003205FD" w:rsidRPr="002E04D4" w:rsidRDefault="003205FD" w:rsidP="002E04D4">
            <w:pPr>
              <w:pStyle w:val="Tabelas"/>
              <w:jc w:val="center"/>
              <w:rPr>
                <w:rFonts w:ascii="Times New Roman" w:hAnsi="Times New Roman"/>
                <w:shd w:val="clear" w:color="auto" w:fill="FFFFFF"/>
              </w:rPr>
            </w:pPr>
            <w:r w:rsidRPr="002E04D4">
              <w:rPr>
                <w:rFonts w:ascii="Times New Roman" w:hAnsi="Times New Roman"/>
              </w:rPr>
              <w:t>SUGARCANE</w:t>
            </w:r>
          </w:p>
        </w:tc>
        <w:tc>
          <w:tcPr>
            <w:tcW w:w="0" w:type="auto"/>
            <w:vAlign w:val="center"/>
          </w:tcPr>
          <w:p w:rsidR="003205FD" w:rsidRPr="002E04D4" w:rsidRDefault="003205FD" w:rsidP="002E04D4">
            <w:pPr>
              <w:pStyle w:val="Tabelas"/>
              <w:jc w:val="center"/>
              <w:rPr>
                <w:rFonts w:ascii="Times New Roman" w:hAnsi="Times New Roman"/>
                <w:shd w:val="clear" w:color="auto" w:fill="FFFFFF"/>
              </w:rPr>
            </w:pPr>
            <w:r w:rsidRPr="002E04D4">
              <w:rPr>
                <w:rFonts w:ascii="Times New Roman" w:hAnsi="Times New Roman"/>
                <w:shd w:val="clear" w:color="auto" w:fill="FFFFFF"/>
              </w:rPr>
              <w:t>TOTAL</w:t>
            </w:r>
          </w:p>
        </w:tc>
      </w:tr>
      <w:tr w:rsidR="003205FD" w:rsidRPr="002E04D4" w:rsidTr="00FF0CB3">
        <w:trPr>
          <w:trHeight w:val="283"/>
          <w:jc w:val="center"/>
        </w:trPr>
        <w:tc>
          <w:tcPr>
            <w:tcW w:w="0" w:type="auto"/>
            <w:vAlign w:val="center"/>
          </w:tcPr>
          <w:p w:rsidR="003205FD" w:rsidRPr="002E04D4" w:rsidRDefault="003205FD" w:rsidP="002E04D4">
            <w:pPr>
              <w:pStyle w:val="Tabelas"/>
              <w:rPr>
                <w:rFonts w:ascii="Times New Roman" w:hAnsi="Times New Roman"/>
                <w:shd w:val="clear" w:color="auto" w:fill="FFFFFF"/>
              </w:rPr>
            </w:pPr>
            <w:r w:rsidRPr="002E04D4">
              <w:rPr>
                <w:rFonts w:ascii="Times New Roman" w:hAnsi="Times New Roman"/>
                <w:shd w:val="clear" w:color="auto" w:fill="FFFFFF"/>
              </w:rPr>
              <w:t>Nm³/d)</w:t>
            </w:r>
          </w:p>
        </w:tc>
        <w:tc>
          <w:tcPr>
            <w:tcW w:w="0" w:type="auto"/>
            <w:vAlign w:val="center"/>
          </w:tcPr>
          <w:p w:rsidR="003205FD" w:rsidRPr="002E04D4" w:rsidRDefault="003205FD" w:rsidP="002E04D4">
            <w:pPr>
              <w:pStyle w:val="Tabelas"/>
              <w:jc w:val="center"/>
              <w:rPr>
                <w:rFonts w:ascii="Times New Roman" w:hAnsi="Times New Roman"/>
                <w:shd w:val="clear" w:color="auto" w:fill="FFFFFF"/>
              </w:rPr>
            </w:pPr>
            <w:r w:rsidRPr="002E04D4">
              <w:rPr>
                <w:rFonts w:ascii="Times New Roman" w:hAnsi="Times New Roman"/>
              </w:rPr>
              <w:t>433</w:t>
            </w:r>
          </w:p>
        </w:tc>
        <w:tc>
          <w:tcPr>
            <w:tcW w:w="0" w:type="auto"/>
            <w:vAlign w:val="center"/>
          </w:tcPr>
          <w:p w:rsidR="003205FD" w:rsidRPr="002E04D4" w:rsidRDefault="003205FD" w:rsidP="002E04D4">
            <w:pPr>
              <w:pStyle w:val="Tabelas"/>
              <w:jc w:val="center"/>
              <w:rPr>
                <w:rFonts w:ascii="Times New Roman" w:hAnsi="Times New Roman"/>
                <w:shd w:val="clear" w:color="auto" w:fill="FFFFFF"/>
              </w:rPr>
            </w:pPr>
            <w:r w:rsidRPr="002E04D4">
              <w:rPr>
                <w:rFonts w:ascii="Times New Roman" w:hAnsi="Times New Roman"/>
              </w:rPr>
              <w:t>230</w:t>
            </w:r>
          </w:p>
        </w:tc>
        <w:tc>
          <w:tcPr>
            <w:tcW w:w="0" w:type="auto"/>
            <w:vAlign w:val="center"/>
          </w:tcPr>
          <w:p w:rsidR="003205FD" w:rsidRPr="002E04D4" w:rsidRDefault="003205FD" w:rsidP="002E04D4">
            <w:pPr>
              <w:pStyle w:val="Tabelas"/>
              <w:jc w:val="center"/>
              <w:rPr>
                <w:rFonts w:ascii="Times New Roman" w:hAnsi="Times New Roman"/>
                <w:shd w:val="clear" w:color="auto" w:fill="FFFFFF"/>
              </w:rPr>
            </w:pPr>
            <w:r w:rsidRPr="002E04D4">
              <w:rPr>
                <w:rFonts w:ascii="Times New Roman" w:hAnsi="Times New Roman"/>
              </w:rPr>
              <w:t>4</w:t>
            </w:r>
          </w:p>
        </w:tc>
        <w:tc>
          <w:tcPr>
            <w:tcW w:w="0" w:type="auto"/>
            <w:vAlign w:val="center"/>
          </w:tcPr>
          <w:p w:rsidR="003205FD" w:rsidRPr="002E04D4" w:rsidRDefault="003205FD" w:rsidP="002E04D4">
            <w:pPr>
              <w:pStyle w:val="Tabelas"/>
              <w:jc w:val="center"/>
              <w:rPr>
                <w:rFonts w:ascii="Times New Roman" w:hAnsi="Times New Roman"/>
              </w:rPr>
            </w:pPr>
            <w:r w:rsidRPr="002E04D4">
              <w:rPr>
                <w:rFonts w:ascii="Times New Roman" w:hAnsi="Times New Roman"/>
              </w:rPr>
              <w:t>667</w:t>
            </w:r>
          </w:p>
        </w:tc>
      </w:tr>
    </w:tbl>
    <w:p w:rsidR="003205FD" w:rsidRPr="00DF022C" w:rsidRDefault="003205FD" w:rsidP="003205FD">
      <w:pPr>
        <w:jc w:val="both"/>
        <w:rPr>
          <w:sz w:val="20"/>
          <w:szCs w:val="20"/>
        </w:rPr>
      </w:pPr>
      <w:r w:rsidRPr="00DF022C">
        <w:rPr>
          <w:sz w:val="20"/>
          <w:szCs w:val="20"/>
        </w:rPr>
        <w:t>SOURCE: Prepared by the authors based on data from the ANP's Biomethane Producers Dynamic Panel [11].</w:t>
      </w:r>
    </w:p>
    <w:p w:rsidR="00FF0CB3" w:rsidRDefault="00FF0CB3" w:rsidP="003205FD">
      <w:pPr>
        <w:jc w:val="both"/>
        <w:rPr>
          <w:sz w:val="20"/>
          <w:szCs w:val="20"/>
        </w:rPr>
      </w:pPr>
    </w:p>
    <w:p w:rsidR="003205FD" w:rsidRPr="00DF022C" w:rsidRDefault="003205FD" w:rsidP="003205FD">
      <w:pPr>
        <w:jc w:val="both"/>
        <w:rPr>
          <w:sz w:val="20"/>
          <w:szCs w:val="20"/>
        </w:rPr>
      </w:pPr>
      <w:r w:rsidRPr="00DF022C">
        <w:rPr>
          <w:sz w:val="20"/>
          <w:szCs w:val="20"/>
        </w:rPr>
        <w:t xml:space="preserve">Legend: MSW = Urban Solid Waste Deposited in Sanitary Landfills; ASP = Agroforestry and Commercial Organic Products and Waste; SUGARCANE = </w:t>
      </w:r>
      <w:proofErr w:type="spellStart"/>
      <w:r w:rsidRPr="00DF022C">
        <w:rPr>
          <w:sz w:val="20"/>
          <w:szCs w:val="20"/>
        </w:rPr>
        <w:t>Vinasse</w:t>
      </w:r>
      <w:proofErr w:type="spellEnd"/>
      <w:r w:rsidRPr="00DF022C">
        <w:rPr>
          <w:sz w:val="20"/>
          <w:szCs w:val="20"/>
        </w:rPr>
        <w:t xml:space="preserve"> and Sugar and Ethanol Production Waste</w:t>
      </w:r>
    </w:p>
    <w:p w:rsidR="003205FD" w:rsidRPr="008B5241" w:rsidRDefault="003205FD" w:rsidP="003205FD">
      <w:pPr>
        <w:jc w:val="both"/>
        <w:rPr>
          <w:sz w:val="24"/>
          <w:szCs w:val="24"/>
        </w:rPr>
      </w:pPr>
    </w:p>
    <w:p w:rsidR="003205FD" w:rsidRPr="00143552" w:rsidRDefault="003205FD" w:rsidP="00AA6B54">
      <w:pPr>
        <w:spacing w:line="360" w:lineRule="auto"/>
        <w:jc w:val="both"/>
        <w:rPr>
          <w:b/>
          <w:bCs/>
          <w:sz w:val="24"/>
          <w:szCs w:val="24"/>
        </w:rPr>
      </w:pPr>
      <w:r w:rsidRPr="00143552">
        <w:rPr>
          <w:b/>
          <w:bCs/>
          <w:sz w:val="24"/>
          <w:szCs w:val="24"/>
        </w:rPr>
        <w:t xml:space="preserve">5. </w:t>
      </w:r>
      <w:r w:rsidR="00263A34">
        <w:rPr>
          <w:b/>
          <w:bCs/>
          <w:sz w:val="24"/>
          <w:szCs w:val="24"/>
        </w:rPr>
        <w:t>ENERGETIC USE</w:t>
      </w:r>
      <w:r w:rsidRPr="00143552">
        <w:rPr>
          <w:b/>
          <w:bCs/>
          <w:sz w:val="24"/>
          <w:szCs w:val="24"/>
        </w:rPr>
        <w:t xml:space="preserve"> OF BIOMETHANE</w:t>
      </w:r>
    </w:p>
    <w:p w:rsidR="003205FD" w:rsidRPr="008B5241" w:rsidRDefault="003205FD" w:rsidP="003205FD">
      <w:pPr>
        <w:jc w:val="both"/>
        <w:rPr>
          <w:sz w:val="24"/>
          <w:szCs w:val="24"/>
        </w:rPr>
      </w:pPr>
      <w:r w:rsidRPr="008B5241">
        <w:rPr>
          <w:sz w:val="24"/>
          <w:szCs w:val="24"/>
        </w:rPr>
        <w:lastRenderedPageBreak/>
        <w:t>Biomethane can be used in the same applications as natural gas (NG), meaning it is a natural and direct substitute for fossil natural gas (NG), but with renewable sources (NGR). However, its production for use as a NG substitute requires biogas purification, a process that reduces the concentrations of moisture, CO2, and other lower concentrations, resulting in a methane-rich gas (biomethane) with similar physical and chemical properties to natural gas. After compression, biomethane can be used directly in the pipeline for supply in various applications, including vehicles. After compression, condensation, and storage in tanks or cylinders, it can also be used in various applications, including vehicles (Figure 5).</w:t>
      </w:r>
    </w:p>
    <w:p w:rsidR="003205FD" w:rsidRPr="008B5241" w:rsidRDefault="003205FD" w:rsidP="003205FD">
      <w:pPr>
        <w:jc w:val="both"/>
        <w:rPr>
          <w:sz w:val="24"/>
          <w:szCs w:val="24"/>
        </w:rPr>
      </w:pPr>
    </w:p>
    <w:p w:rsidR="003205FD" w:rsidRPr="004D0293" w:rsidRDefault="003205FD" w:rsidP="003205FD">
      <w:pPr>
        <w:jc w:val="both"/>
        <w:rPr>
          <w:b/>
          <w:bCs/>
          <w:sz w:val="20"/>
          <w:szCs w:val="20"/>
        </w:rPr>
      </w:pPr>
      <w:r w:rsidRPr="004D0293">
        <w:rPr>
          <w:b/>
          <w:bCs/>
          <w:sz w:val="20"/>
          <w:szCs w:val="20"/>
        </w:rPr>
        <w:t>Figure 5 - Simplified flowchart of the production and end use of biogas and biomethane.</w:t>
      </w:r>
    </w:p>
    <w:p w:rsidR="003205FD" w:rsidRPr="008B5241" w:rsidRDefault="003205FD" w:rsidP="00FF0CB3">
      <w:pPr>
        <w:jc w:val="center"/>
        <w:rPr>
          <w:sz w:val="24"/>
          <w:szCs w:val="24"/>
        </w:rPr>
      </w:pPr>
      <w:r w:rsidRPr="008B5241">
        <w:rPr>
          <w:noProof/>
          <w:sz w:val="24"/>
          <w:szCs w:val="24"/>
        </w:rPr>
        <w:drawing>
          <wp:inline distT="0" distB="0" distL="0" distR="0" wp14:anchorId="2783066E" wp14:editId="689A6C0C">
            <wp:extent cx="2670048" cy="1972660"/>
            <wp:effectExtent l="0" t="0" r="0" b="889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9"/>
                    <pic:cNvPicPr>
                      <a:picLocks noChangeAspect="1" noChangeArrowheads="1"/>
                    </pic:cNvPicPr>
                  </pic:nvPicPr>
                  <pic:blipFill>
                    <a:blip r:embed="rId9" cstate="print">
                      <a:extLst>
                        <a:ext uri="{28A0092B-C50C-407E-A947-70E740481C1C}">
                          <a14:useLocalDpi xmlns:a14="http://schemas.microsoft.com/office/drawing/2010/main" val="0"/>
                        </a:ext>
                      </a:extLst>
                    </a:blip>
                    <a:srcRect l="24802" t="13724" r="21518" b="21388"/>
                    <a:stretch>
                      <a:fillRect/>
                    </a:stretch>
                  </pic:blipFill>
                  <pic:spPr bwMode="auto">
                    <a:xfrm>
                      <a:off x="0" y="0"/>
                      <a:ext cx="2704545" cy="1998146"/>
                    </a:xfrm>
                    <a:prstGeom prst="rect">
                      <a:avLst/>
                    </a:prstGeom>
                    <a:noFill/>
                    <a:ln>
                      <a:noFill/>
                    </a:ln>
                  </pic:spPr>
                </pic:pic>
              </a:graphicData>
            </a:graphic>
          </wp:inline>
        </w:drawing>
      </w:r>
    </w:p>
    <w:p w:rsidR="003205FD" w:rsidRPr="00AA6B54" w:rsidRDefault="003205FD" w:rsidP="003205FD">
      <w:pPr>
        <w:jc w:val="both"/>
        <w:rPr>
          <w:sz w:val="20"/>
          <w:szCs w:val="20"/>
        </w:rPr>
      </w:pPr>
      <w:r w:rsidRPr="00AA6B54">
        <w:rPr>
          <w:sz w:val="20"/>
          <w:szCs w:val="20"/>
        </w:rPr>
        <w:t>Source: Prepared by the Authors.</w:t>
      </w:r>
    </w:p>
    <w:p w:rsidR="002E04D4" w:rsidRPr="008B5241" w:rsidRDefault="002E04D4" w:rsidP="003205FD">
      <w:pPr>
        <w:jc w:val="both"/>
        <w:rPr>
          <w:sz w:val="24"/>
          <w:szCs w:val="24"/>
        </w:rPr>
      </w:pPr>
    </w:p>
    <w:p w:rsidR="003205FD" w:rsidRDefault="003205FD" w:rsidP="003205FD">
      <w:pPr>
        <w:jc w:val="both"/>
        <w:rPr>
          <w:sz w:val="24"/>
          <w:szCs w:val="24"/>
        </w:rPr>
      </w:pPr>
      <w:r w:rsidRPr="008B5241">
        <w:rPr>
          <w:sz w:val="24"/>
          <w:szCs w:val="24"/>
        </w:rPr>
        <w:t>The transportation sector is the largest CO2 emitter in Brazil, according to the BEN 2025 (Table 5), which causes environmental problems that can be reduced with the use of alternative energy sources such as biomethane.</w:t>
      </w:r>
    </w:p>
    <w:p w:rsidR="002E04D4" w:rsidRPr="008B5241" w:rsidRDefault="002E04D4" w:rsidP="003205FD">
      <w:pPr>
        <w:jc w:val="both"/>
        <w:rPr>
          <w:sz w:val="24"/>
          <w:szCs w:val="24"/>
        </w:rPr>
      </w:pPr>
    </w:p>
    <w:p w:rsidR="003205FD" w:rsidRPr="00DF022C" w:rsidRDefault="003205FD" w:rsidP="003205FD">
      <w:pPr>
        <w:jc w:val="both"/>
        <w:rPr>
          <w:b/>
          <w:bCs/>
          <w:sz w:val="24"/>
          <w:szCs w:val="24"/>
        </w:rPr>
      </w:pPr>
      <w:r w:rsidRPr="00DF022C">
        <w:rPr>
          <w:b/>
          <w:bCs/>
          <w:sz w:val="20"/>
          <w:szCs w:val="20"/>
        </w:rPr>
        <w:t>Table 5 – Total Emissions (2023) in Mt CO2-eq</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4"/>
        <w:gridCol w:w="1148"/>
        <w:gridCol w:w="683"/>
      </w:tblGrid>
      <w:tr w:rsidR="003205FD" w:rsidRPr="002E04D4" w:rsidTr="00DF022C">
        <w:trPr>
          <w:jc w:val="center"/>
        </w:trPr>
        <w:tc>
          <w:tcPr>
            <w:tcW w:w="0" w:type="auto"/>
            <w:vAlign w:val="center"/>
          </w:tcPr>
          <w:p w:rsidR="003205FD" w:rsidRPr="002E04D4" w:rsidRDefault="003205FD" w:rsidP="00FF0CB3">
            <w:pPr>
              <w:pStyle w:val="Tabelas"/>
              <w:spacing w:line="240" w:lineRule="auto"/>
              <w:jc w:val="center"/>
              <w:rPr>
                <w:rFonts w:ascii="Times New Roman" w:hAnsi="Times New Roman"/>
              </w:rPr>
            </w:pPr>
            <w:proofErr w:type="spellStart"/>
            <w:r w:rsidRPr="002E04D4">
              <w:rPr>
                <w:rFonts w:ascii="Times New Roman" w:hAnsi="Times New Roman"/>
              </w:rPr>
              <w:t>Sectors</w:t>
            </w:r>
            <w:proofErr w:type="spellEnd"/>
          </w:p>
        </w:tc>
        <w:tc>
          <w:tcPr>
            <w:tcW w:w="0" w:type="auto"/>
            <w:vAlign w:val="center"/>
          </w:tcPr>
          <w:p w:rsidR="003205FD" w:rsidRPr="002E04D4" w:rsidRDefault="003205FD" w:rsidP="00FF0CB3">
            <w:pPr>
              <w:pStyle w:val="Tabelas"/>
              <w:spacing w:line="240" w:lineRule="auto"/>
              <w:jc w:val="center"/>
              <w:rPr>
                <w:rFonts w:ascii="Times New Roman" w:hAnsi="Times New Roman"/>
              </w:rPr>
            </w:pPr>
            <w:proofErr w:type="spellStart"/>
            <w:r w:rsidRPr="002E04D4">
              <w:rPr>
                <w:rFonts w:ascii="Times New Roman" w:hAnsi="Times New Roman"/>
              </w:rPr>
              <w:t>Mt</w:t>
            </w:r>
            <w:proofErr w:type="spellEnd"/>
            <w:r w:rsidRPr="002E04D4">
              <w:rPr>
                <w:rFonts w:ascii="Times New Roman" w:hAnsi="Times New Roman"/>
              </w:rPr>
              <w:t xml:space="preserve"> CO</w:t>
            </w:r>
            <w:r w:rsidRPr="002E04D4">
              <w:rPr>
                <w:rFonts w:ascii="Times New Roman" w:hAnsi="Times New Roman"/>
                <w:vertAlign w:val="subscript"/>
              </w:rPr>
              <w:t>2</w:t>
            </w:r>
            <w:r w:rsidRPr="002E04D4">
              <w:rPr>
                <w:rFonts w:ascii="Times New Roman" w:hAnsi="Times New Roman"/>
              </w:rPr>
              <w:t xml:space="preserve"> -</w:t>
            </w:r>
            <w:proofErr w:type="spellStart"/>
            <w:r w:rsidRPr="002E04D4">
              <w:rPr>
                <w:rFonts w:ascii="Times New Roman" w:hAnsi="Times New Roman"/>
              </w:rPr>
              <w:t>eq</w:t>
            </w:r>
            <w:proofErr w:type="spellEnd"/>
          </w:p>
        </w:tc>
        <w:tc>
          <w:tcPr>
            <w:tcW w:w="0" w:type="auto"/>
            <w:vAlign w:val="center"/>
          </w:tcPr>
          <w:p w:rsidR="003205FD" w:rsidRPr="002E04D4" w:rsidRDefault="003205FD" w:rsidP="00FF0CB3">
            <w:pPr>
              <w:pStyle w:val="Tabelas"/>
              <w:spacing w:line="240" w:lineRule="auto"/>
              <w:jc w:val="center"/>
              <w:rPr>
                <w:rFonts w:ascii="Times New Roman" w:hAnsi="Times New Roman"/>
              </w:rPr>
            </w:pPr>
            <w:r w:rsidRPr="002E04D4">
              <w:rPr>
                <w:rFonts w:ascii="Times New Roman" w:hAnsi="Times New Roman"/>
              </w:rPr>
              <w:t>%</w:t>
            </w:r>
          </w:p>
        </w:tc>
      </w:tr>
      <w:tr w:rsidR="003205FD" w:rsidRPr="002E04D4" w:rsidTr="00DF022C">
        <w:trPr>
          <w:jc w:val="center"/>
        </w:trPr>
        <w:tc>
          <w:tcPr>
            <w:tcW w:w="0" w:type="auto"/>
            <w:vAlign w:val="center"/>
          </w:tcPr>
          <w:p w:rsidR="003205FD" w:rsidRPr="002E04D4" w:rsidRDefault="003205FD" w:rsidP="00FF0CB3">
            <w:pPr>
              <w:pStyle w:val="Tabelas"/>
              <w:spacing w:line="240" w:lineRule="auto"/>
              <w:rPr>
                <w:rFonts w:ascii="Times New Roman" w:hAnsi="Times New Roman"/>
              </w:rPr>
            </w:pPr>
            <w:proofErr w:type="spellStart"/>
            <w:r w:rsidRPr="002E04D4">
              <w:rPr>
                <w:rFonts w:ascii="Times New Roman" w:hAnsi="Times New Roman"/>
              </w:rPr>
              <w:t>Transportation</w:t>
            </w:r>
            <w:proofErr w:type="spellEnd"/>
          </w:p>
        </w:tc>
        <w:tc>
          <w:tcPr>
            <w:tcW w:w="0" w:type="auto"/>
            <w:vAlign w:val="center"/>
          </w:tcPr>
          <w:p w:rsidR="003205FD" w:rsidRPr="002E04D4" w:rsidRDefault="003205FD" w:rsidP="00FF0CB3">
            <w:pPr>
              <w:pStyle w:val="Tabelas"/>
              <w:spacing w:line="240" w:lineRule="auto"/>
              <w:jc w:val="right"/>
              <w:rPr>
                <w:rFonts w:ascii="Times New Roman" w:hAnsi="Times New Roman"/>
              </w:rPr>
            </w:pPr>
            <w:r w:rsidRPr="002E04D4">
              <w:rPr>
                <w:rFonts w:ascii="Times New Roman" w:hAnsi="Times New Roman"/>
              </w:rPr>
              <w:t>214</w:t>
            </w:r>
          </w:p>
        </w:tc>
        <w:tc>
          <w:tcPr>
            <w:tcW w:w="0" w:type="auto"/>
            <w:vAlign w:val="center"/>
          </w:tcPr>
          <w:p w:rsidR="003205FD" w:rsidRPr="002E04D4" w:rsidRDefault="003205FD" w:rsidP="00FF0CB3">
            <w:pPr>
              <w:pStyle w:val="Tabelas"/>
              <w:spacing w:line="240" w:lineRule="auto"/>
              <w:jc w:val="right"/>
              <w:rPr>
                <w:rFonts w:ascii="Times New Roman" w:hAnsi="Times New Roman"/>
              </w:rPr>
            </w:pPr>
            <w:r w:rsidRPr="002E04D4">
              <w:rPr>
                <w:rFonts w:ascii="Times New Roman" w:hAnsi="Times New Roman"/>
              </w:rPr>
              <w:t>50%</w:t>
            </w:r>
          </w:p>
        </w:tc>
      </w:tr>
      <w:tr w:rsidR="003205FD" w:rsidRPr="002E04D4" w:rsidTr="00DF022C">
        <w:trPr>
          <w:jc w:val="center"/>
        </w:trPr>
        <w:tc>
          <w:tcPr>
            <w:tcW w:w="0" w:type="auto"/>
            <w:vAlign w:val="center"/>
          </w:tcPr>
          <w:p w:rsidR="003205FD" w:rsidRPr="002E04D4" w:rsidRDefault="003205FD" w:rsidP="00FF0CB3">
            <w:pPr>
              <w:pStyle w:val="Tabelas"/>
              <w:spacing w:line="240" w:lineRule="auto"/>
              <w:rPr>
                <w:rFonts w:ascii="Times New Roman" w:hAnsi="Times New Roman"/>
              </w:rPr>
            </w:pPr>
            <w:proofErr w:type="spellStart"/>
            <w:r w:rsidRPr="002E04D4">
              <w:rPr>
                <w:rFonts w:ascii="Times New Roman" w:hAnsi="Times New Roman"/>
              </w:rPr>
              <w:t>Industry</w:t>
            </w:r>
            <w:proofErr w:type="spellEnd"/>
          </w:p>
        </w:tc>
        <w:tc>
          <w:tcPr>
            <w:tcW w:w="0" w:type="auto"/>
            <w:vAlign w:val="center"/>
          </w:tcPr>
          <w:p w:rsidR="003205FD" w:rsidRPr="002E04D4" w:rsidRDefault="003205FD" w:rsidP="00FF0CB3">
            <w:pPr>
              <w:pStyle w:val="Tabelas"/>
              <w:spacing w:line="240" w:lineRule="auto"/>
              <w:jc w:val="right"/>
              <w:rPr>
                <w:rFonts w:ascii="Times New Roman" w:hAnsi="Times New Roman"/>
              </w:rPr>
            </w:pPr>
            <w:r w:rsidRPr="002E04D4">
              <w:rPr>
                <w:rFonts w:ascii="Times New Roman" w:hAnsi="Times New Roman"/>
              </w:rPr>
              <w:t>75</w:t>
            </w:r>
          </w:p>
        </w:tc>
        <w:tc>
          <w:tcPr>
            <w:tcW w:w="0" w:type="auto"/>
            <w:vAlign w:val="center"/>
          </w:tcPr>
          <w:p w:rsidR="003205FD" w:rsidRPr="002E04D4" w:rsidRDefault="003205FD" w:rsidP="00FF0CB3">
            <w:pPr>
              <w:pStyle w:val="Tabelas"/>
              <w:spacing w:line="240" w:lineRule="auto"/>
              <w:jc w:val="right"/>
              <w:rPr>
                <w:rFonts w:ascii="Times New Roman" w:hAnsi="Times New Roman"/>
              </w:rPr>
            </w:pPr>
            <w:r w:rsidRPr="002E04D4">
              <w:rPr>
                <w:rFonts w:ascii="Times New Roman" w:hAnsi="Times New Roman"/>
              </w:rPr>
              <w:t>17%</w:t>
            </w:r>
          </w:p>
        </w:tc>
      </w:tr>
      <w:tr w:rsidR="003205FD" w:rsidRPr="002E04D4" w:rsidTr="00DF022C">
        <w:trPr>
          <w:jc w:val="center"/>
        </w:trPr>
        <w:tc>
          <w:tcPr>
            <w:tcW w:w="0" w:type="auto"/>
            <w:vAlign w:val="center"/>
          </w:tcPr>
          <w:p w:rsidR="003205FD" w:rsidRPr="002E04D4" w:rsidRDefault="003205FD" w:rsidP="00FF0CB3">
            <w:pPr>
              <w:pStyle w:val="Tabelas"/>
              <w:spacing w:line="240" w:lineRule="auto"/>
              <w:rPr>
                <w:rFonts w:ascii="Times New Roman" w:hAnsi="Times New Roman"/>
              </w:rPr>
            </w:pPr>
            <w:proofErr w:type="spellStart"/>
            <w:r w:rsidRPr="002E04D4">
              <w:rPr>
                <w:rFonts w:ascii="Times New Roman" w:hAnsi="Times New Roman"/>
              </w:rPr>
              <w:t>Residences</w:t>
            </w:r>
            <w:proofErr w:type="spellEnd"/>
          </w:p>
        </w:tc>
        <w:tc>
          <w:tcPr>
            <w:tcW w:w="0" w:type="auto"/>
            <w:vAlign w:val="center"/>
          </w:tcPr>
          <w:p w:rsidR="003205FD" w:rsidRPr="002E04D4" w:rsidRDefault="003205FD" w:rsidP="00FF0CB3">
            <w:pPr>
              <w:pStyle w:val="Tabelas"/>
              <w:spacing w:line="240" w:lineRule="auto"/>
              <w:jc w:val="right"/>
              <w:rPr>
                <w:rFonts w:ascii="Times New Roman" w:hAnsi="Times New Roman"/>
              </w:rPr>
            </w:pPr>
            <w:r w:rsidRPr="002E04D4">
              <w:rPr>
                <w:rFonts w:ascii="Times New Roman" w:hAnsi="Times New Roman"/>
              </w:rPr>
              <w:t>19</w:t>
            </w:r>
          </w:p>
        </w:tc>
        <w:tc>
          <w:tcPr>
            <w:tcW w:w="0" w:type="auto"/>
            <w:vAlign w:val="center"/>
          </w:tcPr>
          <w:p w:rsidR="003205FD" w:rsidRPr="002E04D4" w:rsidRDefault="003205FD" w:rsidP="00FF0CB3">
            <w:pPr>
              <w:pStyle w:val="Tabelas"/>
              <w:spacing w:line="240" w:lineRule="auto"/>
              <w:jc w:val="right"/>
              <w:rPr>
                <w:rFonts w:ascii="Times New Roman" w:hAnsi="Times New Roman"/>
              </w:rPr>
            </w:pPr>
            <w:r w:rsidRPr="002E04D4">
              <w:rPr>
                <w:rFonts w:ascii="Times New Roman" w:hAnsi="Times New Roman"/>
              </w:rPr>
              <w:t>4%</w:t>
            </w:r>
          </w:p>
        </w:tc>
      </w:tr>
      <w:tr w:rsidR="003205FD" w:rsidRPr="002E04D4" w:rsidTr="00DF022C">
        <w:trPr>
          <w:jc w:val="center"/>
        </w:trPr>
        <w:tc>
          <w:tcPr>
            <w:tcW w:w="0" w:type="auto"/>
            <w:vAlign w:val="center"/>
          </w:tcPr>
          <w:p w:rsidR="003205FD" w:rsidRPr="002E04D4" w:rsidRDefault="003205FD" w:rsidP="00FF0CB3">
            <w:pPr>
              <w:pStyle w:val="Tabelas"/>
              <w:spacing w:line="240" w:lineRule="auto"/>
              <w:rPr>
                <w:rFonts w:ascii="Times New Roman" w:hAnsi="Times New Roman"/>
              </w:rPr>
            </w:pPr>
            <w:proofErr w:type="spellStart"/>
            <w:r w:rsidRPr="002E04D4">
              <w:rPr>
                <w:rFonts w:ascii="Times New Roman" w:hAnsi="Times New Roman"/>
              </w:rPr>
              <w:t>Other</w:t>
            </w:r>
            <w:proofErr w:type="spellEnd"/>
            <w:r w:rsidRPr="002E04D4">
              <w:rPr>
                <w:rFonts w:ascii="Times New Roman" w:hAnsi="Times New Roman"/>
              </w:rPr>
              <w:t xml:space="preserve"> </w:t>
            </w:r>
            <w:proofErr w:type="spellStart"/>
            <w:r w:rsidRPr="002E04D4">
              <w:rPr>
                <w:rFonts w:ascii="Times New Roman" w:hAnsi="Times New Roman"/>
              </w:rPr>
              <w:t>Sectors</w:t>
            </w:r>
            <w:proofErr w:type="spellEnd"/>
            <w:r w:rsidRPr="002E04D4">
              <w:rPr>
                <w:rFonts w:ascii="Times New Roman" w:hAnsi="Times New Roman"/>
              </w:rPr>
              <w:t xml:space="preserve"> </w:t>
            </w:r>
          </w:p>
        </w:tc>
        <w:tc>
          <w:tcPr>
            <w:tcW w:w="0" w:type="auto"/>
            <w:vAlign w:val="center"/>
          </w:tcPr>
          <w:p w:rsidR="003205FD" w:rsidRPr="002E04D4" w:rsidRDefault="003205FD" w:rsidP="00FF0CB3">
            <w:pPr>
              <w:pStyle w:val="Tabelas"/>
              <w:spacing w:line="240" w:lineRule="auto"/>
              <w:jc w:val="right"/>
              <w:rPr>
                <w:rFonts w:ascii="Times New Roman" w:hAnsi="Times New Roman"/>
              </w:rPr>
            </w:pPr>
            <w:r w:rsidRPr="002E04D4">
              <w:rPr>
                <w:rFonts w:ascii="Times New Roman" w:hAnsi="Times New Roman"/>
              </w:rPr>
              <w:t>124</w:t>
            </w:r>
          </w:p>
        </w:tc>
        <w:tc>
          <w:tcPr>
            <w:tcW w:w="0" w:type="auto"/>
            <w:vAlign w:val="center"/>
          </w:tcPr>
          <w:p w:rsidR="003205FD" w:rsidRPr="002E04D4" w:rsidRDefault="003205FD" w:rsidP="00FF0CB3">
            <w:pPr>
              <w:pStyle w:val="Tabelas"/>
              <w:spacing w:line="240" w:lineRule="auto"/>
              <w:jc w:val="right"/>
              <w:rPr>
                <w:rFonts w:ascii="Times New Roman" w:hAnsi="Times New Roman"/>
              </w:rPr>
            </w:pPr>
            <w:r w:rsidRPr="002E04D4">
              <w:rPr>
                <w:rFonts w:ascii="Times New Roman" w:hAnsi="Times New Roman"/>
              </w:rPr>
              <w:t>29%</w:t>
            </w:r>
          </w:p>
        </w:tc>
      </w:tr>
      <w:tr w:rsidR="003205FD" w:rsidRPr="002E04D4" w:rsidTr="00DF022C">
        <w:trPr>
          <w:jc w:val="center"/>
        </w:trPr>
        <w:tc>
          <w:tcPr>
            <w:tcW w:w="0" w:type="auto"/>
            <w:vAlign w:val="center"/>
          </w:tcPr>
          <w:p w:rsidR="003205FD" w:rsidRPr="002E04D4" w:rsidRDefault="003205FD" w:rsidP="00FF0CB3">
            <w:pPr>
              <w:pStyle w:val="Tabelas"/>
              <w:spacing w:line="240" w:lineRule="auto"/>
              <w:rPr>
                <w:rFonts w:ascii="Times New Roman" w:hAnsi="Times New Roman"/>
              </w:rPr>
            </w:pPr>
            <w:r w:rsidRPr="002E04D4">
              <w:rPr>
                <w:rFonts w:ascii="Times New Roman" w:hAnsi="Times New Roman"/>
              </w:rPr>
              <w:t>TOTAL</w:t>
            </w:r>
          </w:p>
        </w:tc>
        <w:tc>
          <w:tcPr>
            <w:tcW w:w="0" w:type="auto"/>
            <w:vAlign w:val="center"/>
          </w:tcPr>
          <w:p w:rsidR="003205FD" w:rsidRPr="002E04D4" w:rsidRDefault="003205FD" w:rsidP="00FF0CB3">
            <w:pPr>
              <w:pStyle w:val="Tabelas"/>
              <w:spacing w:line="240" w:lineRule="auto"/>
              <w:jc w:val="right"/>
              <w:rPr>
                <w:rFonts w:ascii="Times New Roman" w:hAnsi="Times New Roman"/>
              </w:rPr>
            </w:pPr>
            <w:r w:rsidRPr="002E04D4">
              <w:rPr>
                <w:rFonts w:ascii="Times New Roman" w:hAnsi="Times New Roman"/>
              </w:rPr>
              <w:t>431</w:t>
            </w:r>
          </w:p>
        </w:tc>
        <w:tc>
          <w:tcPr>
            <w:tcW w:w="0" w:type="auto"/>
            <w:vAlign w:val="center"/>
          </w:tcPr>
          <w:p w:rsidR="003205FD" w:rsidRPr="002E04D4" w:rsidRDefault="003205FD" w:rsidP="00FF0CB3">
            <w:pPr>
              <w:pStyle w:val="Tabelas"/>
              <w:spacing w:line="240" w:lineRule="auto"/>
              <w:jc w:val="right"/>
              <w:rPr>
                <w:rFonts w:ascii="Times New Roman" w:hAnsi="Times New Roman"/>
              </w:rPr>
            </w:pPr>
            <w:r w:rsidRPr="002E04D4">
              <w:rPr>
                <w:rFonts w:ascii="Times New Roman" w:hAnsi="Times New Roman"/>
              </w:rPr>
              <w:t>100%</w:t>
            </w:r>
          </w:p>
        </w:tc>
      </w:tr>
    </w:tbl>
    <w:p w:rsidR="003205FD" w:rsidRPr="00DF022C" w:rsidRDefault="003205FD" w:rsidP="003205FD">
      <w:pPr>
        <w:jc w:val="both"/>
        <w:rPr>
          <w:sz w:val="20"/>
          <w:szCs w:val="20"/>
        </w:rPr>
      </w:pPr>
      <w:r w:rsidRPr="00DF022C">
        <w:rPr>
          <w:sz w:val="20"/>
          <w:szCs w:val="20"/>
        </w:rPr>
        <w:t>Source: Prepared by the Authors based on data from the BEN 2025 – Summary Report [6].</w:t>
      </w:r>
    </w:p>
    <w:p w:rsidR="002E04D4" w:rsidRPr="00DF022C" w:rsidRDefault="002E04D4" w:rsidP="003205FD">
      <w:pPr>
        <w:jc w:val="both"/>
      </w:pPr>
    </w:p>
    <w:p w:rsidR="003205FD" w:rsidRDefault="003205FD" w:rsidP="003205FD">
      <w:pPr>
        <w:jc w:val="both"/>
        <w:rPr>
          <w:sz w:val="24"/>
          <w:szCs w:val="24"/>
        </w:rPr>
      </w:pPr>
      <w:r w:rsidRPr="008B5241">
        <w:rPr>
          <w:sz w:val="24"/>
          <w:szCs w:val="24"/>
        </w:rPr>
        <w:t xml:space="preserve">For vehicle use, adjustments may be necessary due to methane's </w:t>
      </w:r>
      <w:proofErr w:type="gramStart"/>
      <w:r w:rsidRPr="008B5241">
        <w:rPr>
          <w:sz w:val="24"/>
          <w:szCs w:val="24"/>
        </w:rPr>
        <w:t>high octane</w:t>
      </w:r>
      <w:proofErr w:type="gramEnd"/>
      <w:r w:rsidRPr="008B5241">
        <w:rPr>
          <w:sz w:val="24"/>
          <w:szCs w:val="24"/>
        </w:rPr>
        <w:t xml:space="preserve"> rating, but the biggest problem is its energy density, much lower than that of diesel </w:t>
      </w:r>
      <w:r>
        <w:rPr>
          <w:sz w:val="24"/>
          <w:szCs w:val="24"/>
        </w:rPr>
        <w:t>[19]</w:t>
      </w:r>
      <w:r w:rsidRPr="008B5241">
        <w:rPr>
          <w:sz w:val="24"/>
          <w:szCs w:val="24"/>
        </w:rPr>
        <w:t xml:space="preserve">. This requires tanks that can withstand the operating pressure and offer </w:t>
      </w:r>
      <w:r w:rsidRPr="008B5241">
        <w:rPr>
          <w:sz w:val="24"/>
          <w:szCs w:val="24"/>
        </w:rPr>
        <w:t>satisfactory range. Furthermore, biomethane functions as a vehicle fuel in the same way as natural gas (or fossil methane) and, therefore, can be used in conventional natural gas (NGV) vehicles. Different types of biomethane engines can be used: A specific biomethane gas engine - operates on 100% biomethane; a gasoline/biomethane flex-fuel engine; a diesel/biomethane flex-fuel engine; and a tri-fuel engine - a combination of a flex-fuel vehicle with a natural gas (NGV) vehicle. A flex-fuel vehicle uses gasoline and ethanol, either exclusively or as a blend. Thus, a tri-fuel vehicle runs on gasoline, ethanol (or both), and natural gas or biomethane. Perhaps it is the most appropriate choice for Brazil, which has had a consolidated and efficient fuel ethanol program for 50 years.</w:t>
      </w:r>
    </w:p>
    <w:p w:rsidR="00AA6B54" w:rsidRPr="008B5241" w:rsidRDefault="00AA6B54" w:rsidP="003205FD">
      <w:pPr>
        <w:jc w:val="both"/>
        <w:rPr>
          <w:sz w:val="24"/>
          <w:szCs w:val="24"/>
        </w:rPr>
      </w:pPr>
    </w:p>
    <w:p w:rsidR="003205FD" w:rsidRPr="00143552" w:rsidRDefault="003205FD" w:rsidP="00AA6B54">
      <w:pPr>
        <w:spacing w:line="360" w:lineRule="auto"/>
        <w:jc w:val="both"/>
        <w:rPr>
          <w:b/>
          <w:bCs/>
          <w:sz w:val="24"/>
          <w:szCs w:val="24"/>
        </w:rPr>
      </w:pPr>
      <w:r w:rsidRPr="00143552">
        <w:rPr>
          <w:b/>
          <w:bCs/>
          <w:sz w:val="24"/>
          <w:szCs w:val="24"/>
        </w:rPr>
        <w:t>6. ADVANTAGES OF USING BIOMETHANE</w:t>
      </w:r>
    </w:p>
    <w:p w:rsidR="003205FD" w:rsidRPr="008B5241" w:rsidRDefault="003205FD" w:rsidP="003205FD">
      <w:pPr>
        <w:jc w:val="both"/>
        <w:rPr>
          <w:sz w:val="24"/>
          <w:szCs w:val="24"/>
        </w:rPr>
      </w:pPr>
      <w:r w:rsidRPr="008B5241">
        <w:rPr>
          <w:sz w:val="24"/>
          <w:szCs w:val="24"/>
        </w:rPr>
        <w:t xml:space="preserve">The Gross Calorific Value (GCV) of biomethane ranges from [9.47 to 11.94] kWh/m³ </w:t>
      </w:r>
      <w:r>
        <w:rPr>
          <w:sz w:val="24"/>
          <w:szCs w:val="24"/>
        </w:rPr>
        <w:t>[12]</w:t>
      </w:r>
      <w:r w:rsidRPr="008B5241">
        <w:rPr>
          <w:sz w:val="24"/>
          <w:szCs w:val="24"/>
        </w:rPr>
        <w:t xml:space="preserve"> and is equivalent to the GCV of natural gas. In energy terms, 1 Nm³ of biomethane is equivalent to 0.87 liters of diesel </w:t>
      </w:r>
      <w:r>
        <w:rPr>
          <w:sz w:val="24"/>
          <w:szCs w:val="24"/>
        </w:rPr>
        <w:t>[8]</w:t>
      </w:r>
      <w:r w:rsidRPr="008B5241">
        <w:rPr>
          <w:sz w:val="24"/>
          <w:szCs w:val="24"/>
        </w:rPr>
        <w:t>.</w:t>
      </w:r>
    </w:p>
    <w:p w:rsidR="003205FD" w:rsidRDefault="003205FD" w:rsidP="003205FD">
      <w:pPr>
        <w:jc w:val="both"/>
        <w:rPr>
          <w:sz w:val="24"/>
          <w:szCs w:val="24"/>
        </w:rPr>
      </w:pPr>
      <w:r w:rsidRPr="008B5241">
        <w:rPr>
          <w:sz w:val="24"/>
          <w:szCs w:val="24"/>
        </w:rPr>
        <w:t xml:space="preserve">The use of biomethane as a renewable fuel helps mitigate GHG emissions, and its production from organic waste prevents the release of methane into the atmosphere </w:t>
      </w:r>
      <w:r>
        <w:rPr>
          <w:sz w:val="24"/>
          <w:szCs w:val="24"/>
        </w:rPr>
        <w:t xml:space="preserve">[13] </w:t>
      </w:r>
      <w:r w:rsidRPr="008B5241">
        <w:rPr>
          <w:sz w:val="24"/>
          <w:szCs w:val="24"/>
        </w:rPr>
        <w:t>and uses urban solid waste and agro-industrial byproducts for energy. Through anaerobic digestion, this waste is converted into biogas, which, after purification, results in biomethane. This process not only reduces the amount of waste sent to landfills but also generates biofertilizer as a byproduct, contributing to soil fertility and closing the nutrient cycle.</w:t>
      </w:r>
    </w:p>
    <w:p w:rsidR="00AA6B54" w:rsidRPr="008B5241" w:rsidRDefault="00AA6B54" w:rsidP="003205FD">
      <w:pPr>
        <w:jc w:val="both"/>
        <w:rPr>
          <w:sz w:val="24"/>
          <w:szCs w:val="24"/>
        </w:rPr>
      </w:pPr>
    </w:p>
    <w:p w:rsidR="003205FD" w:rsidRPr="00143552" w:rsidRDefault="003205FD" w:rsidP="00AA6B54">
      <w:pPr>
        <w:spacing w:line="360" w:lineRule="auto"/>
        <w:jc w:val="both"/>
        <w:rPr>
          <w:b/>
          <w:bCs/>
          <w:sz w:val="24"/>
          <w:szCs w:val="24"/>
        </w:rPr>
      </w:pPr>
      <w:r w:rsidRPr="00143552">
        <w:rPr>
          <w:b/>
          <w:bCs/>
          <w:sz w:val="24"/>
          <w:szCs w:val="24"/>
        </w:rPr>
        <w:t>7. OPPORTUNITIES FOR BIOMETHANE GROWTH IN BRAZIL</w:t>
      </w:r>
    </w:p>
    <w:p w:rsidR="003205FD" w:rsidRDefault="003205FD" w:rsidP="003205FD">
      <w:pPr>
        <w:jc w:val="both"/>
        <w:rPr>
          <w:sz w:val="24"/>
          <w:szCs w:val="24"/>
        </w:rPr>
      </w:pPr>
      <w:r w:rsidRPr="008B5241">
        <w:rPr>
          <w:sz w:val="24"/>
          <w:szCs w:val="24"/>
        </w:rPr>
        <w:t>Brazil has vast potential to expand biomethane production, especially by integrating new economic sectors and exploring different biomass sources.</w:t>
      </w:r>
    </w:p>
    <w:p w:rsidR="00DF022C" w:rsidRPr="008B5241" w:rsidRDefault="00DF022C" w:rsidP="003205FD">
      <w:pPr>
        <w:jc w:val="both"/>
        <w:rPr>
          <w:sz w:val="24"/>
          <w:szCs w:val="24"/>
        </w:rPr>
      </w:pPr>
    </w:p>
    <w:p w:rsidR="003205FD" w:rsidRPr="00143552" w:rsidRDefault="003205FD" w:rsidP="003205FD">
      <w:pPr>
        <w:jc w:val="both"/>
        <w:rPr>
          <w:b/>
          <w:bCs/>
          <w:sz w:val="24"/>
          <w:szCs w:val="24"/>
        </w:rPr>
      </w:pPr>
      <w:r w:rsidRPr="00143552">
        <w:rPr>
          <w:b/>
          <w:bCs/>
          <w:sz w:val="24"/>
          <w:szCs w:val="24"/>
        </w:rPr>
        <w:t>a. Sugarcane Sector</w:t>
      </w:r>
    </w:p>
    <w:p w:rsidR="003205FD" w:rsidRDefault="003205FD" w:rsidP="003205FD">
      <w:pPr>
        <w:jc w:val="both"/>
        <w:rPr>
          <w:sz w:val="24"/>
          <w:szCs w:val="24"/>
        </w:rPr>
      </w:pPr>
      <w:r w:rsidRPr="008B5241">
        <w:rPr>
          <w:sz w:val="24"/>
          <w:szCs w:val="24"/>
        </w:rPr>
        <w:t xml:space="preserve">The sugarcane industry presents significant opportunities for biomethane production. Waste such as filter cake and </w:t>
      </w:r>
      <w:proofErr w:type="spellStart"/>
      <w:r w:rsidRPr="008B5241">
        <w:rPr>
          <w:sz w:val="24"/>
          <w:szCs w:val="24"/>
        </w:rPr>
        <w:t>vinasse</w:t>
      </w:r>
      <w:proofErr w:type="spellEnd"/>
      <w:r w:rsidRPr="008B5241">
        <w:rPr>
          <w:sz w:val="24"/>
          <w:szCs w:val="24"/>
        </w:rPr>
        <w:t xml:space="preserve"> can be used to generate biogas, which, after purification, results in biomethane. Studies indicate that, by 2034, it is </w:t>
      </w:r>
      <w:r w:rsidRPr="008B5241">
        <w:rPr>
          <w:sz w:val="24"/>
          <w:szCs w:val="24"/>
        </w:rPr>
        <w:lastRenderedPageBreak/>
        <w:t xml:space="preserve">possible to produce approximately 3.3 billion Nm³ of biomethane from this waste, meeting approximately 39% of the agricultural sector's diesel demand </w:t>
      </w:r>
      <w:r>
        <w:rPr>
          <w:sz w:val="24"/>
          <w:szCs w:val="24"/>
        </w:rPr>
        <w:t>[14]</w:t>
      </w:r>
      <w:r w:rsidRPr="008B5241">
        <w:rPr>
          <w:sz w:val="24"/>
          <w:szCs w:val="24"/>
        </w:rPr>
        <w:t>.</w:t>
      </w:r>
    </w:p>
    <w:p w:rsidR="00DF022C" w:rsidRPr="008B5241" w:rsidRDefault="00DF022C" w:rsidP="003205FD">
      <w:pPr>
        <w:jc w:val="both"/>
        <w:rPr>
          <w:sz w:val="24"/>
          <w:szCs w:val="24"/>
        </w:rPr>
      </w:pPr>
    </w:p>
    <w:p w:rsidR="003205FD" w:rsidRPr="00143552" w:rsidRDefault="003205FD" w:rsidP="003205FD">
      <w:pPr>
        <w:jc w:val="both"/>
        <w:rPr>
          <w:b/>
          <w:bCs/>
          <w:sz w:val="24"/>
          <w:szCs w:val="24"/>
        </w:rPr>
      </w:pPr>
      <w:r w:rsidRPr="00143552">
        <w:rPr>
          <w:b/>
          <w:bCs/>
          <w:sz w:val="24"/>
          <w:szCs w:val="24"/>
        </w:rPr>
        <w:t>b. Urban Solid Waste (MSW) Sector</w:t>
      </w:r>
    </w:p>
    <w:p w:rsidR="003205FD" w:rsidRPr="008B5241" w:rsidRDefault="003205FD" w:rsidP="003205FD">
      <w:pPr>
        <w:jc w:val="both"/>
        <w:rPr>
          <w:sz w:val="24"/>
          <w:szCs w:val="24"/>
        </w:rPr>
      </w:pPr>
      <w:r w:rsidRPr="008B5241">
        <w:rPr>
          <w:sz w:val="24"/>
          <w:szCs w:val="24"/>
        </w:rPr>
        <w:t>Municipal waste management represents another frontier for the expansion of biomethane. The anaerobic decomposition of organic waste in landfills and sewage treatment plants generates biogas, which can be converted into biomethane.</w:t>
      </w:r>
    </w:p>
    <w:p w:rsidR="003205FD" w:rsidRDefault="003205FD" w:rsidP="003205FD">
      <w:pPr>
        <w:jc w:val="both"/>
        <w:rPr>
          <w:sz w:val="24"/>
          <w:szCs w:val="24"/>
        </w:rPr>
      </w:pPr>
      <w:r w:rsidRPr="008B5241">
        <w:rPr>
          <w:sz w:val="24"/>
          <w:szCs w:val="24"/>
        </w:rPr>
        <w:t xml:space="preserve">The waste sector is responsible for the emission of 3.17 Mt of methane </w:t>
      </w:r>
      <w:r>
        <w:rPr>
          <w:sz w:val="24"/>
          <w:szCs w:val="24"/>
        </w:rPr>
        <w:t>[15]</w:t>
      </w:r>
      <w:r w:rsidRPr="008B5241">
        <w:rPr>
          <w:sz w:val="24"/>
          <w:szCs w:val="24"/>
        </w:rPr>
        <w:t xml:space="preserve">, and biomethane production can address emissions from the waste sector in Brazil if it uses municipal solid waste (MSW), domestic and industrial liquid effluents, and agricultural waste as raw materials. With the New Regulatory Framework for Basic Sanitation, established by Law 14,026 of July 15, 2020, which reinforces the National Solid Waste Policy, an increase in waste collection and treatment is expected, expanding the potential for biomethane production in this sector </w:t>
      </w:r>
      <w:r>
        <w:rPr>
          <w:sz w:val="24"/>
          <w:szCs w:val="24"/>
        </w:rPr>
        <w:t>[16]</w:t>
      </w:r>
      <w:r w:rsidRPr="008B5241">
        <w:rPr>
          <w:sz w:val="24"/>
          <w:szCs w:val="24"/>
        </w:rPr>
        <w:t>.</w:t>
      </w:r>
    </w:p>
    <w:p w:rsidR="00DF022C" w:rsidRPr="008B5241" w:rsidRDefault="00DF022C" w:rsidP="003205FD">
      <w:pPr>
        <w:jc w:val="both"/>
        <w:rPr>
          <w:sz w:val="24"/>
          <w:szCs w:val="24"/>
        </w:rPr>
      </w:pPr>
    </w:p>
    <w:p w:rsidR="003205FD" w:rsidRPr="00143552" w:rsidRDefault="003205FD" w:rsidP="003205FD">
      <w:pPr>
        <w:jc w:val="both"/>
        <w:rPr>
          <w:b/>
          <w:bCs/>
          <w:sz w:val="24"/>
          <w:szCs w:val="24"/>
        </w:rPr>
      </w:pPr>
      <w:r w:rsidRPr="00143552">
        <w:rPr>
          <w:b/>
          <w:bCs/>
          <w:sz w:val="24"/>
          <w:szCs w:val="24"/>
        </w:rPr>
        <w:t>c. Animal Protein Sector</w:t>
      </w:r>
    </w:p>
    <w:p w:rsidR="003205FD" w:rsidRDefault="003205FD" w:rsidP="003205FD">
      <w:pPr>
        <w:jc w:val="both"/>
        <w:rPr>
          <w:sz w:val="24"/>
          <w:szCs w:val="24"/>
        </w:rPr>
      </w:pPr>
      <w:r w:rsidRPr="008B5241">
        <w:rPr>
          <w:sz w:val="24"/>
          <w:szCs w:val="24"/>
        </w:rPr>
        <w:t xml:space="preserve">Brazil is one of the world's largest producers of animal protein, generating large volumes of organic waste. This waste, from slaughterhouses and farms, can be used to produce biogas and, consequently, biomethane. The use of this waste contributes to the sustainability of the sector and the diversification of the energy matrix </w:t>
      </w:r>
      <w:r>
        <w:rPr>
          <w:sz w:val="24"/>
          <w:szCs w:val="24"/>
        </w:rPr>
        <w:t>[7]</w:t>
      </w:r>
      <w:r w:rsidRPr="008B5241">
        <w:rPr>
          <w:sz w:val="24"/>
          <w:szCs w:val="24"/>
        </w:rPr>
        <w:t>.</w:t>
      </w:r>
    </w:p>
    <w:p w:rsidR="00DF022C" w:rsidRPr="008B5241" w:rsidRDefault="00DF022C" w:rsidP="003205FD">
      <w:pPr>
        <w:jc w:val="both"/>
        <w:rPr>
          <w:sz w:val="24"/>
          <w:szCs w:val="24"/>
        </w:rPr>
      </w:pPr>
    </w:p>
    <w:p w:rsidR="003205FD" w:rsidRPr="00143552" w:rsidRDefault="003205FD" w:rsidP="003205FD">
      <w:pPr>
        <w:jc w:val="both"/>
        <w:rPr>
          <w:b/>
          <w:bCs/>
          <w:sz w:val="24"/>
          <w:szCs w:val="24"/>
        </w:rPr>
      </w:pPr>
      <w:r w:rsidRPr="00143552">
        <w:rPr>
          <w:b/>
          <w:bCs/>
          <w:sz w:val="24"/>
          <w:szCs w:val="24"/>
        </w:rPr>
        <w:t>d. Carbon Credit Generation in Biomethane Production</w:t>
      </w:r>
    </w:p>
    <w:p w:rsidR="003205FD" w:rsidRDefault="003205FD" w:rsidP="003205FD">
      <w:pPr>
        <w:jc w:val="both"/>
        <w:rPr>
          <w:sz w:val="24"/>
          <w:szCs w:val="24"/>
        </w:rPr>
      </w:pPr>
      <w:r w:rsidRPr="008B5241">
        <w:rPr>
          <w:sz w:val="24"/>
          <w:szCs w:val="24"/>
        </w:rPr>
        <w:t>Biomethane production involves the capture and purification of biogas resulting from the anaerobic decomposition of organic waste, a process that prevents methane emissions into the atmosphere, allowing the generation of carbon credits. For each ton of CO₂ equivalent not emitted, it is possible to generate a biofuel decarbonization credit (CBIO), a tradeable security on the stock exchange. According to the National Biofuels Policy (</w:t>
      </w:r>
      <w:proofErr w:type="spellStart"/>
      <w:r w:rsidRPr="008B5241">
        <w:rPr>
          <w:sz w:val="24"/>
          <w:szCs w:val="24"/>
        </w:rPr>
        <w:t>RenovaBio</w:t>
      </w:r>
      <w:proofErr w:type="spellEnd"/>
      <w:r w:rsidRPr="008B5241">
        <w:rPr>
          <w:sz w:val="24"/>
          <w:szCs w:val="24"/>
        </w:rPr>
        <w:t xml:space="preserve">), established by Law 13,576/2017 </w:t>
      </w:r>
      <w:r>
        <w:rPr>
          <w:sz w:val="24"/>
          <w:szCs w:val="24"/>
          <w:shd w:val="clear" w:color="auto" w:fill="FFFFFF"/>
        </w:rPr>
        <w:t>[17]</w:t>
      </w:r>
      <w:r w:rsidRPr="008B5241">
        <w:rPr>
          <w:sz w:val="24"/>
          <w:szCs w:val="24"/>
        </w:rPr>
        <w:t xml:space="preserve">, which established a carbon credit program linked to the fuel distribution sector, biomethane regulation is considered one of the eligible routes for generating decarbonization credits (CBIO) under ANP Resolution 758/2018 </w:t>
      </w:r>
      <w:r>
        <w:rPr>
          <w:sz w:val="24"/>
          <w:szCs w:val="24"/>
        </w:rPr>
        <w:t>[18]</w:t>
      </w:r>
      <w:r w:rsidRPr="008B5241">
        <w:rPr>
          <w:sz w:val="24"/>
          <w:szCs w:val="24"/>
        </w:rPr>
        <w:t xml:space="preserve">. Integrating biomethane production into carbon credit </w:t>
      </w:r>
      <w:r w:rsidRPr="008B5241">
        <w:rPr>
          <w:sz w:val="24"/>
          <w:szCs w:val="24"/>
        </w:rPr>
        <w:t>generation mechanisms represents an effective strategy for promoting environmental and economic sustainability in Brazil. With appropriate public policies and investments in infrastructure and technology, the country can establish itself as a leader in the production of renewable biofuels and in mitigating climate change.</w:t>
      </w:r>
    </w:p>
    <w:p w:rsidR="00AA6B54" w:rsidRPr="008B5241" w:rsidRDefault="00AA6B54" w:rsidP="003205FD">
      <w:pPr>
        <w:jc w:val="both"/>
        <w:rPr>
          <w:sz w:val="24"/>
          <w:szCs w:val="24"/>
        </w:rPr>
      </w:pPr>
    </w:p>
    <w:p w:rsidR="003205FD" w:rsidRPr="00143552" w:rsidRDefault="003205FD" w:rsidP="00AA6B54">
      <w:pPr>
        <w:spacing w:line="360" w:lineRule="auto"/>
        <w:jc w:val="both"/>
        <w:rPr>
          <w:b/>
          <w:bCs/>
          <w:sz w:val="24"/>
          <w:szCs w:val="24"/>
        </w:rPr>
      </w:pPr>
      <w:r w:rsidRPr="00143552">
        <w:rPr>
          <w:b/>
          <w:bCs/>
          <w:sz w:val="24"/>
          <w:szCs w:val="24"/>
        </w:rPr>
        <w:t>8. CONCLUSION</w:t>
      </w:r>
    </w:p>
    <w:p w:rsidR="004D0293" w:rsidRPr="004D0293" w:rsidRDefault="004D0293" w:rsidP="004D0293">
      <w:pPr>
        <w:jc w:val="both"/>
        <w:rPr>
          <w:sz w:val="24"/>
          <w:szCs w:val="24"/>
        </w:rPr>
      </w:pPr>
      <w:r w:rsidRPr="004D0293">
        <w:rPr>
          <w:sz w:val="24"/>
          <w:szCs w:val="24"/>
        </w:rPr>
        <w:t>Biomethane represents a key opportunity for Brazil to accelerate its transition toward a low-carbon, diversified, and circular energy matrix. As a renewable fuel with physical-chemical properties and calorific value comparable to those of fossil natural gas, biomethane can be seamlessly integrated into the existing gas infrastructure, avoiding the need for costly system adaptations. Its production from organic residues—agricultural, industrial, and urban—transforms environmental liabilities into strategic energy assets.</w:t>
      </w:r>
    </w:p>
    <w:p w:rsidR="004D0293" w:rsidRPr="004D0293" w:rsidRDefault="004D0293" w:rsidP="004D0293">
      <w:pPr>
        <w:jc w:val="both"/>
        <w:rPr>
          <w:sz w:val="24"/>
          <w:szCs w:val="24"/>
        </w:rPr>
      </w:pPr>
      <w:r w:rsidRPr="004D0293">
        <w:rPr>
          <w:sz w:val="24"/>
          <w:szCs w:val="24"/>
        </w:rPr>
        <w:t>The environmental benefits of biomethane are particularly significant: it reduces methane emissions from waste, mitigates overall greenhouse gas (GHG) emissions, and contributes to achieving international climate targets. Moreover, its production process generates valuable co-products such as biofertilizers and green CO₂, supporting the circular economy and sustainable agricultural practices.</w:t>
      </w:r>
    </w:p>
    <w:p w:rsidR="004D0293" w:rsidRPr="004D0293" w:rsidRDefault="004D0293" w:rsidP="004D0293">
      <w:pPr>
        <w:jc w:val="both"/>
        <w:rPr>
          <w:sz w:val="24"/>
          <w:szCs w:val="24"/>
        </w:rPr>
      </w:pPr>
      <w:r w:rsidRPr="004D0293">
        <w:rPr>
          <w:sz w:val="24"/>
          <w:szCs w:val="24"/>
        </w:rPr>
        <w:t xml:space="preserve">Economically, biomethane offers new revenue streams through the generation of decarbonization credits (CBIOs), in line with Brazil’s </w:t>
      </w:r>
      <w:proofErr w:type="spellStart"/>
      <w:r w:rsidRPr="004D0293">
        <w:rPr>
          <w:sz w:val="24"/>
          <w:szCs w:val="24"/>
        </w:rPr>
        <w:t>RenovaBio</w:t>
      </w:r>
      <w:proofErr w:type="spellEnd"/>
      <w:r w:rsidRPr="004D0293">
        <w:rPr>
          <w:sz w:val="24"/>
          <w:szCs w:val="24"/>
        </w:rPr>
        <w:t xml:space="preserve"> program. This not only improves its financial viability but also attracts investments in renewable energy and infrastructure, especially in rural areas where feedstock availability is high.</w:t>
      </w:r>
    </w:p>
    <w:p w:rsidR="004D0293" w:rsidRPr="004D0293" w:rsidRDefault="004D0293" w:rsidP="004D0293">
      <w:pPr>
        <w:jc w:val="both"/>
        <w:rPr>
          <w:sz w:val="24"/>
          <w:szCs w:val="24"/>
        </w:rPr>
      </w:pPr>
      <w:r w:rsidRPr="004D0293">
        <w:rPr>
          <w:sz w:val="24"/>
          <w:szCs w:val="24"/>
        </w:rPr>
        <w:t>Technologically, biomethane enables energy decentralization and strengthens energy security by providing a reliable, renewable, and local energy source. Its use in transportation—especially in heavy-duty vehicles—can significantly reduce Brazil’s oil dependency and pollution in urban centers.</w:t>
      </w:r>
    </w:p>
    <w:p w:rsidR="003205FD" w:rsidRPr="004D0293" w:rsidRDefault="004D0293" w:rsidP="004D0293">
      <w:pPr>
        <w:jc w:val="both"/>
        <w:rPr>
          <w:sz w:val="24"/>
          <w:szCs w:val="24"/>
        </w:rPr>
      </w:pPr>
      <w:r w:rsidRPr="004D0293">
        <w:rPr>
          <w:sz w:val="24"/>
          <w:szCs w:val="24"/>
        </w:rPr>
        <w:t xml:space="preserve">In summary, biomethane is not just a fuel—it is a catalyst for innovation, environmental restoration, and sustainable development. Its large-scale adoption offers Brazil a rare convergence of environmental responsibility, energy resilience, and economic opportunity. By embracing biomethane, Brazil positions itself as a global </w:t>
      </w:r>
      <w:r w:rsidRPr="004D0293">
        <w:rPr>
          <w:sz w:val="24"/>
          <w:szCs w:val="24"/>
        </w:rPr>
        <w:lastRenderedPageBreak/>
        <w:t>leader in renewable gas and paves the way for a just and efficient energy transition.</w:t>
      </w:r>
    </w:p>
    <w:p w:rsidR="004D0293" w:rsidRPr="007A1961" w:rsidRDefault="004D0293" w:rsidP="004D0293">
      <w:pPr>
        <w:pStyle w:val="NormalWeb"/>
        <w:spacing w:before="0" w:beforeAutospacing="0" w:after="0" w:afterAutospacing="0"/>
        <w:jc w:val="both"/>
        <w:rPr>
          <w:lang w:val="en-US"/>
        </w:rPr>
      </w:pPr>
    </w:p>
    <w:p w:rsidR="003205FD" w:rsidRPr="008B5241" w:rsidRDefault="003205FD" w:rsidP="003205FD">
      <w:pPr>
        <w:jc w:val="both"/>
        <w:rPr>
          <w:b/>
          <w:bCs/>
          <w:sz w:val="24"/>
          <w:szCs w:val="24"/>
        </w:rPr>
      </w:pPr>
      <w:r w:rsidRPr="008B5241">
        <w:rPr>
          <w:b/>
          <w:bCs/>
          <w:sz w:val="24"/>
          <w:szCs w:val="24"/>
        </w:rPr>
        <w:t>ACKNOWLEDGMENTS</w:t>
      </w:r>
    </w:p>
    <w:p w:rsidR="003205FD" w:rsidRPr="008B5241" w:rsidRDefault="003205FD" w:rsidP="003205FD">
      <w:pPr>
        <w:jc w:val="both"/>
        <w:rPr>
          <w:sz w:val="24"/>
          <w:szCs w:val="24"/>
        </w:rPr>
      </w:pPr>
      <w:r w:rsidRPr="008B5241">
        <w:rPr>
          <w:sz w:val="24"/>
          <w:szCs w:val="24"/>
        </w:rPr>
        <w:t xml:space="preserve">The authors would like to thank </w:t>
      </w:r>
      <w:proofErr w:type="spellStart"/>
      <w:r w:rsidRPr="008B5241">
        <w:rPr>
          <w:sz w:val="24"/>
          <w:szCs w:val="24"/>
        </w:rPr>
        <w:t>CNPq</w:t>
      </w:r>
      <w:proofErr w:type="spellEnd"/>
      <w:r w:rsidRPr="008B5241">
        <w:rPr>
          <w:sz w:val="24"/>
          <w:szCs w:val="24"/>
        </w:rPr>
        <w:t xml:space="preserve"> for the support provided through project 405778-2022-8 and INCITERE/FA</w:t>
      </w:r>
      <w:r w:rsidR="002E04D4">
        <w:rPr>
          <w:sz w:val="24"/>
          <w:szCs w:val="24"/>
        </w:rPr>
        <w:t>P</w:t>
      </w:r>
      <w:r w:rsidRPr="008B5241">
        <w:rPr>
          <w:sz w:val="24"/>
          <w:szCs w:val="24"/>
        </w:rPr>
        <w:t>ESB.</w:t>
      </w:r>
    </w:p>
    <w:p w:rsidR="003205FD" w:rsidRPr="008B5241" w:rsidRDefault="003205FD" w:rsidP="003205FD">
      <w:pPr>
        <w:jc w:val="both"/>
        <w:rPr>
          <w:sz w:val="24"/>
          <w:szCs w:val="24"/>
        </w:rPr>
      </w:pPr>
    </w:p>
    <w:p w:rsidR="003205FD" w:rsidRDefault="003205FD" w:rsidP="003205FD">
      <w:pPr>
        <w:jc w:val="both"/>
        <w:rPr>
          <w:sz w:val="24"/>
          <w:szCs w:val="24"/>
        </w:rPr>
      </w:pPr>
      <w:r w:rsidRPr="008B5241">
        <w:rPr>
          <w:b/>
          <w:bCs/>
          <w:sz w:val="24"/>
          <w:szCs w:val="24"/>
        </w:rPr>
        <w:t>REFERENCES</w:t>
      </w:r>
    </w:p>
    <w:p w:rsidR="003205FD" w:rsidRPr="003205FD" w:rsidRDefault="003205FD" w:rsidP="003205FD">
      <w:pPr>
        <w:jc w:val="both"/>
        <w:rPr>
          <w:color w:val="000000"/>
          <w:sz w:val="20"/>
          <w:szCs w:val="20"/>
          <w:shd w:val="clear" w:color="auto" w:fill="F7F7F7"/>
        </w:rPr>
      </w:pPr>
      <w:r w:rsidRPr="003205FD">
        <w:rPr>
          <w:sz w:val="20"/>
          <w:szCs w:val="20"/>
        </w:rPr>
        <w:t xml:space="preserve">[1] HOCEVAR, L. S.; D´AQUINO, C. de A.; ALVES, C. T. &amp; SANTOS, A. Á. B. </w:t>
      </w:r>
      <w:r w:rsidRPr="003205FD">
        <w:rPr>
          <w:color w:val="000000"/>
          <w:sz w:val="20"/>
          <w:szCs w:val="20"/>
          <w:shd w:val="clear" w:color="auto" w:fill="F7F7F7"/>
        </w:rPr>
        <w:t>(2025). Energy Use of Biomethane: Potential, Challenges and Opportunities in Brazil. </w:t>
      </w:r>
      <w:proofErr w:type="spellStart"/>
      <w:r w:rsidRPr="003205FD">
        <w:rPr>
          <w:color w:val="000000"/>
          <w:sz w:val="20"/>
          <w:szCs w:val="20"/>
          <w:bdr w:val="single" w:sz="2" w:space="0" w:color="E5E7EB" w:frame="1"/>
          <w:shd w:val="clear" w:color="auto" w:fill="F7F7F7"/>
        </w:rPr>
        <w:t>Revista</w:t>
      </w:r>
      <w:proofErr w:type="spellEnd"/>
      <w:r w:rsidRPr="003205FD">
        <w:rPr>
          <w:color w:val="000000"/>
          <w:sz w:val="20"/>
          <w:szCs w:val="20"/>
          <w:bdr w:val="single" w:sz="2" w:space="0" w:color="E5E7EB" w:frame="1"/>
          <w:shd w:val="clear" w:color="auto" w:fill="F7F7F7"/>
        </w:rPr>
        <w:t xml:space="preserve"> De </w:t>
      </w:r>
      <w:proofErr w:type="spellStart"/>
      <w:r w:rsidRPr="003205FD">
        <w:rPr>
          <w:color w:val="000000"/>
          <w:sz w:val="20"/>
          <w:szCs w:val="20"/>
          <w:bdr w:val="single" w:sz="2" w:space="0" w:color="E5E7EB" w:frame="1"/>
          <w:shd w:val="clear" w:color="auto" w:fill="F7F7F7"/>
        </w:rPr>
        <w:t>Gestão</w:t>
      </w:r>
      <w:proofErr w:type="spellEnd"/>
      <w:r w:rsidRPr="003205FD">
        <w:rPr>
          <w:color w:val="000000"/>
          <w:sz w:val="20"/>
          <w:szCs w:val="20"/>
          <w:bdr w:val="single" w:sz="2" w:space="0" w:color="E5E7EB" w:frame="1"/>
          <w:shd w:val="clear" w:color="auto" w:fill="F7F7F7"/>
        </w:rPr>
        <w:t xml:space="preserve"> - RGSA</w:t>
      </w:r>
      <w:r w:rsidRPr="003205FD">
        <w:rPr>
          <w:color w:val="000000"/>
          <w:sz w:val="20"/>
          <w:szCs w:val="20"/>
          <w:shd w:val="clear" w:color="auto" w:fill="F7F7F7"/>
        </w:rPr>
        <w:t>, </w:t>
      </w:r>
      <w:r w:rsidRPr="003205FD">
        <w:rPr>
          <w:color w:val="000000"/>
          <w:sz w:val="20"/>
          <w:szCs w:val="20"/>
          <w:bdr w:val="single" w:sz="2" w:space="0" w:color="E5E7EB" w:frame="1"/>
          <w:shd w:val="clear" w:color="auto" w:fill="F7F7F7"/>
        </w:rPr>
        <w:t>19</w:t>
      </w:r>
      <w:r w:rsidRPr="003205FD">
        <w:rPr>
          <w:color w:val="000000"/>
          <w:sz w:val="20"/>
          <w:szCs w:val="20"/>
          <w:shd w:val="clear" w:color="auto" w:fill="F7F7F7"/>
        </w:rPr>
        <w:t xml:space="preserve">(6), e012707. Available in: </w:t>
      </w:r>
      <w:hyperlink r:id="rId10" w:history="1">
        <w:r w:rsidRPr="003205FD">
          <w:rPr>
            <w:rStyle w:val="Hyperlink"/>
            <w:sz w:val="20"/>
            <w:szCs w:val="20"/>
            <w:shd w:val="clear" w:color="auto" w:fill="F7F7F7"/>
          </w:rPr>
          <w:t>https://doi.org/10.24857/rgsa.v19n6-092</w:t>
        </w:r>
      </w:hyperlink>
      <w:r w:rsidRPr="003205FD">
        <w:rPr>
          <w:color w:val="000000"/>
          <w:sz w:val="20"/>
          <w:szCs w:val="20"/>
          <w:shd w:val="clear" w:color="auto" w:fill="F7F7F7"/>
        </w:rPr>
        <w:t>, Access in 06 ago 2025.</w:t>
      </w:r>
    </w:p>
    <w:p w:rsidR="003205FD" w:rsidRPr="003205FD" w:rsidRDefault="003205FD" w:rsidP="003205FD">
      <w:pPr>
        <w:jc w:val="both"/>
        <w:rPr>
          <w:sz w:val="20"/>
          <w:szCs w:val="20"/>
        </w:rPr>
      </w:pPr>
      <w:r w:rsidRPr="003205FD">
        <w:rPr>
          <w:sz w:val="20"/>
          <w:szCs w:val="20"/>
        </w:rPr>
        <w:t xml:space="preserve">[2] BEZERRA, G. de M.; HOCEVAR, L.; ALVES, C.T.; PEREIRA, J. dos S.; JESUS, L. F. F. da S. de. 20 </w:t>
      </w:r>
      <w:proofErr w:type="spellStart"/>
      <w:r w:rsidRPr="003205FD">
        <w:rPr>
          <w:sz w:val="20"/>
          <w:szCs w:val="20"/>
        </w:rPr>
        <w:t>Anos</w:t>
      </w:r>
      <w:proofErr w:type="spellEnd"/>
      <w:r w:rsidRPr="003205FD">
        <w:rPr>
          <w:sz w:val="20"/>
          <w:szCs w:val="20"/>
        </w:rPr>
        <w:t xml:space="preserve"> de PNPB. Anais do </w:t>
      </w:r>
      <w:proofErr w:type="spellStart"/>
      <w:r w:rsidRPr="003205FD">
        <w:rPr>
          <w:sz w:val="20"/>
          <w:szCs w:val="20"/>
        </w:rPr>
        <w:t>Congresso</w:t>
      </w:r>
      <w:proofErr w:type="spellEnd"/>
      <w:r w:rsidRPr="003205FD">
        <w:rPr>
          <w:sz w:val="20"/>
          <w:szCs w:val="20"/>
        </w:rPr>
        <w:t xml:space="preserve"> </w:t>
      </w:r>
      <w:proofErr w:type="spellStart"/>
      <w:r w:rsidRPr="003205FD">
        <w:rPr>
          <w:sz w:val="20"/>
          <w:szCs w:val="20"/>
        </w:rPr>
        <w:t>Científico</w:t>
      </w:r>
      <w:proofErr w:type="spellEnd"/>
      <w:r w:rsidRPr="003205FD">
        <w:rPr>
          <w:sz w:val="20"/>
          <w:szCs w:val="20"/>
        </w:rPr>
        <w:t xml:space="preserve"> do Bahia Oil &amp; Gas Energy 2024 / </w:t>
      </w:r>
      <w:proofErr w:type="spellStart"/>
      <w:r w:rsidRPr="003205FD">
        <w:rPr>
          <w:sz w:val="20"/>
          <w:szCs w:val="20"/>
        </w:rPr>
        <w:t>Organizadores</w:t>
      </w:r>
      <w:proofErr w:type="spellEnd"/>
      <w:r w:rsidRPr="003205FD">
        <w:rPr>
          <w:sz w:val="20"/>
          <w:szCs w:val="20"/>
        </w:rPr>
        <w:t xml:space="preserve"> Nicolás Honorato </w:t>
      </w:r>
      <w:proofErr w:type="spellStart"/>
      <w:r w:rsidRPr="003205FD">
        <w:rPr>
          <w:sz w:val="20"/>
          <w:szCs w:val="20"/>
        </w:rPr>
        <w:t>Cavadas</w:t>
      </w:r>
      <w:proofErr w:type="spellEnd"/>
      <w:r w:rsidRPr="003205FD">
        <w:rPr>
          <w:sz w:val="20"/>
          <w:szCs w:val="20"/>
        </w:rPr>
        <w:t xml:space="preserve">, Roberto José Batista </w:t>
      </w:r>
      <w:proofErr w:type="spellStart"/>
      <w:r w:rsidRPr="003205FD">
        <w:rPr>
          <w:sz w:val="20"/>
          <w:szCs w:val="20"/>
        </w:rPr>
        <w:t>Câmara</w:t>
      </w:r>
      <w:proofErr w:type="spellEnd"/>
      <w:r w:rsidRPr="003205FD">
        <w:rPr>
          <w:sz w:val="20"/>
          <w:szCs w:val="20"/>
        </w:rPr>
        <w:t xml:space="preserve">. – Ponta </w:t>
      </w:r>
      <w:proofErr w:type="spellStart"/>
      <w:r w:rsidRPr="003205FD">
        <w:rPr>
          <w:sz w:val="20"/>
          <w:szCs w:val="20"/>
        </w:rPr>
        <w:t>Grossa</w:t>
      </w:r>
      <w:proofErr w:type="spellEnd"/>
      <w:r w:rsidRPr="003205FD">
        <w:rPr>
          <w:sz w:val="20"/>
          <w:szCs w:val="20"/>
        </w:rPr>
        <w:t xml:space="preserve"> - PR: </w:t>
      </w:r>
      <w:proofErr w:type="spellStart"/>
      <w:r w:rsidRPr="003205FD">
        <w:rPr>
          <w:sz w:val="20"/>
          <w:szCs w:val="20"/>
        </w:rPr>
        <w:t>Atena</w:t>
      </w:r>
      <w:proofErr w:type="spellEnd"/>
      <w:r w:rsidRPr="003205FD">
        <w:rPr>
          <w:sz w:val="20"/>
          <w:szCs w:val="20"/>
        </w:rPr>
        <w:t>, 2024.</w:t>
      </w:r>
    </w:p>
    <w:p w:rsidR="003205FD" w:rsidRPr="003205FD" w:rsidRDefault="003205FD" w:rsidP="003205FD">
      <w:pPr>
        <w:jc w:val="both"/>
        <w:rPr>
          <w:sz w:val="20"/>
          <w:szCs w:val="20"/>
        </w:rPr>
      </w:pPr>
      <w:r w:rsidRPr="003205FD">
        <w:rPr>
          <w:sz w:val="20"/>
          <w:szCs w:val="20"/>
        </w:rPr>
        <w:t xml:space="preserve">[3] PETERSSON, A.; WELLINGER, </w:t>
      </w:r>
      <w:proofErr w:type="gramStart"/>
      <w:r w:rsidRPr="003205FD">
        <w:rPr>
          <w:sz w:val="20"/>
          <w:szCs w:val="20"/>
        </w:rPr>
        <w:t>A..</w:t>
      </w:r>
      <w:proofErr w:type="gramEnd"/>
      <w:r w:rsidRPr="003205FD">
        <w:rPr>
          <w:sz w:val="20"/>
          <w:szCs w:val="20"/>
        </w:rPr>
        <w:t xml:space="preserve"> Biogas Upgrading Technologies – Developments and Innovations. IEA Bioenergy. Task 37. Energy from biogas and landfill gas. 2009. Available in: </w:t>
      </w:r>
      <w:hyperlink r:id="rId11" w:history="1">
        <w:r w:rsidRPr="003205FD">
          <w:rPr>
            <w:rStyle w:val="Hyperlink"/>
            <w:sz w:val="20"/>
            <w:szCs w:val="20"/>
          </w:rPr>
          <w:t>https://www.ieabioenergy.com/wp-content/uploads/2009/10/upgrading_rz_low_final.pdf</w:t>
        </w:r>
      </w:hyperlink>
      <w:r w:rsidRPr="003205FD">
        <w:rPr>
          <w:sz w:val="20"/>
          <w:szCs w:val="20"/>
        </w:rPr>
        <w:t>. Access in 20 may 2025.</w:t>
      </w:r>
    </w:p>
    <w:p w:rsidR="003205FD" w:rsidRPr="003205FD" w:rsidRDefault="003205FD" w:rsidP="003205FD">
      <w:pPr>
        <w:jc w:val="both"/>
        <w:rPr>
          <w:sz w:val="20"/>
          <w:szCs w:val="20"/>
        </w:rPr>
      </w:pPr>
      <w:r w:rsidRPr="003205FD">
        <w:rPr>
          <w:sz w:val="20"/>
          <w:szCs w:val="20"/>
        </w:rPr>
        <w:t xml:space="preserve">[4] WEREKO-BOBBY, C. Y.; </w:t>
      </w:r>
      <w:smartTag w:uri="urn:schemas-microsoft-com:office:smarttags" w:element="date">
        <w:smartTagPr>
          <w:attr w:name="ls" w:val="trans"/>
          <w:attr w:name="Month" w:val="5"/>
          <w:attr w:name="Day" w:val="28"/>
          <w:attr w:name="Year" w:val="2025"/>
        </w:smartTagPr>
        <w:r w:rsidRPr="003205FD">
          <w:rPr>
            <w:sz w:val="20"/>
            <w:szCs w:val="20"/>
          </w:rPr>
          <w:t>HAGEN</w:t>
        </w:r>
      </w:smartTag>
      <w:r w:rsidRPr="003205FD">
        <w:rPr>
          <w:sz w:val="20"/>
          <w:szCs w:val="20"/>
        </w:rPr>
        <w:t xml:space="preserve">, E. B. </w:t>
      </w:r>
      <w:r w:rsidRPr="003205FD">
        <w:rPr>
          <w:i/>
          <w:iCs/>
          <w:sz w:val="20"/>
          <w:szCs w:val="20"/>
        </w:rPr>
        <w:t>Biomass conversion and technology</w:t>
      </w:r>
      <w:r w:rsidRPr="003205FD">
        <w:rPr>
          <w:sz w:val="20"/>
          <w:szCs w:val="20"/>
        </w:rPr>
        <w:t xml:space="preserve">. </w:t>
      </w:r>
      <w:proofErr w:type="spellStart"/>
      <w:r w:rsidRPr="003205FD">
        <w:rPr>
          <w:sz w:val="20"/>
          <w:szCs w:val="20"/>
        </w:rPr>
        <w:t>Editora</w:t>
      </w:r>
      <w:proofErr w:type="spellEnd"/>
      <w:r w:rsidRPr="003205FD">
        <w:rPr>
          <w:sz w:val="20"/>
          <w:szCs w:val="20"/>
        </w:rPr>
        <w:t xml:space="preserve"> John Wiley &amp; Sons. P. 2-224. New York, 2000.</w:t>
      </w:r>
    </w:p>
    <w:p w:rsidR="003205FD" w:rsidRPr="003205FD" w:rsidRDefault="003205FD" w:rsidP="003205FD">
      <w:pPr>
        <w:jc w:val="both"/>
        <w:rPr>
          <w:sz w:val="20"/>
          <w:szCs w:val="20"/>
        </w:rPr>
      </w:pPr>
      <w:r w:rsidRPr="003205FD">
        <w:rPr>
          <w:sz w:val="20"/>
          <w:szCs w:val="20"/>
        </w:rPr>
        <w:t>[5] COELHO, S. T. (</w:t>
      </w:r>
      <w:proofErr w:type="spellStart"/>
      <w:r w:rsidRPr="003205FD">
        <w:rPr>
          <w:sz w:val="20"/>
          <w:szCs w:val="20"/>
        </w:rPr>
        <w:t>coord</w:t>
      </w:r>
      <w:proofErr w:type="spellEnd"/>
      <w:r w:rsidRPr="003205FD">
        <w:rPr>
          <w:sz w:val="20"/>
          <w:szCs w:val="20"/>
        </w:rPr>
        <w:t xml:space="preserve">.); GARCILASSO, V. P.; FERRAZ JUNIOR, A. D. N.; SANTOS, M. M. dos e JOPPERT, C. </w:t>
      </w:r>
      <w:proofErr w:type="gramStart"/>
      <w:r w:rsidRPr="003205FD">
        <w:rPr>
          <w:sz w:val="20"/>
          <w:szCs w:val="20"/>
        </w:rPr>
        <w:t>L..</w:t>
      </w:r>
      <w:proofErr w:type="gramEnd"/>
      <w:r w:rsidRPr="003205FD">
        <w:rPr>
          <w:sz w:val="20"/>
          <w:szCs w:val="20"/>
        </w:rPr>
        <w:t xml:space="preserve"> </w:t>
      </w:r>
      <w:proofErr w:type="spellStart"/>
      <w:r w:rsidRPr="003205FD">
        <w:rPr>
          <w:sz w:val="20"/>
          <w:szCs w:val="20"/>
        </w:rPr>
        <w:t>Tecnologias</w:t>
      </w:r>
      <w:proofErr w:type="spellEnd"/>
      <w:r w:rsidRPr="003205FD">
        <w:rPr>
          <w:sz w:val="20"/>
          <w:szCs w:val="20"/>
        </w:rPr>
        <w:t xml:space="preserve"> de </w:t>
      </w:r>
      <w:proofErr w:type="spellStart"/>
      <w:r w:rsidRPr="003205FD">
        <w:rPr>
          <w:sz w:val="20"/>
          <w:szCs w:val="20"/>
        </w:rPr>
        <w:t>produção</w:t>
      </w:r>
      <w:proofErr w:type="spellEnd"/>
      <w:r w:rsidRPr="003205FD">
        <w:rPr>
          <w:sz w:val="20"/>
          <w:szCs w:val="20"/>
        </w:rPr>
        <w:t xml:space="preserve"> e </w:t>
      </w:r>
      <w:proofErr w:type="spellStart"/>
      <w:r w:rsidRPr="003205FD">
        <w:rPr>
          <w:sz w:val="20"/>
          <w:szCs w:val="20"/>
        </w:rPr>
        <w:t>uso</w:t>
      </w:r>
      <w:proofErr w:type="spellEnd"/>
      <w:r w:rsidRPr="003205FD">
        <w:rPr>
          <w:sz w:val="20"/>
          <w:szCs w:val="20"/>
        </w:rPr>
        <w:t xml:space="preserve"> de </w:t>
      </w:r>
      <w:proofErr w:type="spellStart"/>
      <w:r w:rsidRPr="003205FD">
        <w:rPr>
          <w:sz w:val="20"/>
          <w:szCs w:val="20"/>
        </w:rPr>
        <w:t>biogás</w:t>
      </w:r>
      <w:proofErr w:type="spellEnd"/>
      <w:r w:rsidRPr="003205FD">
        <w:rPr>
          <w:sz w:val="20"/>
          <w:szCs w:val="20"/>
        </w:rPr>
        <w:t xml:space="preserve"> e biometano. – São Paulo: IEE-USP, 2018.</w:t>
      </w:r>
    </w:p>
    <w:p w:rsidR="003205FD" w:rsidRPr="003205FD" w:rsidRDefault="003205FD" w:rsidP="003205FD">
      <w:pPr>
        <w:jc w:val="both"/>
        <w:rPr>
          <w:sz w:val="20"/>
          <w:szCs w:val="20"/>
        </w:rPr>
      </w:pPr>
      <w:r w:rsidRPr="003205FD">
        <w:rPr>
          <w:sz w:val="20"/>
          <w:szCs w:val="20"/>
        </w:rPr>
        <w:t xml:space="preserve">[6] EPE – </w:t>
      </w:r>
      <w:proofErr w:type="spellStart"/>
      <w:r w:rsidRPr="003205FD">
        <w:rPr>
          <w:sz w:val="20"/>
          <w:szCs w:val="20"/>
        </w:rPr>
        <w:t>Balanço</w:t>
      </w:r>
      <w:proofErr w:type="spellEnd"/>
      <w:r w:rsidRPr="003205FD">
        <w:rPr>
          <w:sz w:val="20"/>
          <w:szCs w:val="20"/>
        </w:rPr>
        <w:t xml:space="preserve"> </w:t>
      </w:r>
      <w:proofErr w:type="spellStart"/>
      <w:r w:rsidRPr="003205FD">
        <w:rPr>
          <w:sz w:val="20"/>
          <w:szCs w:val="20"/>
        </w:rPr>
        <w:t>Energético</w:t>
      </w:r>
      <w:proofErr w:type="spellEnd"/>
      <w:r w:rsidRPr="003205FD">
        <w:rPr>
          <w:sz w:val="20"/>
          <w:szCs w:val="20"/>
        </w:rPr>
        <w:t xml:space="preserve"> Nacional 2025. </w:t>
      </w:r>
      <w:proofErr w:type="spellStart"/>
      <w:r w:rsidRPr="003205FD">
        <w:rPr>
          <w:sz w:val="20"/>
          <w:szCs w:val="20"/>
        </w:rPr>
        <w:t>Relatório</w:t>
      </w:r>
      <w:proofErr w:type="spellEnd"/>
      <w:r w:rsidRPr="003205FD">
        <w:rPr>
          <w:sz w:val="20"/>
          <w:szCs w:val="20"/>
        </w:rPr>
        <w:t xml:space="preserve"> </w:t>
      </w:r>
      <w:proofErr w:type="spellStart"/>
      <w:r w:rsidRPr="003205FD">
        <w:rPr>
          <w:sz w:val="20"/>
          <w:szCs w:val="20"/>
        </w:rPr>
        <w:t>Síntese</w:t>
      </w:r>
      <w:proofErr w:type="spellEnd"/>
      <w:r w:rsidRPr="003205FD">
        <w:rPr>
          <w:sz w:val="20"/>
          <w:szCs w:val="20"/>
        </w:rPr>
        <w:t xml:space="preserve">. </w:t>
      </w:r>
      <w:proofErr w:type="spellStart"/>
      <w:r w:rsidRPr="003205FD">
        <w:rPr>
          <w:sz w:val="20"/>
          <w:szCs w:val="20"/>
        </w:rPr>
        <w:t>Ano</w:t>
      </w:r>
      <w:proofErr w:type="spellEnd"/>
      <w:r w:rsidRPr="003205FD">
        <w:rPr>
          <w:sz w:val="20"/>
          <w:szCs w:val="20"/>
        </w:rPr>
        <w:t xml:space="preserve"> base 2024. Available in: </w:t>
      </w:r>
      <w:hyperlink r:id="rId12" w:history="1">
        <w:r w:rsidRPr="003205FD">
          <w:rPr>
            <w:rStyle w:val="Hyperlink"/>
            <w:sz w:val="20"/>
            <w:szCs w:val="20"/>
          </w:rPr>
          <w:t>https://www.epe.gov.br/sites-pt/publicacoes-dados-abertos/publicacoes/PublicacoesArquivos/publicacao-885/topico-767/BEN_S%C3%ADntese_2025_PT.pdf</w:t>
        </w:r>
      </w:hyperlink>
      <w:r w:rsidRPr="003205FD">
        <w:rPr>
          <w:sz w:val="20"/>
          <w:szCs w:val="20"/>
        </w:rPr>
        <w:t>. Access in 21 may 2025.</w:t>
      </w:r>
    </w:p>
    <w:p w:rsidR="003205FD" w:rsidRPr="003205FD" w:rsidRDefault="003205FD" w:rsidP="003205FD">
      <w:pPr>
        <w:jc w:val="both"/>
        <w:rPr>
          <w:sz w:val="20"/>
          <w:szCs w:val="20"/>
        </w:rPr>
      </w:pPr>
      <w:r w:rsidRPr="003205FD">
        <w:rPr>
          <w:sz w:val="20"/>
          <w:szCs w:val="20"/>
        </w:rPr>
        <w:t xml:space="preserve">[7] ABIOGÁS. </w:t>
      </w:r>
      <w:proofErr w:type="spellStart"/>
      <w:r w:rsidRPr="003205FD">
        <w:rPr>
          <w:sz w:val="20"/>
          <w:szCs w:val="20"/>
        </w:rPr>
        <w:t>Associação</w:t>
      </w:r>
      <w:proofErr w:type="spellEnd"/>
      <w:r w:rsidRPr="003205FD">
        <w:rPr>
          <w:sz w:val="20"/>
          <w:szCs w:val="20"/>
        </w:rPr>
        <w:t xml:space="preserve"> </w:t>
      </w:r>
      <w:proofErr w:type="spellStart"/>
      <w:r w:rsidRPr="003205FD">
        <w:rPr>
          <w:sz w:val="20"/>
          <w:szCs w:val="20"/>
        </w:rPr>
        <w:t>Brasileira</w:t>
      </w:r>
      <w:proofErr w:type="spellEnd"/>
      <w:r w:rsidRPr="003205FD">
        <w:rPr>
          <w:sz w:val="20"/>
          <w:szCs w:val="20"/>
        </w:rPr>
        <w:t xml:space="preserve"> do </w:t>
      </w:r>
      <w:proofErr w:type="spellStart"/>
      <w:r w:rsidRPr="003205FD">
        <w:rPr>
          <w:sz w:val="20"/>
          <w:szCs w:val="20"/>
        </w:rPr>
        <w:t>Biogás</w:t>
      </w:r>
      <w:proofErr w:type="spellEnd"/>
      <w:r w:rsidRPr="003205FD">
        <w:rPr>
          <w:sz w:val="20"/>
          <w:szCs w:val="20"/>
        </w:rPr>
        <w:t xml:space="preserve"> e do Biometano. </w:t>
      </w:r>
      <w:proofErr w:type="spellStart"/>
      <w:r w:rsidRPr="003205FD">
        <w:rPr>
          <w:sz w:val="20"/>
          <w:szCs w:val="20"/>
        </w:rPr>
        <w:t>Potencial</w:t>
      </w:r>
      <w:proofErr w:type="spellEnd"/>
      <w:r w:rsidRPr="003205FD">
        <w:rPr>
          <w:sz w:val="20"/>
          <w:szCs w:val="20"/>
        </w:rPr>
        <w:t xml:space="preserve"> </w:t>
      </w:r>
      <w:proofErr w:type="spellStart"/>
      <w:r w:rsidRPr="003205FD">
        <w:rPr>
          <w:sz w:val="20"/>
          <w:szCs w:val="20"/>
        </w:rPr>
        <w:t>Brasileiro</w:t>
      </w:r>
      <w:proofErr w:type="spellEnd"/>
      <w:r w:rsidRPr="003205FD">
        <w:rPr>
          <w:sz w:val="20"/>
          <w:szCs w:val="20"/>
        </w:rPr>
        <w:t xml:space="preserve"> de </w:t>
      </w:r>
      <w:proofErr w:type="spellStart"/>
      <w:r w:rsidRPr="003205FD">
        <w:rPr>
          <w:sz w:val="20"/>
          <w:szCs w:val="20"/>
        </w:rPr>
        <w:t>Biogás</w:t>
      </w:r>
      <w:proofErr w:type="spellEnd"/>
      <w:r w:rsidRPr="003205FD">
        <w:rPr>
          <w:sz w:val="20"/>
          <w:szCs w:val="20"/>
        </w:rPr>
        <w:t xml:space="preserve">. Available in: </w:t>
      </w:r>
      <w:hyperlink r:id="rId13" w:history="1">
        <w:r w:rsidRPr="003205FD">
          <w:rPr>
            <w:rStyle w:val="Hyperlink"/>
            <w:sz w:val="20"/>
            <w:szCs w:val="20"/>
          </w:rPr>
          <w:t>https://abiogas.org.br/wp-content/uploads/protectedfiles/6390e394c734a95f3032a2da_NOTA-TECNICA_POTENCIAL_ABIOGAS.pdf</w:t>
        </w:r>
      </w:hyperlink>
      <w:r w:rsidRPr="003205FD">
        <w:rPr>
          <w:sz w:val="20"/>
          <w:szCs w:val="20"/>
        </w:rPr>
        <w:t xml:space="preserve">. </w:t>
      </w:r>
      <w:proofErr w:type="spellStart"/>
      <w:r w:rsidRPr="003205FD">
        <w:rPr>
          <w:sz w:val="20"/>
          <w:szCs w:val="20"/>
        </w:rPr>
        <w:t>Acesso</w:t>
      </w:r>
      <w:proofErr w:type="spellEnd"/>
      <w:r w:rsidRPr="003205FD">
        <w:rPr>
          <w:sz w:val="20"/>
          <w:szCs w:val="20"/>
        </w:rPr>
        <w:t xml:space="preserve"> </w:t>
      </w:r>
      <w:proofErr w:type="spellStart"/>
      <w:r w:rsidRPr="003205FD">
        <w:rPr>
          <w:sz w:val="20"/>
          <w:szCs w:val="20"/>
        </w:rPr>
        <w:t>em</w:t>
      </w:r>
      <w:proofErr w:type="spellEnd"/>
      <w:r w:rsidRPr="003205FD">
        <w:rPr>
          <w:sz w:val="20"/>
          <w:szCs w:val="20"/>
        </w:rPr>
        <w:t>: 27 may 2025.</w:t>
      </w:r>
    </w:p>
    <w:p w:rsidR="003205FD" w:rsidRPr="003205FD" w:rsidRDefault="003205FD" w:rsidP="003205FD">
      <w:pPr>
        <w:jc w:val="both"/>
        <w:rPr>
          <w:color w:val="1D1D1B"/>
          <w:sz w:val="20"/>
          <w:szCs w:val="20"/>
        </w:rPr>
      </w:pPr>
      <w:r w:rsidRPr="003205FD">
        <w:rPr>
          <w:rStyle w:val="Forte"/>
          <w:b w:val="0"/>
          <w:bCs/>
          <w:sz w:val="20"/>
          <w:szCs w:val="20"/>
        </w:rPr>
        <w:t xml:space="preserve">[8] </w:t>
      </w:r>
      <w:proofErr w:type="spellStart"/>
      <w:r w:rsidRPr="003205FD">
        <w:rPr>
          <w:rStyle w:val="Forte"/>
          <w:b w:val="0"/>
          <w:bCs/>
          <w:sz w:val="20"/>
          <w:szCs w:val="20"/>
        </w:rPr>
        <w:t>CIBiogás</w:t>
      </w:r>
      <w:proofErr w:type="spellEnd"/>
      <w:r w:rsidRPr="003205FD">
        <w:rPr>
          <w:rStyle w:val="Forte"/>
          <w:b w:val="0"/>
          <w:bCs/>
          <w:sz w:val="20"/>
          <w:szCs w:val="20"/>
        </w:rPr>
        <w:t xml:space="preserve"> – Centro </w:t>
      </w:r>
      <w:proofErr w:type="spellStart"/>
      <w:r w:rsidRPr="003205FD">
        <w:rPr>
          <w:rStyle w:val="Forte"/>
          <w:b w:val="0"/>
          <w:bCs/>
          <w:sz w:val="20"/>
          <w:szCs w:val="20"/>
        </w:rPr>
        <w:t>Internacional</w:t>
      </w:r>
      <w:proofErr w:type="spellEnd"/>
      <w:r w:rsidRPr="003205FD">
        <w:rPr>
          <w:rStyle w:val="Forte"/>
          <w:b w:val="0"/>
          <w:bCs/>
          <w:sz w:val="20"/>
          <w:szCs w:val="20"/>
        </w:rPr>
        <w:t xml:space="preserve"> de </w:t>
      </w:r>
      <w:proofErr w:type="spellStart"/>
      <w:r w:rsidRPr="003205FD">
        <w:rPr>
          <w:rStyle w:val="Forte"/>
          <w:b w:val="0"/>
          <w:bCs/>
          <w:sz w:val="20"/>
          <w:szCs w:val="20"/>
        </w:rPr>
        <w:t>Energias</w:t>
      </w:r>
      <w:proofErr w:type="spellEnd"/>
      <w:r w:rsidRPr="003205FD">
        <w:rPr>
          <w:rStyle w:val="Forte"/>
          <w:b w:val="0"/>
          <w:bCs/>
          <w:sz w:val="20"/>
          <w:szCs w:val="20"/>
        </w:rPr>
        <w:t xml:space="preserve"> </w:t>
      </w:r>
      <w:proofErr w:type="spellStart"/>
      <w:r w:rsidRPr="003205FD">
        <w:rPr>
          <w:rStyle w:val="Forte"/>
          <w:b w:val="0"/>
          <w:bCs/>
          <w:sz w:val="20"/>
          <w:szCs w:val="20"/>
        </w:rPr>
        <w:t>Renováveis</w:t>
      </w:r>
      <w:proofErr w:type="spellEnd"/>
      <w:r w:rsidRPr="003205FD">
        <w:rPr>
          <w:rStyle w:val="Forte"/>
          <w:b w:val="0"/>
          <w:bCs/>
          <w:sz w:val="20"/>
          <w:szCs w:val="20"/>
        </w:rPr>
        <w:t xml:space="preserve"> – </w:t>
      </w:r>
      <w:proofErr w:type="spellStart"/>
      <w:r w:rsidRPr="003205FD">
        <w:rPr>
          <w:rStyle w:val="Forte"/>
          <w:b w:val="0"/>
          <w:bCs/>
          <w:sz w:val="20"/>
          <w:szCs w:val="20"/>
        </w:rPr>
        <w:t>Biogás</w:t>
      </w:r>
      <w:proofErr w:type="spellEnd"/>
      <w:r w:rsidRPr="003205FD">
        <w:rPr>
          <w:rStyle w:val="Forte"/>
          <w:b w:val="0"/>
          <w:bCs/>
          <w:sz w:val="20"/>
          <w:szCs w:val="20"/>
        </w:rPr>
        <w:t>.</w:t>
      </w:r>
      <w:r w:rsidRPr="003205FD">
        <w:rPr>
          <w:sz w:val="20"/>
          <w:szCs w:val="20"/>
        </w:rPr>
        <w:t xml:space="preserve"> </w:t>
      </w:r>
      <w:r w:rsidRPr="003205FD">
        <w:rPr>
          <w:rStyle w:val="nfase"/>
          <w:iCs/>
          <w:sz w:val="20"/>
          <w:szCs w:val="20"/>
        </w:rPr>
        <w:t xml:space="preserve">Panorama do </w:t>
      </w:r>
      <w:proofErr w:type="spellStart"/>
      <w:r w:rsidRPr="003205FD">
        <w:rPr>
          <w:rStyle w:val="nfase"/>
          <w:iCs/>
          <w:sz w:val="20"/>
          <w:szCs w:val="20"/>
        </w:rPr>
        <w:t>Biogás</w:t>
      </w:r>
      <w:proofErr w:type="spellEnd"/>
      <w:r w:rsidRPr="003205FD">
        <w:rPr>
          <w:rStyle w:val="nfase"/>
          <w:iCs/>
          <w:sz w:val="20"/>
          <w:szCs w:val="20"/>
        </w:rPr>
        <w:t xml:space="preserve"> no </w:t>
      </w:r>
      <w:proofErr w:type="spellStart"/>
      <w:r w:rsidRPr="003205FD">
        <w:rPr>
          <w:rStyle w:val="nfase"/>
          <w:iCs/>
          <w:sz w:val="20"/>
          <w:szCs w:val="20"/>
        </w:rPr>
        <w:t>Brasil</w:t>
      </w:r>
      <w:proofErr w:type="spellEnd"/>
      <w:r w:rsidRPr="003205FD">
        <w:rPr>
          <w:rStyle w:val="nfase"/>
          <w:iCs/>
          <w:sz w:val="20"/>
          <w:szCs w:val="20"/>
        </w:rPr>
        <w:t xml:space="preserve"> 2021</w:t>
      </w:r>
      <w:r w:rsidRPr="003205FD">
        <w:rPr>
          <w:sz w:val="20"/>
          <w:szCs w:val="20"/>
        </w:rPr>
        <w:t xml:space="preserve">. </w:t>
      </w:r>
      <w:proofErr w:type="spellStart"/>
      <w:r w:rsidRPr="003205FD">
        <w:rPr>
          <w:color w:val="1D1D1B"/>
          <w:sz w:val="20"/>
          <w:szCs w:val="20"/>
        </w:rPr>
        <w:t>CIBiogás</w:t>
      </w:r>
      <w:proofErr w:type="spellEnd"/>
      <w:r w:rsidRPr="003205FD">
        <w:rPr>
          <w:color w:val="1D1D1B"/>
          <w:sz w:val="20"/>
          <w:szCs w:val="20"/>
        </w:rPr>
        <w:t xml:space="preserve"> (</w:t>
      </w:r>
      <w:proofErr w:type="spellStart"/>
      <w:r w:rsidRPr="003205FD">
        <w:rPr>
          <w:color w:val="1D1D1B"/>
          <w:sz w:val="20"/>
          <w:szCs w:val="20"/>
        </w:rPr>
        <w:t>Brasil</w:t>
      </w:r>
      <w:proofErr w:type="spellEnd"/>
      <w:r w:rsidRPr="003205FD">
        <w:rPr>
          <w:color w:val="1D1D1B"/>
          <w:sz w:val="20"/>
          <w:szCs w:val="20"/>
        </w:rPr>
        <w:t xml:space="preserve">) </w:t>
      </w:r>
      <w:proofErr w:type="spellStart"/>
      <w:r w:rsidRPr="003205FD">
        <w:rPr>
          <w:color w:val="1D1D1B"/>
          <w:sz w:val="20"/>
          <w:szCs w:val="20"/>
        </w:rPr>
        <w:t>Relatório</w:t>
      </w:r>
      <w:proofErr w:type="spellEnd"/>
      <w:r w:rsidRPr="003205FD">
        <w:rPr>
          <w:color w:val="1D1D1B"/>
          <w:sz w:val="20"/>
          <w:szCs w:val="20"/>
        </w:rPr>
        <w:t xml:space="preserve"> Técnico nº 001/2022 – </w:t>
      </w:r>
      <w:proofErr w:type="spellStart"/>
      <w:r w:rsidRPr="003205FD">
        <w:rPr>
          <w:color w:val="1D1D1B"/>
          <w:sz w:val="20"/>
          <w:szCs w:val="20"/>
        </w:rPr>
        <w:t>Foz</w:t>
      </w:r>
      <w:proofErr w:type="spellEnd"/>
      <w:r w:rsidRPr="003205FD">
        <w:rPr>
          <w:color w:val="1D1D1B"/>
          <w:sz w:val="20"/>
          <w:szCs w:val="20"/>
        </w:rPr>
        <w:t xml:space="preserve"> do Iguaçu, </w:t>
      </w:r>
      <w:proofErr w:type="spellStart"/>
      <w:r w:rsidRPr="003205FD">
        <w:rPr>
          <w:color w:val="1D1D1B"/>
          <w:sz w:val="20"/>
          <w:szCs w:val="20"/>
        </w:rPr>
        <w:t>CIBiogás</w:t>
      </w:r>
      <w:proofErr w:type="spellEnd"/>
      <w:r w:rsidRPr="003205FD">
        <w:rPr>
          <w:color w:val="1D1D1B"/>
          <w:sz w:val="20"/>
          <w:szCs w:val="20"/>
        </w:rPr>
        <w:t>, 2022.</w:t>
      </w:r>
    </w:p>
    <w:p w:rsidR="003205FD" w:rsidRPr="003205FD" w:rsidRDefault="003205FD" w:rsidP="003205FD">
      <w:pPr>
        <w:jc w:val="both"/>
        <w:rPr>
          <w:sz w:val="20"/>
          <w:szCs w:val="20"/>
        </w:rPr>
      </w:pPr>
      <w:r w:rsidRPr="003205FD">
        <w:rPr>
          <w:sz w:val="20"/>
          <w:szCs w:val="20"/>
        </w:rPr>
        <w:t>[9] IEA – International Energy Agency. Outlook for biogas and biomethane: Prospects for organic growth. Paris, 2020.</w:t>
      </w:r>
    </w:p>
    <w:p w:rsidR="003205FD" w:rsidRPr="003205FD" w:rsidRDefault="003205FD" w:rsidP="003205FD">
      <w:pPr>
        <w:jc w:val="both"/>
        <w:rPr>
          <w:sz w:val="20"/>
          <w:szCs w:val="20"/>
        </w:rPr>
      </w:pPr>
      <w:r w:rsidRPr="003205FD">
        <w:rPr>
          <w:sz w:val="20"/>
          <w:szCs w:val="20"/>
        </w:rPr>
        <w:t xml:space="preserve">[10] EBA – European Biogas Association. </w:t>
      </w:r>
      <w:r w:rsidRPr="003205FD">
        <w:rPr>
          <w:i/>
          <w:iCs/>
          <w:sz w:val="20"/>
          <w:szCs w:val="20"/>
        </w:rPr>
        <w:t>EBA Statistical Report 2022</w:t>
      </w:r>
      <w:r w:rsidRPr="003205FD">
        <w:rPr>
          <w:sz w:val="20"/>
          <w:szCs w:val="20"/>
        </w:rPr>
        <w:t xml:space="preserve">. </w:t>
      </w:r>
      <w:proofErr w:type="spellStart"/>
      <w:r w:rsidRPr="003205FD">
        <w:rPr>
          <w:sz w:val="20"/>
          <w:szCs w:val="20"/>
        </w:rPr>
        <w:t>Bruxelas</w:t>
      </w:r>
      <w:proofErr w:type="spellEnd"/>
      <w:r w:rsidRPr="003205FD">
        <w:rPr>
          <w:sz w:val="20"/>
          <w:szCs w:val="20"/>
        </w:rPr>
        <w:t>, 2022.</w:t>
      </w:r>
    </w:p>
    <w:p w:rsidR="003205FD" w:rsidRPr="003205FD" w:rsidRDefault="003205FD" w:rsidP="003205FD">
      <w:pPr>
        <w:jc w:val="both"/>
        <w:rPr>
          <w:sz w:val="20"/>
          <w:szCs w:val="20"/>
        </w:rPr>
      </w:pPr>
      <w:r w:rsidRPr="003205FD">
        <w:rPr>
          <w:sz w:val="20"/>
          <w:szCs w:val="20"/>
        </w:rPr>
        <w:t xml:space="preserve">[11] </w:t>
      </w:r>
      <w:r w:rsidRPr="003205FD">
        <w:rPr>
          <w:sz w:val="20"/>
          <w:szCs w:val="20"/>
          <w:bdr w:val="none" w:sz="0" w:space="0" w:color="auto" w:frame="1"/>
          <w:shd w:val="clear" w:color="auto" w:fill="FFFFFF"/>
        </w:rPr>
        <w:t xml:space="preserve">ANP. 2025. </w:t>
      </w:r>
      <w:proofErr w:type="spellStart"/>
      <w:r w:rsidRPr="003205FD">
        <w:rPr>
          <w:sz w:val="20"/>
          <w:szCs w:val="20"/>
          <w:bdr w:val="none" w:sz="0" w:space="0" w:color="auto" w:frame="1"/>
          <w:shd w:val="clear" w:color="auto" w:fill="FFFFFF"/>
        </w:rPr>
        <w:t>Agência</w:t>
      </w:r>
      <w:proofErr w:type="spellEnd"/>
      <w:r w:rsidRPr="003205FD">
        <w:rPr>
          <w:sz w:val="20"/>
          <w:szCs w:val="20"/>
          <w:bdr w:val="none" w:sz="0" w:space="0" w:color="auto" w:frame="1"/>
          <w:shd w:val="clear" w:color="auto" w:fill="FFFFFF"/>
        </w:rPr>
        <w:t xml:space="preserve"> Nacional do </w:t>
      </w:r>
      <w:proofErr w:type="spellStart"/>
      <w:r w:rsidRPr="003205FD">
        <w:rPr>
          <w:sz w:val="20"/>
          <w:szCs w:val="20"/>
          <w:bdr w:val="none" w:sz="0" w:space="0" w:color="auto" w:frame="1"/>
          <w:shd w:val="clear" w:color="auto" w:fill="FFFFFF"/>
        </w:rPr>
        <w:t>Petróleo</w:t>
      </w:r>
      <w:proofErr w:type="spellEnd"/>
      <w:r w:rsidRPr="003205FD">
        <w:rPr>
          <w:sz w:val="20"/>
          <w:szCs w:val="20"/>
          <w:bdr w:val="none" w:sz="0" w:space="0" w:color="auto" w:frame="1"/>
          <w:shd w:val="clear" w:color="auto" w:fill="FFFFFF"/>
        </w:rPr>
        <w:t xml:space="preserve">, </w:t>
      </w:r>
      <w:proofErr w:type="spellStart"/>
      <w:r w:rsidRPr="003205FD">
        <w:rPr>
          <w:sz w:val="20"/>
          <w:szCs w:val="20"/>
          <w:bdr w:val="none" w:sz="0" w:space="0" w:color="auto" w:frame="1"/>
          <w:shd w:val="clear" w:color="auto" w:fill="FFFFFF"/>
        </w:rPr>
        <w:t>Gás</w:t>
      </w:r>
      <w:proofErr w:type="spellEnd"/>
      <w:r w:rsidRPr="003205FD">
        <w:rPr>
          <w:sz w:val="20"/>
          <w:szCs w:val="20"/>
          <w:bdr w:val="none" w:sz="0" w:space="0" w:color="auto" w:frame="1"/>
          <w:shd w:val="clear" w:color="auto" w:fill="FFFFFF"/>
        </w:rPr>
        <w:t xml:space="preserve"> Natural e </w:t>
      </w:r>
      <w:proofErr w:type="spellStart"/>
      <w:r w:rsidRPr="003205FD">
        <w:rPr>
          <w:sz w:val="20"/>
          <w:szCs w:val="20"/>
          <w:bdr w:val="none" w:sz="0" w:space="0" w:color="auto" w:frame="1"/>
          <w:shd w:val="clear" w:color="auto" w:fill="FFFFFF"/>
        </w:rPr>
        <w:t>Biocombustíveis</w:t>
      </w:r>
      <w:proofErr w:type="spellEnd"/>
      <w:r w:rsidRPr="003205FD">
        <w:rPr>
          <w:sz w:val="20"/>
          <w:szCs w:val="20"/>
        </w:rPr>
        <w:t xml:space="preserve"> – ANP. </w:t>
      </w:r>
      <w:proofErr w:type="spellStart"/>
      <w:r w:rsidRPr="003205FD">
        <w:rPr>
          <w:sz w:val="20"/>
          <w:szCs w:val="20"/>
        </w:rPr>
        <w:t>Painel</w:t>
      </w:r>
      <w:proofErr w:type="spellEnd"/>
      <w:r w:rsidRPr="003205FD">
        <w:rPr>
          <w:sz w:val="20"/>
          <w:szCs w:val="20"/>
        </w:rPr>
        <w:t xml:space="preserve"> </w:t>
      </w:r>
      <w:proofErr w:type="spellStart"/>
      <w:r w:rsidRPr="003205FD">
        <w:rPr>
          <w:sz w:val="20"/>
          <w:szCs w:val="20"/>
        </w:rPr>
        <w:t>Dinâmico</w:t>
      </w:r>
      <w:proofErr w:type="spellEnd"/>
      <w:r w:rsidRPr="003205FD">
        <w:rPr>
          <w:sz w:val="20"/>
          <w:szCs w:val="20"/>
        </w:rPr>
        <w:t xml:space="preserve"> Produtores de Biometano. Available in: </w:t>
      </w:r>
      <w:hyperlink r:id="rId14" w:history="1">
        <w:r w:rsidRPr="003205FD">
          <w:rPr>
            <w:rStyle w:val="Hyperlink"/>
            <w:sz w:val="20"/>
            <w:szCs w:val="20"/>
          </w:rPr>
          <w:t>https://app.powerbi.com/view?r=eyJrIjoiM2MwZWQ0ZjAtYTRjNy00MWUyLThiYzgtYjI4Y2JmMjA3YzNhIiwidCI6I</w:t>
        </w:r>
        <w:r w:rsidRPr="003205FD">
          <w:rPr>
            <w:rStyle w:val="Hyperlink"/>
            <w:sz w:val="20"/>
            <w:szCs w:val="20"/>
          </w:rPr>
          <w:t>jQ0OTlmNGZmLTI0YTYtNGI0Mi1iN2VmLTEyNGFmY2FkYzkxMyJ9</w:t>
        </w:r>
      </w:hyperlink>
      <w:r w:rsidRPr="003205FD">
        <w:rPr>
          <w:sz w:val="20"/>
          <w:szCs w:val="20"/>
        </w:rPr>
        <w:t xml:space="preserve">. </w:t>
      </w:r>
      <w:r w:rsidRPr="003205FD">
        <w:rPr>
          <w:rStyle w:val="f500"/>
          <w:color w:val="212529"/>
          <w:sz w:val="20"/>
          <w:szCs w:val="20"/>
          <w:shd w:val="clear" w:color="auto" w:fill="FFFFFF"/>
        </w:rPr>
        <w:t>Access in 05 may 2025</w:t>
      </w:r>
      <w:r w:rsidRPr="003205FD">
        <w:rPr>
          <w:sz w:val="20"/>
          <w:szCs w:val="20"/>
        </w:rPr>
        <w:t>.</w:t>
      </w:r>
    </w:p>
    <w:p w:rsidR="003205FD" w:rsidRPr="003205FD" w:rsidRDefault="003205FD" w:rsidP="003205FD">
      <w:pPr>
        <w:jc w:val="both"/>
        <w:rPr>
          <w:sz w:val="20"/>
          <w:szCs w:val="20"/>
        </w:rPr>
      </w:pPr>
      <w:r w:rsidRPr="003205FD">
        <w:rPr>
          <w:sz w:val="20"/>
          <w:szCs w:val="20"/>
        </w:rPr>
        <w:t xml:space="preserve">[12] ANP. </w:t>
      </w:r>
      <w:proofErr w:type="spellStart"/>
      <w:r w:rsidRPr="003205FD">
        <w:rPr>
          <w:sz w:val="20"/>
          <w:szCs w:val="20"/>
        </w:rPr>
        <w:t>Agência</w:t>
      </w:r>
      <w:proofErr w:type="spellEnd"/>
      <w:r w:rsidRPr="003205FD">
        <w:rPr>
          <w:sz w:val="20"/>
          <w:szCs w:val="20"/>
        </w:rPr>
        <w:t xml:space="preserve"> Nacional do </w:t>
      </w:r>
      <w:proofErr w:type="spellStart"/>
      <w:r w:rsidRPr="003205FD">
        <w:rPr>
          <w:sz w:val="20"/>
          <w:szCs w:val="20"/>
        </w:rPr>
        <w:t>Petróleo</w:t>
      </w:r>
      <w:proofErr w:type="spellEnd"/>
      <w:r w:rsidRPr="003205FD">
        <w:rPr>
          <w:sz w:val="20"/>
          <w:szCs w:val="20"/>
        </w:rPr>
        <w:t xml:space="preserve">, </w:t>
      </w:r>
      <w:proofErr w:type="spellStart"/>
      <w:r w:rsidRPr="003205FD">
        <w:rPr>
          <w:sz w:val="20"/>
          <w:szCs w:val="20"/>
        </w:rPr>
        <w:t>Gás</w:t>
      </w:r>
      <w:proofErr w:type="spellEnd"/>
      <w:r w:rsidRPr="003205FD">
        <w:rPr>
          <w:sz w:val="20"/>
          <w:szCs w:val="20"/>
        </w:rPr>
        <w:t xml:space="preserve"> Natural e </w:t>
      </w:r>
      <w:proofErr w:type="spellStart"/>
      <w:r w:rsidRPr="003205FD">
        <w:rPr>
          <w:sz w:val="20"/>
          <w:szCs w:val="20"/>
        </w:rPr>
        <w:t>Biocombustíveis</w:t>
      </w:r>
      <w:proofErr w:type="spellEnd"/>
      <w:r w:rsidRPr="003205FD">
        <w:rPr>
          <w:sz w:val="20"/>
          <w:szCs w:val="20"/>
        </w:rPr>
        <w:t xml:space="preserve">. </w:t>
      </w:r>
      <w:proofErr w:type="spellStart"/>
      <w:r w:rsidRPr="003205FD">
        <w:rPr>
          <w:sz w:val="20"/>
          <w:szCs w:val="20"/>
        </w:rPr>
        <w:t>Resolução</w:t>
      </w:r>
      <w:proofErr w:type="spellEnd"/>
      <w:r w:rsidRPr="003205FD">
        <w:rPr>
          <w:sz w:val="20"/>
          <w:szCs w:val="20"/>
        </w:rPr>
        <w:t xml:space="preserve"> ANP Nº 886, de 29 de </w:t>
      </w:r>
      <w:proofErr w:type="spellStart"/>
      <w:r w:rsidRPr="003205FD">
        <w:rPr>
          <w:sz w:val="20"/>
          <w:szCs w:val="20"/>
        </w:rPr>
        <w:t>setembro</w:t>
      </w:r>
      <w:proofErr w:type="spellEnd"/>
      <w:r w:rsidRPr="003205FD">
        <w:rPr>
          <w:sz w:val="20"/>
          <w:szCs w:val="20"/>
        </w:rPr>
        <w:t xml:space="preserve"> de 2022 - DOU DE 29.09.2022. </w:t>
      </w:r>
      <w:proofErr w:type="spellStart"/>
      <w:r w:rsidRPr="003205FD">
        <w:rPr>
          <w:sz w:val="20"/>
          <w:szCs w:val="20"/>
        </w:rPr>
        <w:t>Estabelece</w:t>
      </w:r>
      <w:proofErr w:type="spellEnd"/>
      <w:r w:rsidRPr="003205FD">
        <w:rPr>
          <w:sz w:val="20"/>
          <w:szCs w:val="20"/>
        </w:rPr>
        <w:t xml:space="preserve"> a </w:t>
      </w:r>
      <w:proofErr w:type="spellStart"/>
      <w:r w:rsidRPr="003205FD">
        <w:rPr>
          <w:sz w:val="20"/>
          <w:szCs w:val="20"/>
        </w:rPr>
        <w:t>especificação</w:t>
      </w:r>
      <w:proofErr w:type="spellEnd"/>
      <w:r w:rsidRPr="003205FD">
        <w:rPr>
          <w:sz w:val="20"/>
          <w:szCs w:val="20"/>
        </w:rPr>
        <w:t xml:space="preserve"> e as </w:t>
      </w:r>
      <w:proofErr w:type="spellStart"/>
      <w:r w:rsidRPr="003205FD">
        <w:rPr>
          <w:sz w:val="20"/>
          <w:szCs w:val="20"/>
        </w:rPr>
        <w:t>regras</w:t>
      </w:r>
      <w:proofErr w:type="spellEnd"/>
      <w:r w:rsidRPr="003205FD">
        <w:rPr>
          <w:sz w:val="20"/>
          <w:szCs w:val="20"/>
        </w:rPr>
        <w:t xml:space="preserve"> para </w:t>
      </w:r>
      <w:proofErr w:type="spellStart"/>
      <w:r w:rsidRPr="003205FD">
        <w:rPr>
          <w:sz w:val="20"/>
          <w:szCs w:val="20"/>
        </w:rPr>
        <w:t>aprovação</w:t>
      </w:r>
      <w:proofErr w:type="spellEnd"/>
      <w:r w:rsidRPr="003205FD">
        <w:rPr>
          <w:sz w:val="20"/>
          <w:szCs w:val="20"/>
        </w:rPr>
        <w:t xml:space="preserve"> do </w:t>
      </w:r>
      <w:proofErr w:type="spellStart"/>
      <w:r w:rsidRPr="003205FD">
        <w:rPr>
          <w:sz w:val="20"/>
          <w:szCs w:val="20"/>
        </w:rPr>
        <w:t>controle</w:t>
      </w:r>
      <w:proofErr w:type="spellEnd"/>
      <w:r w:rsidRPr="003205FD">
        <w:rPr>
          <w:sz w:val="20"/>
          <w:szCs w:val="20"/>
        </w:rPr>
        <w:t xml:space="preserve"> da </w:t>
      </w:r>
      <w:proofErr w:type="spellStart"/>
      <w:r w:rsidRPr="003205FD">
        <w:rPr>
          <w:sz w:val="20"/>
          <w:szCs w:val="20"/>
        </w:rPr>
        <w:t>qualidade</w:t>
      </w:r>
      <w:proofErr w:type="spellEnd"/>
      <w:r w:rsidRPr="003205FD">
        <w:rPr>
          <w:sz w:val="20"/>
          <w:szCs w:val="20"/>
        </w:rPr>
        <w:t xml:space="preserve"> do biometano </w:t>
      </w:r>
      <w:proofErr w:type="spellStart"/>
      <w:r w:rsidRPr="003205FD">
        <w:rPr>
          <w:sz w:val="20"/>
          <w:szCs w:val="20"/>
        </w:rPr>
        <w:t>oriundo</w:t>
      </w:r>
      <w:proofErr w:type="spellEnd"/>
      <w:r w:rsidRPr="003205FD">
        <w:rPr>
          <w:sz w:val="20"/>
          <w:szCs w:val="20"/>
        </w:rPr>
        <w:t xml:space="preserve"> de </w:t>
      </w:r>
      <w:proofErr w:type="spellStart"/>
      <w:r w:rsidRPr="003205FD">
        <w:rPr>
          <w:sz w:val="20"/>
          <w:szCs w:val="20"/>
        </w:rPr>
        <w:t>aterros</w:t>
      </w:r>
      <w:proofErr w:type="spellEnd"/>
      <w:r w:rsidRPr="003205FD">
        <w:rPr>
          <w:sz w:val="20"/>
          <w:szCs w:val="20"/>
        </w:rPr>
        <w:t xml:space="preserve"> </w:t>
      </w:r>
      <w:proofErr w:type="spellStart"/>
      <w:r w:rsidRPr="003205FD">
        <w:rPr>
          <w:sz w:val="20"/>
          <w:szCs w:val="20"/>
        </w:rPr>
        <w:t>sanitários</w:t>
      </w:r>
      <w:proofErr w:type="spellEnd"/>
      <w:r w:rsidRPr="003205FD">
        <w:rPr>
          <w:sz w:val="20"/>
          <w:szCs w:val="20"/>
        </w:rPr>
        <w:t xml:space="preserve"> e de </w:t>
      </w:r>
      <w:proofErr w:type="spellStart"/>
      <w:r w:rsidRPr="003205FD">
        <w:rPr>
          <w:sz w:val="20"/>
          <w:szCs w:val="20"/>
        </w:rPr>
        <w:t>estações</w:t>
      </w:r>
      <w:proofErr w:type="spellEnd"/>
      <w:r w:rsidRPr="003205FD">
        <w:rPr>
          <w:sz w:val="20"/>
          <w:szCs w:val="20"/>
        </w:rPr>
        <w:t xml:space="preserve"> de </w:t>
      </w:r>
      <w:proofErr w:type="spellStart"/>
      <w:r w:rsidRPr="003205FD">
        <w:rPr>
          <w:sz w:val="20"/>
          <w:szCs w:val="20"/>
        </w:rPr>
        <w:t>tratamento</w:t>
      </w:r>
      <w:proofErr w:type="spellEnd"/>
      <w:r w:rsidRPr="003205FD">
        <w:rPr>
          <w:sz w:val="20"/>
          <w:szCs w:val="20"/>
        </w:rPr>
        <w:t xml:space="preserve"> de </w:t>
      </w:r>
      <w:proofErr w:type="spellStart"/>
      <w:r w:rsidRPr="003205FD">
        <w:rPr>
          <w:sz w:val="20"/>
          <w:szCs w:val="20"/>
        </w:rPr>
        <w:t>esgoto</w:t>
      </w:r>
      <w:proofErr w:type="spellEnd"/>
      <w:r w:rsidRPr="003205FD">
        <w:rPr>
          <w:sz w:val="20"/>
          <w:szCs w:val="20"/>
        </w:rPr>
        <w:t xml:space="preserve"> </w:t>
      </w:r>
      <w:proofErr w:type="spellStart"/>
      <w:r w:rsidRPr="003205FD">
        <w:rPr>
          <w:sz w:val="20"/>
          <w:szCs w:val="20"/>
        </w:rPr>
        <w:t>destinado</w:t>
      </w:r>
      <w:proofErr w:type="spellEnd"/>
      <w:r w:rsidRPr="003205FD">
        <w:rPr>
          <w:sz w:val="20"/>
          <w:szCs w:val="20"/>
        </w:rPr>
        <w:t xml:space="preserve"> </w:t>
      </w:r>
      <w:proofErr w:type="spellStart"/>
      <w:r w:rsidRPr="003205FD">
        <w:rPr>
          <w:sz w:val="20"/>
          <w:szCs w:val="20"/>
        </w:rPr>
        <w:t>ao</w:t>
      </w:r>
      <w:proofErr w:type="spellEnd"/>
      <w:r w:rsidRPr="003205FD">
        <w:rPr>
          <w:sz w:val="20"/>
          <w:szCs w:val="20"/>
        </w:rPr>
        <w:t xml:space="preserve"> </w:t>
      </w:r>
      <w:proofErr w:type="spellStart"/>
      <w:r w:rsidRPr="003205FD">
        <w:rPr>
          <w:sz w:val="20"/>
          <w:szCs w:val="20"/>
        </w:rPr>
        <w:t>uso</w:t>
      </w:r>
      <w:proofErr w:type="spellEnd"/>
      <w:r w:rsidRPr="003205FD">
        <w:rPr>
          <w:sz w:val="20"/>
          <w:szCs w:val="20"/>
        </w:rPr>
        <w:t xml:space="preserve"> </w:t>
      </w:r>
      <w:proofErr w:type="spellStart"/>
      <w:r w:rsidRPr="003205FD">
        <w:rPr>
          <w:sz w:val="20"/>
          <w:szCs w:val="20"/>
        </w:rPr>
        <w:t>veicular</w:t>
      </w:r>
      <w:proofErr w:type="spellEnd"/>
      <w:r w:rsidRPr="003205FD">
        <w:rPr>
          <w:sz w:val="20"/>
          <w:szCs w:val="20"/>
        </w:rPr>
        <w:t xml:space="preserve"> e </w:t>
      </w:r>
      <w:proofErr w:type="spellStart"/>
      <w:r w:rsidRPr="003205FD">
        <w:rPr>
          <w:sz w:val="20"/>
          <w:szCs w:val="20"/>
        </w:rPr>
        <w:t>às</w:t>
      </w:r>
      <w:proofErr w:type="spellEnd"/>
      <w:r w:rsidRPr="003205FD">
        <w:rPr>
          <w:sz w:val="20"/>
          <w:szCs w:val="20"/>
        </w:rPr>
        <w:t xml:space="preserve"> </w:t>
      </w:r>
      <w:proofErr w:type="spellStart"/>
      <w:r w:rsidRPr="003205FD">
        <w:rPr>
          <w:sz w:val="20"/>
          <w:szCs w:val="20"/>
        </w:rPr>
        <w:t>instalações</w:t>
      </w:r>
      <w:proofErr w:type="spellEnd"/>
      <w:r w:rsidRPr="003205FD">
        <w:rPr>
          <w:sz w:val="20"/>
          <w:szCs w:val="20"/>
        </w:rPr>
        <w:t xml:space="preserve"> </w:t>
      </w:r>
      <w:proofErr w:type="spellStart"/>
      <w:r w:rsidRPr="003205FD">
        <w:rPr>
          <w:sz w:val="20"/>
          <w:szCs w:val="20"/>
        </w:rPr>
        <w:t>residenciais</w:t>
      </w:r>
      <w:proofErr w:type="spellEnd"/>
      <w:r w:rsidRPr="003205FD">
        <w:rPr>
          <w:sz w:val="20"/>
          <w:szCs w:val="20"/>
        </w:rPr>
        <w:t xml:space="preserve">, </w:t>
      </w:r>
      <w:proofErr w:type="spellStart"/>
      <w:r w:rsidRPr="003205FD">
        <w:rPr>
          <w:sz w:val="20"/>
          <w:szCs w:val="20"/>
        </w:rPr>
        <w:t>industriais</w:t>
      </w:r>
      <w:proofErr w:type="spellEnd"/>
      <w:r w:rsidRPr="003205FD">
        <w:rPr>
          <w:sz w:val="20"/>
          <w:szCs w:val="20"/>
        </w:rPr>
        <w:t xml:space="preserve"> e </w:t>
      </w:r>
      <w:proofErr w:type="spellStart"/>
      <w:r w:rsidRPr="003205FD">
        <w:rPr>
          <w:sz w:val="20"/>
          <w:szCs w:val="20"/>
        </w:rPr>
        <w:t>comerciais</w:t>
      </w:r>
      <w:proofErr w:type="spellEnd"/>
      <w:r w:rsidRPr="003205FD">
        <w:rPr>
          <w:sz w:val="20"/>
          <w:szCs w:val="20"/>
        </w:rPr>
        <w:t xml:space="preserve">, a ser </w:t>
      </w:r>
      <w:proofErr w:type="spellStart"/>
      <w:r w:rsidRPr="003205FD">
        <w:rPr>
          <w:sz w:val="20"/>
          <w:szCs w:val="20"/>
        </w:rPr>
        <w:t>comercializado</w:t>
      </w:r>
      <w:proofErr w:type="spellEnd"/>
      <w:r w:rsidRPr="003205FD">
        <w:rPr>
          <w:sz w:val="20"/>
          <w:szCs w:val="20"/>
        </w:rPr>
        <w:t xml:space="preserve"> no </w:t>
      </w:r>
      <w:proofErr w:type="spellStart"/>
      <w:r w:rsidRPr="003205FD">
        <w:rPr>
          <w:sz w:val="20"/>
          <w:szCs w:val="20"/>
        </w:rPr>
        <w:t>território</w:t>
      </w:r>
      <w:proofErr w:type="spellEnd"/>
      <w:r w:rsidRPr="003205FD">
        <w:rPr>
          <w:sz w:val="20"/>
          <w:szCs w:val="20"/>
        </w:rPr>
        <w:t xml:space="preserve"> </w:t>
      </w:r>
      <w:proofErr w:type="spellStart"/>
      <w:r w:rsidRPr="003205FD">
        <w:rPr>
          <w:sz w:val="20"/>
          <w:szCs w:val="20"/>
        </w:rPr>
        <w:t>nacional</w:t>
      </w:r>
      <w:proofErr w:type="spellEnd"/>
      <w:r w:rsidRPr="003205FD">
        <w:rPr>
          <w:sz w:val="20"/>
          <w:szCs w:val="20"/>
        </w:rPr>
        <w:t>.</w:t>
      </w:r>
    </w:p>
    <w:p w:rsidR="003205FD" w:rsidRPr="003205FD" w:rsidRDefault="003205FD" w:rsidP="003205FD">
      <w:pPr>
        <w:jc w:val="both"/>
        <w:rPr>
          <w:sz w:val="20"/>
          <w:szCs w:val="20"/>
        </w:rPr>
      </w:pPr>
      <w:r w:rsidRPr="003205FD">
        <w:rPr>
          <w:sz w:val="20"/>
          <w:szCs w:val="20"/>
        </w:rPr>
        <w:t xml:space="preserve">[13] LEMOS, G. L. de; CARDOSO, M. F. O.; COSTA, H. K. de M. </w:t>
      </w:r>
      <w:proofErr w:type="spellStart"/>
      <w:r w:rsidRPr="003205FD">
        <w:rPr>
          <w:sz w:val="20"/>
          <w:szCs w:val="20"/>
        </w:rPr>
        <w:t>Biogás</w:t>
      </w:r>
      <w:proofErr w:type="spellEnd"/>
      <w:r w:rsidRPr="003205FD">
        <w:rPr>
          <w:sz w:val="20"/>
          <w:szCs w:val="20"/>
        </w:rPr>
        <w:t xml:space="preserve"> e biometano no </w:t>
      </w:r>
      <w:proofErr w:type="spellStart"/>
      <w:r w:rsidRPr="003205FD">
        <w:rPr>
          <w:sz w:val="20"/>
          <w:szCs w:val="20"/>
        </w:rPr>
        <w:t>Brasil</w:t>
      </w:r>
      <w:proofErr w:type="spellEnd"/>
      <w:r w:rsidRPr="003205FD">
        <w:rPr>
          <w:sz w:val="20"/>
          <w:szCs w:val="20"/>
        </w:rPr>
        <w:t xml:space="preserve">: panorama e </w:t>
      </w:r>
      <w:proofErr w:type="spellStart"/>
      <w:r w:rsidRPr="003205FD">
        <w:rPr>
          <w:sz w:val="20"/>
          <w:szCs w:val="20"/>
        </w:rPr>
        <w:t>perspectivas</w:t>
      </w:r>
      <w:proofErr w:type="spellEnd"/>
      <w:r w:rsidRPr="003205FD">
        <w:rPr>
          <w:sz w:val="20"/>
          <w:szCs w:val="20"/>
        </w:rPr>
        <w:t xml:space="preserve">. </w:t>
      </w:r>
      <w:proofErr w:type="spellStart"/>
      <w:r w:rsidRPr="003205FD">
        <w:rPr>
          <w:sz w:val="20"/>
          <w:szCs w:val="20"/>
        </w:rPr>
        <w:t>Desenvolvimento</w:t>
      </w:r>
      <w:proofErr w:type="spellEnd"/>
      <w:r w:rsidRPr="003205FD">
        <w:rPr>
          <w:sz w:val="20"/>
          <w:szCs w:val="20"/>
        </w:rPr>
        <w:t xml:space="preserve"> e </w:t>
      </w:r>
      <w:proofErr w:type="spellStart"/>
      <w:r w:rsidRPr="003205FD">
        <w:rPr>
          <w:sz w:val="20"/>
          <w:szCs w:val="20"/>
        </w:rPr>
        <w:t>Meio</w:t>
      </w:r>
      <w:proofErr w:type="spellEnd"/>
      <w:r w:rsidRPr="003205FD">
        <w:rPr>
          <w:sz w:val="20"/>
          <w:szCs w:val="20"/>
        </w:rPr>
        <w:t xml:space="preserve"> </w:t>
      </w:r>
      <w:proofErr w:type="spellStart"/>
      <w:r w:rsidRPr="003205FD">
        <w:rPr>
          <w:sz w:val="20"/>
          <w:szCs w:val="20"/>
        </w:rPr>
        <w:t>Ambiente</w:t>
      </w:r>
      <w:proofErr w:type="spellEnd"/>
      <w:r w:rsidRPr="003205FD">
        <w:rPr>
          <w:sz w:val="20"/>
          <w:szCs w:val="20"/>
        </w:rPr>
        <w:t xml:space="preserve">, </w:t>
      </w:r>
      <w:r w:rsidRPr="003205FD">
        <w:rPr>
          <w:i/>
          <w:iCs/>
          <w:sz w:val="20"/>
          <w:szCs w:val="20"/>
        </w:rPr>
        <w:t>[S. l.]</w:t>
      </w:r>
      <w:r w:rsidRPr="003205FD">
        <w:rPr>
          <w:sz w:val="20"/>
          <w:szCs w:val="20"/>
        </w:rPr>
        <w:t xml:space="preserve">, v. 63, 2024. Available in: </w:t>
      </w:r>
      <w:hyperlink r:id="rId15" w:history="1">
        <w:r w:rsidRPr="003205FD">
          <w:rPr>
            <w:rStyle w:val="Hyperlink"/>
            <w:sz w:val="20"/>
            <w:szCs w:val="20"/>
          </w:rPr>
          <w:t>https://revistas.ufpr.br/made/article/view/88929</w:t>
        </w:r>
      </w:hyperlink>
      <w:r w:rsidRPr="003205FD">
        <w:rPr>
          <w:sz w:val="20"/>
          <w:szCs w:val="20"/>
        </w:rPr>
        <w:t xml:space="preserve">. </w:t>
      </w:r>
      <w:proofErr w:type="spellStart"/>
      <w:r w:rsidRPr="003205FD">
        <w:rPr>
          <w:sz w:val="20"/>
          <w:szCs w:val="20"/>
        </w:rPr>
        <w:t>Acesso</w:t>
      </w:r>
      <w:proofErr w:type="spellEnd"/>
      <w:r w:rsidRPr="003205FD">
        <w:rPr>
          <w:sz w:val="20"/>
          <w:szCs w:val="20"/>
        </w:rPr>
        <w:t xml:space="preserve"> </w:t>
      </w:r>
      <w:proofErr w:type="spellStart"/>
      <w:r w:rsidRPr="003205FD">
        <w:rPr>
          <w:sz w:val="20"/>
          <w:szCs w:val="20"/>
        </w:rPr>
        <w:t>em</w:t>
      </w:r>
      <w:proofErr w:type="spellEnd"/>
      <w:r w:rsidRPr="003205FD">
        <w:rPr>
          <w:sz w:val="20"/>
          <w:szCs w:val="20"/>
        </w:rPr>
        <w:t>: 27 may 2025.</w:t>
      </w:r>
    </w:p>
    <w:p w:rsidR="003205FD" w:rsidRPr="003205FD" w:rsidRDefault="003205FD" w:rsidP="003205FD">
      <w:pPr>
        <w:jc w:val="both"/>
        <w:rPr>
          <w:sz w:val="20"/>
          <w:szCs w:val="20"/>
        </w:rPr>
      </w:pPr>
      <w:r w:rsidRPr="003205FD">
        <w:rPr>
          <w:sz w:val="20"/>
          <w:szCs w:val="20"/>
        </w:rPr>
        <w:t xml:space="preserve">[14] EPE – Plano Nacional </w:t>
      </w:r>
      <w:proofErr w:type="spellStart"/>
      <w:r w:rsidRPr="003205FD">
        <w:rPr>
          <w:sz w:val="20"/>
          <w:szCs w:val="20"/>
        </w:rPr>
        <w:t>Integrado</w:t>
      </w:r>
      <w:proofErr w:type="spellEnd"/>
      <w:r w:rsidRPr="003205FD">
        <w:rPr>
          <w:sz w:val="20"/>
          <w:szCs w:val="20"/>
        </w:rPr>
        <w:t xml:space="preserve"> das </w:t>
      </w:r>
      <w:proofErr w:type="spellStart"/>
      <w:r w:rsidRPr="003205FD">
        <w:rPr>
          <w:sz w:val="20"/>
          <w:szCs w:val="20"/>
        </w:rPr>
        <w:t>Infraestruturas</w:t>
      </w:r>
      <w:proofErr w:type="spellEnd"/>
      <w:r w:rsidRPr="003205FD">
        <w:rPr>
          <w:sz w:val="20"/>
          <w:szCs w:val="20"/>
        </w:rPr>
        <w:t xml:space="preserve"> do </w:t>
      </w:r>
      <w:proofErr w:type="spellStart"/>
      <w:r w:rsidRPr="003205FD">
        <w:rPr>
          <w:sz w:val="20"/>
          <w:szCs w:val="20"/>
        </w:rPr>
        <w:t>Gás</w:t>
      </w:r>
      <w:proofErr w:type="spellEnd"/>
      <w:r w:rsidRPr="003205FD">
        <w:rPr>
          <w:sz w:val="20"/>
          <w:szCs w:val="20"/>
        </w:rPr>
        <w:t xml:space="preserve"> Natural e Biometano. Available in: </w:t>
      </w:r>
      <w:hyperlink r:id="rId16" w:history="1">
        <w:r w:rsidRPr="003205FD">
          <w:rPr>
            <w:rStyle w:val="Hyperlink"/>
            <w:sz w:val="20"/>
            <w:szCs w:val="20"/>
          </w:rPr>
          <w:t>https://www.gov.br/mme/pt-br/assuntos/secretarias/petroleo-gas-natural-e-biocombustiveis/gas-para-empregar/workshop-gas-para-empregar-e-harmonizacao-regulatoria/apresentacao-epe-marcos-frederico</w:t>
        </w:r>
      </w:hyperlink>
      <w:r w:rsidRPr="003205FD">
        <w:rPr>
          <w:sz w:val="20"/>
          <w:szCs w:val="20"/>
        </w:rPr>
        <w:t>. Access in 21 may 2025.</w:t>
      </w:r>
    </w:p>
    <w:p w:rsidR="003205FD" w:rsidRPr="003205FD" w:rsidRDefault="003205FD" w:rsidP="003205FD">
      <w:pPr>
        <w:jc w:val="both"/>
        <w:rPr>
          <w:sz w:val="20"/>
          <w:szCs w:val="20"/>
        </w:rPr>
      </w:pPr>
      <w:r w:rsidRPr="003205FD">
        <w:rPr>
          <w:sz w:val="20"/>
          <w:szCs w:val="20"/>
        </w:rPr>
        <w:t xml:space="preserve">[15] ALENCAR, A. </w:t>
      </w:r>
      <w:proofErr w:type="gramStart"/>
      <w:r w:rsidRPr="003205FD">
        <w:rPr>
          <w:rStyle w:val="f500"/>
          <w:i/>
          <w:iCs/>
          <w:color w:val="212529"/>
          <w:sz w:val="20"/>
          <w:szCs w:val="20"/>
          <w:shd w:val="clear" w:color="auto" w:fill="FFFFFF"/>
        </w:rPr>
        <w:t>et al..</w:t>
      </w:r>
      <w:proofErr w:type="gramEnd"/>
      <w:r w:rsidRPr="003205FD">
        <w:rPr>
          <w:sz w:val="20"/>
          <w:szCs w:val="20"/>
        </w:rPr>
        <w:t xml:space="preserve"> </w:t>
      </w:r>
      <w:proofErr w:type="spellStart"/>
      <w:r w:rsidRPr="003205FD">
        <w:rPr>
          <w:sz w:val="20"/>
          <w:szCs w:val="20"/>
        </w:rPr>
        <w:t>Desafios</w:t>
      </w:r>
      <w:proofErr w:type="spellEnd"/>
      <w:r w:rsidRPr="003205FD">
        <w:rPr>
          <w:sz w:val="20"/>
          <w:szCs w:val="20"/>
        </w:rPr>
        <w:t xml:space="preserve"> e </w:t>
      </w:r>
      <w:proofErr w:type="spellStart"/>
      <w:r w:rsidRPr="003205FD">
        <w:rPr>
          <w:sz w:val="20"/>
          <w:szCs w:val="20"/>
        </w:rPr>
        <w:t>oportunidades</w:t>
      </w:r>
      <w:proofErr w:type="spellEnd"/>
      <w:r w:rsidRPr="003205FD">
        <w:rPr>
          <w:sz w:val="20"/>
          <w:szCs w:val="20"/>
        </w:rPr>
        <w:t xml:space="preserve"> para </w:t>
      </w:r>
      <w:proofErr w:type="spellStart"/>
      <w:r w:rsidRPr="003205FD">
        <w:rPr>
          <w:sz w:val="20"/>
          <w:szCs w:val="20"/>
        </w:rPr>
        <w:t>redução</w:t>
      </w:r>
      <w:proofErr w:type="spellEnd"/>
      <w:r w:rsidRPr="003205FD">
        <w:rPr>
          <w:sz w:val="20"/>
          <w:szCs w:val="20"/>
        </w:rPr>
        <w:t xml:space="preserve"> das </w:t>
      </w:r>
      <w:proofErr w:type="spellStart"/>
      <w:r w:rsidRPr="003205FD">
        <w:rPr>
          <w:sz w:val="20"/>
          <w:szCs w:val="20"/>
        </w:rPr>
        <w:t>emissões</w:t>
      </w:r>
      <w:proofErr w:type="spellEnd"/>
      <w:r w:rsidRPr="003205FD">
        <w:rPr>
          <w:sz w:val="20"/>
          <w:szCs w:val="20"/>
        </w:rPr>
        <w:t xml:space="preserve"> de </w:t>
      </w:r>
      <w:proofErr w:type="spellStart"/>
      <w:r w:rsidRPr="003205FD">
        <w:rPr>
          <w:sz w:val="20"/>
          <w:szCs w:val="20"/>
        </w:rPr>
        <w:t>metano</w:t>
      </w:r>
      <w:proofErr w:type="spellEnd"/>
      <w:r w:rsidRPr="003205FD">
        <w:rPr>
          <w:sz w:val="20"/>
          <w:szCs w:val="20"/>
        </w:rPr>
        <w:t xml:space="preserve"> no </w:t>
      </w:r>
      <w:proofErr w:type="spellStart"/>
      <w:r w:rsidRPr="003205FD">
        <w:rPr>
          <w:sz w:val="20"/>
          <w:szCs w:val="20"/>
        </w:rPr>
        <w:t>Brasil</w:t>
      </w:r>
      <w:proofErr w:type="spellEnd"/>
      <w:r w:rsidRPr="003205FD">
        <w:rPr>
          <w:sz w:val="20"/>
          <w:szCs w:val="20"/>
        </w:rPr>
        <w:t xml:space="preserve">. Brasília, DF: </w:t>
      </w:r>
      <w:proofErr w:type="spellStart"/>
      <w:r w:rsidRPr="003205FD">
        <w:rPr>
          <w:sz w:val="20"/>
          <w:szCs w:val="20"/>
        </w:rPr>
        <w:t>Observatório</w:t>
      </w:r>
      <w:proofErr w:type="spellEnd"/>
      <w:r w:rsidRPr="003205FD">
        <w:rPr>
          <w:sz w:val="20"/>
          <w:szCs w:val="20"/>
        </w:rPr>
        <w:t xml:space="preserve"> do </w:t>
      </w:r>
      <w:proofErr w:type="spellStart"/>
      <w:r w:rsidRPr="003205FD">
        <w:rPr>
          <w:sz w:val="20"/>
          <w:szCs w:val="20"/>
        </w:rPr>
        <w:t>Clima</w:t>
      </w:r>
      <w:proofErr w:type="spellEnd"/>
      <w:r w:rsidRPr="003205FD">
        <w:rPr>
          <w:sz w:val="20"/>
          <w:szCs w:val="20"/>
        </w:rPr>
        <w:t xml:space="preserve">, 2022. Available in: </w:t>
      </w:r>
      <w:hyperlink r:id="rId17" w:history="1">
        <w:r w:rsidRPr="003205FD">
          <w:rPr>
            <w:rStyle w:val="Hyperlink"/>
            <w:sz w:val="20"/>
            <w:szCs w:val="20"/>
          </w:rPr>
          <w:t>https://energiaeambiente.org.br/produto/desafios-e-oportunidades-para-reducao-das-emissoes-de-metano-no-brasil</w:t>
        </w:r>
      </w:hyperlink>
      <w:r w:rsidRPr="003205FD">
        <w:rPr>
          <w:sz w:val="20"/>
          <w:szCs w:val="20"/>
        </w:rPr>
        <w:t xml:space="preserve">. </w:t>
      </w:r>
      <w:proofErr w:type="spellStart"/>
      <w:r w:rsidRPr="003205FD">
        <w:rPr>
          <w:sz w:val="20"/>
          <w:szCs w:val="20"/>
        </w:rPr>
        <w:t>Acesso</w:t>
      </w:r>
      <w:proofErr w:type="spellEnd"/>
      <w:r w:rsidRPr="003205FD">
        <w:rPr>
          <w:sz w:val="20"/>
          <w:szCs w:val="20"/>
        </w:rPr>
        <w:t xml:space="preserve"> </w:t>
      </w:r>
      <w:proofErr w:type="spellStart"/>
      <w:r w:rsidRPr="003205FD">
        <w:rPr>
          <w:sz w:val="20"/>
          <w:szCs w:val="20"/>
        </w:rPr>
        <w:t>em</w:t>
      </w:r>
      <w:proofErr w:type="spellEnd"/>
      <w:r w:rsidRPr="003205FD">
        <w:rPr>
          <w:sz w:val="20"/>
          <w:szCs w:val="20"/>
        </w:rPr>
        <w:t>: 27 may 2025.</w:t>
      </w:r>
    </w:p>
    <w:p w:rsidR="003205FD" w:rsidRPr="003205FD" w:rsidRDefault="003205FD" w:rsidP="003205FD">
      <w:pPr>
        <w:jc w:val="both"/>
        <w:rPr>
          <w:sz w:val="20"/>
          <w:szCs w:val="20"/>
          <w:shd w:val="clear" w:color="auto" w:fill="FFFFFF"/>
        </w:rPr>
      </w:pPr>
      <w:r w:rsidRPr="003205FD">
        <w:rPr>
          <w:sz w:val="20"/>
          <w:szCs w:val="20"/>
        </w:rPr>
        <w:t xml:space="preserve">[16] </w:t>
      </w:r>
      <w:r w:rsidRPr="003205FD">
        <w:rPr>
          <w:sz w:val="20"/>
          <w:szCs w:val="20"/>
          <w:shd w:val="clear" w:color="auto" w:fill="FFFFFF"/>
        </w:rPr>
        <w:t xml:space="preserve">TEIXEIRA, C. A. N. </w:t>
      </w:r>
      <w:r w:rsidRPr="003205FD">
        <w:rPr>
          <w:i/>
          <w:iCs/>
          <w:sz w:val="20"/>
          <w:szCs w:val="20"/>
          <w:shd w:val="clear" w:color="auto" w:fill="FFFFFF"/>
        </w:rPr>
        <w:t>et al</w:t>
      </w:r>
      <w:r w:rsidRPr="003205FD">
        <w:rPr>
          <w:sz w:val="20"/>
          <w:szCs w:val="20"/>
          <w:shd w:val="clear" w:color="auto" w:fill="FFFFFF"/>
        </w:rPr>
        <w:t xml:space="preserve">. A hora </w:t>
      </w:r>
      <w:proofErr w:type="gramStart"/>
      <w:r w:rsidRPr="003205FD">
        <w:rPr>
          <w:sz w:val="20"/>
          <w:szCs w:val="20"/>
          <w:shd w:val="clear" w:color="auto" w:fill="FFFFFF"/>
        </w:rPr>
        <w:t>do</w:t>
      </w:r>
      <w:proofErr w:type="gramEnd"/>
      <w:r w:rsidRPr="003205FD">
        <w:rPr>
          <w:sz w:val="20"/>
          <w:szCs w:val="20"/>
          <w:shd w:val="clear" w:color="auto" w:fill="FFFFFF"/>
        </w:rPr>
        <w:t xml:space="preserve"> biometano no </w:t>
      </w:r>
      <w:proofErr w:type="spellStart"/>
      <w:r w:rsidRPr="003205FD">
        <w:rPr>
          <w:sz w:val="20"/>
          <w:szCs w:val="20"/>
          <w:shd w:val="clear" w:color="auto" w:fill="FFFFFF"/>
        </w:rPr>
        <w:t>Brasil</w:t>
      </w:r>
      <w:proofErr w:type="spellEnd"/>
      <w:r w:rsidRPr="003205FD">
        <w:rPr>
          <w:sz w:val="20"/>
          <w:szCs w:val="20"/>
          <w:shd w:val="clear" w:color="auto" w:fill="FFFFFF"/>
        </w:rPr>
        <w:t xml:space="preserve">. Rio de Janeiro: Banco Nacional de </w:t>
      </w:r>
      <w:proofErr w:type="spellStart"/>
      <w:r w:rsidRPr="003205FD">
        <w:rPr>
          <w:sz w:val="20"/>
          <w:szCs w:val="20"/>
          <w:shd w:val="clear" w:color="auto" w:fill="FFFFFF"/>
        </w:rPr>
        <w:t>Desenvolvimento</w:t>
      </w:r>
      <w:proofErr w:type="spellEnd"/>
      <w:r w:rsidRPr="003205FD">
        <w:rPr>
          <w:sz w:val="20"/>
          <w:szCs w:val="20"/>
          <w:shd w:val="clear" w:color="auto" w:fill="FFFFFF"/>
        </w:rPr>
        <w:t xml:space="preserve"> </w:t>
      </w:r>
      <w:proofErr w:type="spellStart"/>
      <w:r w:rsidRPr="003205FD">
        <w:rPr>
          <w:sz w:val="20"/>
          <w:szCs w:val="20"/>
          <w:shd w:val="clear" w:color="auto" w:fill="FFFFFF"/>
        </w:rPr>
        <w:t>Econômico</w:t>
      </w:r>
      <w:proofErr w:type="spellEnd"/>
      <w:r w:rsidRPr="003205FD">
        <w:rPr>
          <w:sz w:val="20"/>
          <w:szCs w:val="20"/>
          <w:shd w:val="clear" w:color="auto" w:fill="FFFFFF"/>
        </w:rPr>
        <w:t xml:space="preserve"> e Social, 2024. 34 p. (</w:t>
      </w:r>
      <w:proofErr w:type="spellStart"/>
      <w:r w:rsidRPr="003205FD">
        <w:rPr>
          <w:sz w:val="20"/>
          <w:szCs w:val="20"/>
          <w:shd w:val="clear" w:color="auto" w:fill="FFFFFF"/>
        </w:rPr>
        <w:t>Textos</w:t>
      </w:r>
      <w:proofErr w:type="spellEnd"/>
      <w:r w:rsidRPr="003205FD">
        <w:rPr>
          <w:sz w:val="20"/>
          <w:szCs w:val="20"/>
          <w:shd w:val="clear" w:color="auto" w:fill="FFFFFF"/>
        </w:rPr>
        <w:t xml:space="preserve"> para </w:t>
      </w:r>
      <w:proofErr w:type="spellStart"/>
      <w:r w:rsidRPr="003205FD">
        <w:rPr>
          <w:sz w:val="20"/>
          <w:szCs w:val="20"/>
          <w:shd w:val="clear" w:color="auto" w:fill="FFFFFF"/>
        </w:rPr>
        <w:t>discussão</w:t>
      </w:r>
      <w:proofErr w:type="spellEnd"/>
      <w:r w:rsidRPr="003205FD">
        <w:rPr>
          <w:sz w:val="20"/>
          <w:szCs w:val="20"/>
          <w:shd w:val="clear" w:color="auto" w:fill="FFFFFF"/>
        </w:rPr>
        <w:t>; 159).</w:t>
      </w:r>
    </w:p>
    <w:p w:rsidR="003205FD" w:rsidRPr="003205FD" w:rsidRDefault="003205FD" w:rsidP="003205FD">
      <w:pPr>
        <w:jc w:val="both"/>
        <w:rPr>
          <w:sz w:val="20"/>
          <w:szCs w:val="20"/>
        </w:rPr>
      </w:pPr>
      <w:r w:rsidRPr="003205FD">
        <w:rPr>
          <w:sz w:val="20"/>
          <w:szCs w:val="20"/>
          <w:shd w:val="clear" w:color="auto" w:fill="FFFFFF"/>
        </w:rPr>
        <w:t xml:space="preserve">[17] </w:t>
      </w:r>
      <w:r w:rsidRPr="003205FD">
        <w:rPr>
          <w:sz w:val="20"/>
          <w:szCs w:val="20"/>
        </w:rPr>
        <w:t xml:space="preserve">RENOVABIO. </w:t>
      </w:r>
      <w:hyperlink r:id="rId18" w:history="1">
        <w:r w:rsidRPr="003205FD">
          <w:rPr>
            <w:rStyle w:val="Hyperlink"/>
            <w:sz w:val="20"/>
            <w:szCs w:val="20"/>
          </w:rPr>
          <w:t>LEI Nº 13.576, DE 26 DE DEZEMBRO DE 2017.</w:t>
        </w:r>
      </w:hyperlink>
      <w:r w:rsidRPr="003205FD">
        <w:rPr>
          <w:rStyle w:val="Forte"/>
          <w:sz w:val="20"/>
          <w:szCs w:val="20"/>
        </w:rPr>
        <w:t xml:space="preserve"> </w:t>
      </w:r>
      <w:proofErr w:type="spellStart"/>
      <w:r w:rsidRPr="003205FD">
        <w:rPr>
          <w:sz w:val="20"/>
          <w:szCs w:val="20"/>
        </w:rPr>
        <w:t>Dispõe</w:t>
      </w:r>
      <w:proofErr w:type="spellEnd"/>
      <w:r w:rsidRPr="003205FD">
        <w:rPr>
          <w:sz w:val="20"/>
          <w:szCs w:val="20"/>
        </w:rPr>
        <w:t xml:space="preserve"> </w:t>
      </w:r>
      <w:proofErr w:type="spellStart"/>
      <w:r w:rsidRPr="003205FD">
        <w:rPr>
          <w:sz w:val="20"/>
          <w:szCs w:val="20"/>
        </w:rPr>
        <w:t>sobre</w:t>
      </w:r>
      <w:proofErr w:type="spellEnd"/>
      <w:r w:rsidRPr="003205FD">
        <w:rPr>
          <w:sz w:val="20"/>
          <w:szCs w:val="20"/>
        </w:rPr>
        <w:t xml:space="preserve"> a </w:t>
      </w:r>
      <w:proofErr w:type="spellStart"/>
      <w:r w:rsidRPr="003205FD">
        <w:rPr>
          <w:sz w:val="20"/>
          <w:szCs w:val="20"/>
        </w:rPr>
        <w:t>Política</w:t>
      </w:r>
      <w:proofErr w:type="spellEnd"/>
      <w:r w:rsidRPr="003205FD">
        <w:rPr>
          <w:sz w:val="20"/>
          <w:szCs w:val="20"/>
        </w:rPr>
        <w:t xml:space="preserve"> Nacional de </w:t>
      </w:r>
      <w:proofErr w:type="spellStart"/>
      <w:r w:rsidRPr="003205FD">
        <w:rPr>
          <w:sz w:val="20"/>
          <w:szCs w:val="20"/>
        </w:rPr>
        <w:t>Biocombustíveis</w:t>
      </w:r>
      <w:proofErr w:type="spellEnd"/>
      <w:r w:rsidRPr="003205FD">
        <w:rPr>
          <w:sz w:val="20"/>
          <w:szCs w:val="20"/>
        </w:rPr>
        <w:t xml:space="preserve"> (</w:t>
      </w:r>
      <w:proofErr w:type="spellStart"/>
      <w:r w:rsidRPr="003205FD">
        <w:rPr>
          <w:sz w:val="20"/>
          <w:szCs w:val="20"/>
        </w:rPr>
        <w:t>RenovaBio</w:t>
      </w:r>
      <w:proofErr w:type="spellEnd"/>
      <w:r w:rsidRPr="003205FD">
        <w:rPr>
          <w:sz w:val="20"/>
          <w:szCs w:val="20"/>
        </w:rPr>
        <w:t xml:space="preserve">) e </w:t>
      </w:r>
      <w:proofErr w:type="spellStart"/>
      <w:r w:rsidRPr="003205FD">
        <w:rPr>
          <w:sz w:val="20"/>
          <w:szCs w:val="20"/>
        </w:rPr>
        <w:t>dá</w:t>
      </w:r>
      <w:proofErr w:type="spellEnd"/>
      <w:r w:rsidRPr="003205FD">
        <w:rPr>
          <w:sz w:val="20"/>
          <w:szCs w:val="20"/>
        </w:rPr>
        <w:t xml:space="preserve"> </w:t>
      </w:r>
      <w:proofErr w:type="spellStart"/>
      <w:r w:rsidRPr="003205FD">
        <w:rPr>
          <w:sz w:val="20"/>
          <w:szCs w:val="20"/>
        </w:rPr>
        <w:t>outras</w:t>
      </w:r>
      <w:proofErr w:type="spellEnd"/>
      <w:r w:rsidRPr="003205FD">
        <w:rPr>
          <w:sz w:val="20"/>
          <w:szCs w:val="20"/>
        </w:rPr>
        <w:t xml:space="preserve"> </w:t>
      </w:r>
      <w:proofErr w:type="spellStart"/>
      <w:r w:rsidRPr="003205FD">
        <w:rPr>
          <w:sz w:val="20"/>
          <w:szCs w:val="20"/>
        </w:rPr>
        <w:t>providências</w:t>
      </w:r>
      <w:proofErr w:type="spellEnd"/>
      <w:r w:rsidRPr="003205FD">
        <w:rPr>
          <w:sz w:val="20"/>
          <w:szCs w:val="20"/>
        </w:rPr>
        <w:t xml:space="preserve">. Available in: </w:t>
      </w:r>
      <w:hyperlink r:id="rId19" w:history="1">
        <w:r w:rsidRPr="003205FD">
          <w:rPr>
            <w:rStyle w:val="Hyperlink"/>
            <w:sz w:val="20"/>
            <w:szCs w:val="20"/>
          </w:rPr>
          <w:t>https://www.planalto.gov.br/ccivil_03/_ato2015-2018/2017/lei/l13576.htm</w:t>
        </w:r>
      </w:hyperlink>
      <w:r w:rsidRPr="003205FD">
        <w:rPr>
          <w:sz w:val="20"/>
          <w:szCs w:val="20"/>
        </w:rPr>
        <w:t>. Access in 28 may 2025.</w:t>
      </w:r>
    </w:p>
    <w:p w:rsidR="003205FD" w:rsidRPr="003205FD" w:rsidRDefault="003205FD" w:rsidP="003205FD">
      <w:pPr>
        <w:jc w:val="both"/>
        <w:rPr>
          <w:sz w:val="20"/>
          <w:szCs w:val="20"/>
        </w:rPr>
      </w:pPr>
      <w:r w:rsidRPr="003205FD">
        <w:rPr>
          <w:sz w:val="20"/>
          <w:szCs w:val="20"/>
        </w:rPr>
        <w:t xml:space="preserve">[18] ANP. </w:t>
      </w:r>
      <w:proofErr w:type="spellStart"/>
      <w:r w:rsidRPr="003205FD">
        <w:rPr>
          <w:sz w:val="20"/>
          <w:szCs w:val="20"/>
        </w:rPr>
        <w:t>Agência</w:t>
      </w:r>
      <w:proofErr w:type="spellEnd"/>
      <w:r w:rsidRPr="003205FD">
        <w:rPr>
          <w:sz w:val="20"/>
          <w:szCs w:val="20"/>
        </w:rPr>
        <w:t xml:space="preserve"> Nacional do </w:t>
      </w:r>
      <w:proofErr w:type="spellStart"/>
      <w:r w:rsidRPr="003205FD">
        <w:rPr>
          <w:sz w:val="20"/>
          <w:szCs w:val="20"/>
        </w:rPr>
        <w:t>Petróleo</w:t>
      </w:r>
      <w:proofErr w:type="spellEnd"/>
      <w:r w:rsidRPr="003205FD">
        <w:rPr>
          <w:sz w:val="20"/>
          <w:szCs w:val="20"/>
        </w:rPr>
        <w:t xml:space="preserve">, </w:t>
      </w:r>
      <w:proofErr w:type="spellStart"/>
      <w:r w:rsidRPr="003205FD">
        <w:rPr>
          <w:sz w:val="20"/>
          <w:szCs w:val="20"/>
        </w:rPr>
        <w:t>Gás</w:t>
      </w:r>
      <w:proofErr w:type="spellEnd"/>
      <w:r w:rsidRPr="003205FD">
        <w:rPr>
          <w:sz w:val="20"/>
          <w:szCs w:val="20"/>
        </w:rPr>
        <w:t xml:space="preserve"> Natural e </w:t>
      </w:r>
      <w:proofErr w:type="spellStart"/>
      <w:r w:rsidRPr="003205FD">
        <w:rPr>
          <w:sz w:val="20"/>
          <w:szCs w:val="20"/>
        </w:rPr>
        <w:t>Biocombustíveis</w:t>
      </w:r>
      <w:proofErr w:type="spellEnd"/>
      <w:r w:rsidRPr="003205FD">
        <w:rPr>
          <w:sz w:val="20"/>
          <w:szCs w:val="20"/>
        </w:rPr>
        <w:t xml:space="preserve">. </w:t>
      </w:r>
      <w:proofErr w:type="spellStart"/>
      <w:r w:rsidRPr="003205FD">
        <w:rPr>
          <w:sz w:val="20"/>
          <w:szCs w:val="20"/>
        </w:rPr>
        <w:t>Resolução</w:t>
      </w:r>
      <w:proofErr w:type="spellEnd"/>
      <w:r w:rsidRPr="003205FD">
        <w:rPr>
          <w:sz w:val="20"/>
          <w:szCs w:val="20"/>
        </w:rPr>
        <w:t xml:space="preserve"> ANP Nº 758, de 23 de </w:t>
      </w:r>
      <w:proofErr w:type="spellStart"/>
      <w:r w:rsidRPr="003205FD">
        <w:rPr>
          <w:sz w:val="20"/>
          <w:szCs w:val="20"/>
        </w:rPr>
        <w:t>novembro</w:t>
      </w:r>
      <w:proofErr w:type="spellEnd"/>
      <w:r w:rsidRPr="003205FD">
        <w:rPr>
          <w:sz w:val="20"/>
          <w:szCs w:val="20"/>
        </w:rPr>
        <w:t xml:space="preserve"> de 2018. </w:t>
      </w:r>
      <w:proofErr w:type="spellStart"/>
      <w:r w:rsidRPr="003205FD">
        <w:rPr>
          <w:sz w:val="20"/>
          <w:szCs w:val="20"/>
        </w:rPr>
        <w:t>Regulamenta</w:t>
      </w:r>
      <w:proofErr w:type="spellEnd"/>
      <w:r w:rsidRPr="003205FD">
        <w:rPr>
          <w:sz w:val="20"/>
          <w:szCs w:val="20"/>
        </w:rPr>
        <w:t xml:space="preserve"> a </w:t>
      </w:r>
      <w:proofErr w:type="spellStart"/>
      <w:r w:rsidRPr="003205FD">
        <w:rPr>
          <w:sz w:val="20"/>
          <w:szCs w:val="20"/>
        </w:rPr>
        <w:t>certificação</w:t>
      </w:r>
      <w:proofErr w:type="spellEnd"/>
      <w:r w:rsidRPr="003205FD">
        <w:rPr>
          <w:sz w:val="20"/>
          <w:szCs w:val="20"/>
        </w:rPr>
        <w:t xml:space="preserve"> da </w:t>
      </w:r>
      <w:proofErr w:type="spellStart"/>
      <w:r w:rsidRPr="003205FD">
        <w:rPr>
          <w:sz w:val="20"/>
          <w:szCs w:val="20"/>
        </w:rPr>
        <w:t>produção</w:t>
      </w:r>
      <w:proofErr w:type="spellEnd"/>
      <w:r w:rsidRPr="003205FD">
        <w:rPr>
          <w:sz w:val="20"/>
          <w:szCs w:val="20"/>
        </w:rPr>
        <w:t xml:space="preserve"> </w:t>
      </w:r>
      <w:proofErr w:type="spellStart"/>
      <w:r w:rsidRPr="003205FD">
        <w:rPr>
          <w:sz w:val="20"/>
          <w:szCs w:val="20"/>
        </w:rPr>
        <w:t>ou</w:t>
      </w:r>
      <w:proofErr w:type="spellEnd"/>
      <w:r w:rsidRPr="003205FD">
        <w:rPr>
          <w:sz w:val="20"/>
          <w:szCs w:val="20"/>
        </w:rPr>
        <w:t xml:space="preserve"> </w:t>
      </w:r>
      <w:proofErr w:type="spellStart"/>
      <w:r w:rsidRPr="003205FD">
        <w:rPr>
          <w:sz w:val="20"/>
          <w:szCs w:val="20"/>
        </w:rPr>
        <w:t>importação</w:t>
      </w:r>
      <w:proofErr w:type="spellEnd"/>
      <w:r w:rsidRPr="003205FD">
        <w:rPr>
          <w:sz w:val="20"/>
          <w:szCs w:val="20"/>
        </w:rPr>
        <w:t xml:space="preserve"> </w:t>
      </w:r>
      <w:proofErr w:type="spellStart"/>
      <w:r w:rsidRPr="003205FD">
        <w:rPr>
          <w:sz w:val="20"/>
          <w:szCs w:val="20"/>
        </w:rPr>
        <w:t>eficiente</w:t>
      </w:r>
      <w:proofErr w:type="spellEnd"/>
      <w:r w:rsidRPr="003205FD">
        <w:rPr>
          <w:sz w:val="20"/>
          <w:szCs w:val="20"/>
        </w:rPr>
        <w:t xml:space="preserve"> de </w:t>
      </w:r>
      <w:proofErr w:type="spellStart"/>
      <w:r w:rsidRPr="003205FD">
        <w:rPr>
          <w:sz w:val="20"/>
          <w:szCs w:val="20"/>
        </w:rPr>
        <w:t>biocombustíveis</w:t>
      </w:r>
      <w:proofErr w:type="spellEnd"/>
      <w:r w:rsidRPr="003205FD">
        <w:rPr>
          <w:sz w:val="20"/>
          <w:szCs w:val="20"/>
        </w:rPr>
        <w:t xml:space="preserve"> de que </w:t>
      </w:r>
      <w:proofErr w:type="spellStart"/>
      <w:r w:rsidRPr="003205FD">
        <w:rPr>
          <w:sz w:val="20"/>
          <w:szCs w:val="20"/>
        </w:rPr>
        <w:t>trata</w:t>
      </w:r>
      <w:proofErr w:type="spellEnd"/>
      <w:r w:rsidRPr="003205FD">
        <w:rPr>
          <w:sz w:val="20"/>
          <w:szCs w:val="20"/>
        </w:rPr>
        <w:t xml:space="preserve"> o art. 18 da Lei nº 13.576, de 26 de </w:t>
      </w:r>
      <w:proofErr w:type="spellStart"/>
      <w:r w:rsidRPr="003205FD">
        <w:rPr>
          <w:sz w:val="20"/>
          <w:szCs w:val="20"/>
        </w:rPr>
        <w:t>dezembro</w:t>
      </w:r>
      <w:proofErr w:type="spellEnd"/>
      <w:r w:rsidRPr="003205FD">
        <w:rPr>
          <w:sz w:val="20"/>
          <w:szCs w:val="20"/>
        </w:rPr>
        <w:t xml:space="preserve"> de 2017, e o </w:t>
      </w:r>
      <w:proofErr w:type="spellStart"/>
      <w:r w:rsidRPr="003205FD">
        <w:rPr>
          <w:sz w:val="20"/>
          <w:szCs w:val="20"/>
        </w:rPr>
        <w:t>credenciamento</w:t>
      </w:r>
      <w:proofErr w:type="spellEnd"/>
      <w:r w:rsidRPr="003205FD">
        <w:rPr>
          <w:sz w:val="20"/>
          <w:szCs w:val="20"/>
        </w:rPr>
        <w:t xml:space="preserve"> de </w:t>
      </w:r>
      <w:proofErr w:type="spellStart"/>
      <w:r w:rsidRPr="003205FD">
        <w:rPr>
          <w:sz w:val="20"/>
          <w:szCs w:val="20"/>
        </w:rPr>
        <w:t>firmas</w:t>
      </w:r>
      <w:proofErr w:type="spellEnd"/>
      <w:r w:rsidRPr="003205FD">
        <w:rPr>
          <w:sz w:val="20"/>
          <w:szCs w:val="20"/>
        </w:rPr>
        <w:t xml:space="preserve"> </w:t>
      </w:r>
      <w:proofErr w:type="spellStart"/>
      <w:r w:rsidRPr="003205FD">
        <w:rPr>
          <w:sz w:val="20"/>
          <w:szCs w:val="20"/>
        </w:rPr>
        <w:t>inspetoras</w:t>
      </w:r>
      <w:proofErr w:type="spellEnd"/>
      <w:r w:rsidRPr="003205FD">
        <w:rPr>
          <w:sz w:val="20"/>
          <w:szCs w:val="20"/>
        </w:rPr>
        <w:t xml:space="preserve">. Available in: </w:t>
      </w:r>
      <w:hyperlink r:id="rId20" w:history="1">
        <w:r w:rsidRPr="003205FD">
          <w:rPr>
            <w:rStyle w:val="Hyperlink"/>
            <w:sz w:val="20"/>
            <w:szCs w:val="20"/>
          </w:rPr>
          <w:t>https://www.gov.br/anp/pt-br/assuntos/consultas-e-audiencias-publicas/consulta-audiencia-publica/2018/arquivos-consultas-e-audiencias-publicas-2018/cap-10-2018/resolucaoanp-758-2018.pdf</w:t>
        </w:r>
      </w:hyperlink>
      <w:r w:rsidRPr="003205FD">
        <w:rPr>
          <w:sz w:val="20"/>
          <w:szCs w:val="20"/>
        </w:rPr>
        <w:t>. Access in 28 may 2025.</w:t>
      </w:r>
    </w:p>
    <w:p w:rsidR="003205FD" w:rsidRPr="003205FD" w:rsidRDefault="003205FD" w:rsidP="003205FD">
      <w:pPr>
        <w:jc w:val="both"/>
        <w:rPr>
          <w:sz w:val="20"/>
          <w:szCs w:val="20"/>
        </w:rPr>
      </w:pPr>
      <w:r w:rsidRPr="003205FD">
        <w:rPr>
          <w:sz w:val="20"/>
          <w:szCs w:val="20"/>
        </w:rPr>
        <w:t xml:space="preserve">[19] BRASIL. </w:t>
      </w:r>
      <w:proofErr w:type="spellStart"/>
      <w:r w:rsidRPr="003205FD">
        <w:rPr>
          <w:sz w:val="20"/>
          <w:szCs w:val="20"/>
        </w:rPr>
        <w:t>Secretaria</w:t>
      </w:r>
      <w:proofErr w:type="spellEnd"/>
      <w:r w:rsidRPr="003205FD">
        <w:rPr>
          <w:sz w:val="20"/>
          <w:szCs w:val="20"/>
        </w:rPr>
        <w:t xml:space="preserve"> Nacional de </w:t>
      </w:r>
      <w:proofErr w:type="spellStart"/>
      <w:r w:rsidRPr="003205FD">
        <w:rPr>
          <w:sz w:val="20"/>
          <w:szCs w:val="20"/>
        </w:rPr>
        <w:t>Saneamento</w:t>
      </w:r>
      <w:proofErr w:type="spellEnd"/>
      <w:r w:rsidRPr="003205FD">
        <w:rPr>
          <w:sz w:val="20"/>
          <w:szCs w:val="20"/>
        </w:rPr>
        <w:t xml:space="preserve"> Ambiental. </w:t>
      </w:r>
      <w:proofErr w:type="spellStart"/>
      <w:r w:rsidRPr="003205FD">
        <w:rPr>
          <w:sz w:val="20"/>
          <w:szCs w:val="20"/>
        </w:rPr>
        <w:t>Probiogás</w:t>
      </w:r>
      <w:proofErr w:type="spellEnd"/>
      <w:r w:rsidRPr="003205FD">
        <w:rPr>
          <w:sz w:val="20"/>
          <w:szCs w:val="20"/>
        </w:rPr>
        <w:t xml:space="preserve">. Biometano </w:t>
      </w:r>
      <w:proofErr w:type="spellStart"/>
      <w:r w:rsidRPr="003205FD">
        <w:rPr>
          <w:sz w:val="20"/>
          <w:szCs w:val="20"/>
        </w:rPr>
        <w:t>como</w:t>
      </w:r>
      <w:proofErr w:type="spellEnd"/>
      <w:r w:rsidRPr="003205FD">
        <w:rPr>
          <w:sz w:val="20"/>
          <w:szCs w:val="20"/>
        </w:rPr>
        <w:t xml:space="preserve"> </w:t>
      </w:r>
      <w:proofErr w:type="spellStart"/>
      <w:r w:rsidRPr="003205FD">
        <w:rPr>
          <w:sz w:val="20"/>
          <w:szCs w:val="20"/>
        </w:rPr>
        <w:t>combustível</w:t>
      </w:r>
      <w:proofErr w:type="spellEnd"/>
      <w:r w:rsidRPr="003205FD">
        <w:rPr>
          <w:sz w:val="20"/>
          <w:szCs w:val="20"/>
        </w:rPr>
        <w:t xml:space="preserve"> </w:t>
      </w:r>
      <w:proofErr w:type="spellStart"/>
      <w:r w:rsidRPr="003205FD">
        <w:rPr>
          <w:sz w:val="20"/>
          <w:szCs w:val="20"/>
        </w:rPr>
        <w:t>veicular</w:t>
      </w:r>
      <w:proofErr w:type="spellEnd"/>
      <w:r w:rsidRPr="003205FD">
        <w:rPr>
          <w:sz w:val="20"/>
          <w:szCs w:val="20"/>
        </w:rPr>
        <w:t xml:space="preserve"> / </w:t>
      </w:r>
      <w:proofErr w:type="spellStart"/>
      <w:r w:rsidRPr="003205FD">
        <w:rPr>
          <w:sz w:val="20"/>
          <w:szCs w:val="20"/>
        </w:rPr>
        <w:t>Probiogás</w:t>
      </w:r>
      <w:proofErr w:type="spellEnd"/>
      <w:r w:rsidRPr="003205FD">
        <w:rPr>
          <w:sz w:val="20"/>
          <w:szCs w:val="20"/>
        </w:rPr>
        <w:t xml:space="preserve">; </w:t>
      </w:r>
      <w:proofErr w:type="spellStart"/>
      <w:r w:rsidRPr="003205FD">
        <w:rPr>
          <w:sz w:val="20"/>
          <w:szCs w:val="20"/>
        </w:rPr>
        <w:t>organizadores</w:t>
      </w:r>
      <w:proofErr w:type="spellEnd"/>
      <w:r w:rsidRPr="003205FD">
        <w:rPr>
          <w:sz w:val="20"/>
          <w:szCs w:val="20"/>
        </w:rPr>
        <w:t xml:space="preserve">, </w:t>
      </w:r>
      <w:proofErr w:type="spellStart"/>
      <w:r w:rsidRPr="003205FD">
        <w:rPr>
          <w:sz w:val="20"/>
          <w:szCs w:val="20"/>
        </w:rPr>
        <w:t>Ministério</w:t>
      </w:r>
      <w:proofErr w:type="spellEnd"/>
      <w:r w:rsidRPr="003205FD">
        <w:rPr>
          <w:sz w:val="20"/>
          <w:szCs w:val="20"/>
        </w:rPr>
        <w:t xml:space="preserve"> das </w:t>
      </w:r>
      <w:proofErr w:type="spellStart"/>
      <w:r w:rsidRPr="003205FD">
        <w:rPr>
          <w:sz w:val="20"/>
          <w:szCs w:val="20"/>
        </w:rPr>
        <w:t>Cidades</w:t>
      </w:r>
      <w:proofErr w:type="spellEnd"/>
      <w:r w:rsidRPr="003205FD">
        <w:rPr>
          <w:sz w:val="20"/>
          <w:szCs w:val="20"/>
        </w:rPr>
        <w:t xml:space="preserve">, Deutsche Gesellschaft </w:t>
      </w:r>
      <w:proofErr w:type="spellStart"/>
      <w:r w:rsidRPr="003205FD">
        <w:rPr>
          <w:sz w:val="20"/>
          <w:szCs w:val="20"/>
        </w:rPr>
        <w:t>für</w:t>
      </w:r>
      <w:proofErr w:type="spellEnd"/>
      <w:r w:rsidRPr="003205FD">
        <w:rPr>
          <w:sz w:val="20"/>
          <w:szCs w:val="20"/>
        </w:rPr>
        <w:t xml:space="preserve"> </w:t>
      </w:r>
      <w:proofErr w:type="spellStart"/>
      <w:r w:rsidRPr="003205FD">
        <w:rPr>
          <w:sz w:val="20"/>
          <w:szCs w:val="20"/>
        </w:rPr>
        <w:t>Internationale</w:t>
      </w:r>
      <w:proofErr w:type="spellEnd"/>
      <w:r w:rsidRPr="003205FD">
        <w:rPr>
          <w:sz w:val="20"/>
          <w:szCs w:val="20"/>
        </w:rPr>
        <w:t xml:space="preserve"> </w:t>
      </w:r>
      <w:proofErr w:type="spellStart"/>
      <w:r w:rsidRPr="003205FD">
        <w:rPr>
          <w:sz w:val="20"/>
          <w:szCs w:val="20"/>
        </w:rPr>
        <w:t>Zusammenarbeit</w:t>
      </w:r>
      <w:proofErr w:type="spellEnd"/>
      <w:r w:rsidRPr="003205FD">
        <w:rPr>
          <w:sz w:val="20"/>
          <w:szCs w:val="20"/>
        </w:rPr>
        <w:t xml:space="preserve"> GmbH (GIZ</w:t>
      </w:r>
      <w:proofErr w:type="gramStart"/>
      <w:r w:rsidRPr="003205FD">
        <w:rPr>
          <w:sz w:val="20"/>
          <w:szCs w:val="20"/>
        </w:rPr>
        <w:t>) ;</w:t>
      </w:r>
      <w:proofErr w:type="gramEnd"/>
      <w:r w:rsidRPr="003205FD">
        <w:rPr>
          <w:sz w:val="20"/>
          <w:szCs w:val="20"/>
        </w:rPr>
        <w:t xml:space="preserve"> </w:t>
      </w:r>
      <w:proofErr w:type="spellStart"/>
      <w:r w:rsidRPr="003205FD">
        <w:rPr>
          <w:sz w:val="20"/>
          <w:szCs w:val="20"/>
        </w:rPr>
        <w:t>autor</w:t>
      </w:r>
      <w:proofErr w:type="spellEnd"/>
      <w:r w:rsidRPr="003205FD">
        <w:rPr>
          <w:sz w:val="20"/>
          <w:szCs w:val="20"/>
        </w:rPr>
        <w:t xml:space="preserve">, Uwe Becher. - Brasília, </w:t>
      </w:r>
      <w:proofErr w:type="gramStart"/>
      <w:r w:rsidRPr="003205FD">
        <w:rPr>
          <w:sz w:val="20"/>
          <w:szCs w:val="20"/>
        </w:rPr>
        <w:t>DF :</w:t>
      </w:r>
      <w:proofErr w:type="gramEnd"/>
      <w:r w:rsidRPr="003205FD">
        <w:rPr>
          <w:sz w:val="20"/>
          <w:szCs w:val="20"/>
        </w:rPr>
        <w:t xml:space="preserve"> </w:t>
      </w:r>
      <w:proofErr w:type="spellStart"/>
      <w:r w:rsidRPr="003205FD">
        <w:rPr>
          <w:sz w:val="20"/>
          <w:szCs w:val="20"/>
        </w:rPr>
        <w:t>Ministério</w:t>
      </w:r>
      <w:proofErr w:type="spellEnd"/>
      <w:r w:rsidRPr="003205FD">
        <w:rPr>
          <w:sz w:val="20"/>
          <w:szCs w:val="20"/>
        </w:rPr>
        <w:t xml:space="preserve"> das </w:t>
      </w:r>
      <w:proofErr w:type="spellStart"/>
      <w:r w:rsidRPr="003205FD">
        <w:rPr>
          <w:sz w:val="20"/>
          <w:szCs w:val="20"/>
        </w:rPr>
        <w:t>Cidades</w:t>
      </w:r>
      <w:proofErr w:type="spellEnd"/>
      <w:r w:rsidRPr="003205FD">
        <w:rPr>
          <w:sz w:val="20"/>
          <w:szCs w:val="20"/>
        </w:rPr>
        <w:t xml:space="preserve">, 2016. 101 </w:t>
      </w:r>
      <w:proofErr w:type="gramStart"/>
      <w:r w:rsidRPr="003205FD">
        <w:rPr>
          <w:sz w:val="20"/>
          <w:szCs w:val="20"/>
        </w:rPr>
        <w:t>p. :</w:t>
      </w:r>
      <w:proofErr w:type="gramEnd"/>
      <w:r w:rsidRPr="003205FD">
        <w:rPr>
          <w:sz w:val="20"/>
          <w:szCs w:val="20"/>
        </w:rPr>
        <w:t xml:space="preserve"> </w:t>
      </w:r>
      <w:proofErr w:type="spellStart"/>
      <w:r w:rsidRPr="003205FD">
        <w:rPr>
          <w:sz w:val="20"/>
          <w:szCs w:val="20"/>
        </w:rPr>
        <w:t>il</w:t>
      </w:r>
      <w:proofErr w:type="spellEnd"/>
      <w:r w:rsidRPr="003205FD">
        <w:rPr>
          <w:sz w:val="20"/>
          <w:szCs w:val="20"/>
        </w:rPr>
        <w:t>. – (</w:t>
      </w:r>
      <w:proofErr w:type="spellStart"/>
      <w:r w:rsidRPr="003205FD">
        <w:rPr>
          <w:sz w:val="20"/>
          <w:szCs w:val="20"/>
        </w:rPr>
        <w:t>Desenvolvimento</w:t>
      </w:r>
      <w:proofErr w:type="spellEnd"/>
      <w:r w:rsidRPr="003205FD">
        <w:rPr>
          <w:sz w:val="20"/>
          <w:szCs w:val="20"/>
        </w:rPr>
        <w:t xml:space="preserve"> do mercado de </w:t>
      </w:r>
      <w:proofErr w:type="spellStart"/>
      <w:r w:rsidRPr="003205FD">
        <w:rPr>
          <w:sz w:val="20"/>
          <w:szCs w:val="20"/>
        </w:rPr>
        <w:t>biogás</w:t>
      </w:r>
      <w:proofErr w:type="spellEnd"/>
      <w:r w:rsidRPr="003205FD">
        <w:rPr>
          <w:sz w:val="20"/>
          <w:szCs w:val="20"/>
        </w:rPr>
        <w:t xml:space="preserve">; 5). Available in: </w:t>
      </w:r>
      <w:hyperlink r:id="rId21" w:history="1">
        <w:r w:rsidRPr="003205FD">
          <w:rPr>
            <w:rStyle w:val="Hyperlink"/>
            <w:sz w:val="20"/>
            <w:szCs w:val="20"/>
          </w:rPr>
          <w:t>giz_biogas_como_combustivel_digital_simples.pdf</w:t>
        </w:r>
      </w:hyperlink>
      <w:r w:rsidRPr="003205FD">
        <w:rPr>
          <w:sz w:val="20"/>
          <w:szCs w:val="20"/>
        </w:rPr>
        <w:t>. Access in 21 may 2025.</w:t>
      </w:r>
    </w:p>
    <w:p w:rsidR="003205FD" w:rsidRPr="003205FD" w:rsidRDefault="003205FD" w:rsidP="003205FD">
      <w:pPr>
        <w:tabs>
          <w:tab w:val="left" w:pos="558"/>
          <w:tab w:val="left" w:pos="561"/>
        </w:tabs>
        <w:ind w:right="19"/>
        <w:jc w:val="both"/>
        <w:rPr>
          <w:sz w:val="20"/>
        </w:rPr>
      </w:pPr>
    </w:p>
    <w:sectPr w:rsidR="003205FD" w:rsidRPr="003205FD" w:rsidSect="00DF022C">
      <w:type w:val="continuous"/>
      <w:pgSz w:w="11920" w:h="16840"/>
      <w:pgMar w:top="1360" w:right="992" w:bottom="1340" w:left="992" w:header="0" w:footer="1154" w:gutter="0"/>
      <w:cols w:num="2" w:space="720" w:equalWidth="0">
        <w:col w:w="4892" w:space="178"/>
        <w:col w:w="486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1AAC" w:rsidRDefault="000F1AAC">
      <w:r>
        <w:separator/>
      </w:r>
    </w:p>
  </w:endnote>
  <w:endnote w:type="continuationSeparator" w:id="0">
    <w:p w:rsidR="000F1AAC" w:rsidRDefault="000F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0E0D" w:rsidRDefault="00A16AFA">
    <w:pPr>
      <w:pStyle w:val="Corpodetexto"/>
      <w:spacing w:line="14" w:lineRule="auto"/>
      <w:rPr>
        <w:sz w:val="20"/>
      </w:rPr>
    </w:pPr>
    <w:r>
      <w:rPr>
        <w:noProof/>
        <w:sz w:val="20"/>
      </w:rPr>
      <mc:AlternateContent>
        <mc:Choice Requires="wps">
          <w:drawing>
            <wp:anchor distT="0" distB="0" distL="0" distR="0" simplePos="0" relativeHeight="487460352" behindDoc="1" locked="0" layoutInCell="1" allowOverlap="1">
              <wp:simplePos x="0" y="0"/>
              <wp:positionH relativeFrom="page">
                <wp:posOffset>707389</wp:posOffset>
              </wp:positionH>
              <wp:positionV relativeFrom="page">
                <wp:posOffset>9820622</wp:posOffset>
              </wp:positionV>
              <wp:extent cx="3952240" cy="431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2240" cy="431800"/>
                      </a:xfrm>
                      <a:prstGeom prst="rect">
                        <a:avLst/>
                      </a:prstGeom>
                    </wps:spPr>
                    <wps:txbx>
                      <w:txbxContent>
                        <w:p w:rsidR="00D60E0D" w:rsidRDefault="00A16AFA">
                          <w:pPr>
                            <w:spacing w:line="224" w:lineRule="exact"/>
                            <w:ind w:left="20"/>
                            <w:rPr>
                              <w:rFonts w:ascii="Calibri"/>
                              <w:sz w:val="20"/>
                            </w:rPr>
                          </w:pPr>
                          <w:r>
                            <w:rPr>
                              <w:rFonts w:ascii="Calibri"/>
                              <w:color w:val="808080"/>
                              <w:sz w:val="20"/>
                            </w:rPr>
                            <w:t>ISSN:</w:t>
                          </w:r>
                          <w:r>
                            <w:rPr>
                              <w:rFonts w:ascii="Calibri"/>
                              <w:color w:val="808080"/>
                              <w:spacing w:val="-10"/>
                              <w:sz w:val="20"/>
                            </w:rPr>
                            <w:t xml:space="preserve"> </w:t>
                          </w:r>
                          <w:r>
                            <w:rPr>
                              <w:rFonts w:ascii="Calibri"/>
                              <w:color w:val="808080"/>
                              <w:sz w:val="20"/>
                            </w:rPr>
                            <w:t>2357-</w:t>
                          </w:r>
                          <w:r>
                            <w:rPr>
                              <w:rFonts w:ascii="Calibri"/>
                              <w:color w:val="808080"/>
                              <w:spacing w:val="-4"/>
                              <w:sz w:val="20"/>
                            </w:rPr>
                            <w:t>7592</w:t>
                          </w:r>
                        </w:p>
                        <w:p w:rsidR="00D60E0D" w:rsidRDefault="00A16AFA">
                          <w:pPr>
                            <w:ind w:left="20"/>
                            <w:rPr>
                              <w:rFonts w:ascii="Calibri"/>
                              <w:b/>
                              <w:i/>
                              <w:sz w:val="18"/>
                            </w:rPr>
                          </w:pPr>
                          <w:r>
                            <w:rPr>
                              <w:rFonts w:ascii="Calibri"/>
                              <w:b/>
                              <w:i/>
                              <w:color w:val="808080"/>
                              <w:sz w:val="18"/>
                            </w:rPr>
                            <w:t>XI</w:t>
                          </w:r>
                          <w:r>
                            <w:rPr>
                              <w:rFonts w:ascii="Calibri"/>
                              <w:b/>
                              <w:i/>
                              <w:color w:val="808080"/>
                              <w:spacing w:val="-8"/>
                              <w:sz w:val="18"/>
                            </w:rPr>
                            <w:t xml:space="preserve"> </w:t>
                          </w:r>
                          <w:r>
                            <w:rPr>
                              <w:rFonts w:ascii="Calibri"/>
                              <w:b/>
                              <w:i/>
                              <w:color w:val="808080"/>
                              <w:sz w:val="18"/>
                            </w:rPr>
                            <w:t>INTERNATIONAL</w:t>
                          </w:r>
                          <w:r>
                            <w:rPr>
                              <w:rFonts w:ascii="Calibri"/>
                              <w:b/>
                              <w:i/>
                              <w:color w:val="808080"/>
                              <w:spacing w:val="-8"/>
                              <w:sz w:val="18"/>
                            </w:rPr>
                            <w:t xml:space="preserve"> </w:t>
                          </w:r>
                          <w:r>
                            <w:rPr>
                              <w:rFonts w:ascii="Calibri"/>
                              <w:b/>
                              <w:i/>
                              <w:color w:val="808080"/>
                              <w:sz w:val="18"/>
                            </w:rPr>
                            <w:t>SYMPOSIUM</w:t>
                          </w:r>
                          <w:r>
                            <w:rPr>
                              <w:rFonts w:ascii="Calibri"/>
                              <w:b/>
                              <w:i/>
                              <w:color w:val="808080"/>
                              <w:spacing w:val="-8"/>
                              <w:sz w:val="18"/>
                            </w:rPr>
                            <w:t xml:space="preserve"> </w:t>
                          </w:r>
                          <w:r>
                            <w:rPr>
                              <w:rFonts w:ascii="Calibri"/>
                              <w:b/>
                              <w:i/>
                              <w:color w:val="808080"/>
                              <w:sz w:val="18"/>
                            </w:rPr>
                            <w:t>ON</w:t>
                          </w:r>
                          <w:r>
                            <w:rPr>
                              <w:rFonts w:ascii="Calibri"/>
                              <w:b/>
                              <w:i/>
                              <w:color w:val="808080"/>
                              <w:spacing w:val="-8"/>
                              <w:sz w:val="18"/>
                            </w:rPr>
                            <w:t xml:space="preserve"> </w:t>
                          </w:r>
                          <w:r>
                            <w:rPr>
                              <w:rFonts w:ascii="Calibri"/>
                              <w:b/>
                              <w:i/>
                              <w:color w:val="808080"/>
                              <w:sz w:val="18"/>
                            </w:rPr>
                            <w:t>INNOVATION</w:t>
                          </w:r>
                          <w:r>
                            <w:rPr>
                              <w:rFonts w:ascii="Calibri"/>
                              <w:b/>
                              <w:i/>
                              <w:color w:val="808080"/>
                              <w:spacing w:val="-8"/>
                              <w:sz w:val="18"/>
                            </w:rPr>
                            <w:t xml:space="preserve"> </w:t>
                          </w:r>
                          <w:r>
                            <w:rPr>
                              <w:rFonts w:ascii="Calibri"/>
                              <w:b/>
                              <w:i/>
                              <w:color w:val="808080"/>
                              <w:sz w:val="18"/>
                            </w:rPr>
                            <w:t>AND</w:t>
                          </w:r>
                          <w:r>
                            <w:rPr>
                              <w:rFonts w:ascii="Calibri"/>
                              <w:b/>
                              <w:i/>
                              <w:color w:val="808080"/>
                              <w:spacing w:val="-7"/>
                              <w:sz w:val="18"/>
                            </w:rPr>
                            <w:t xml:space="preserve"> </w:t>
                          </w:r>
                          <w:r>
                            <w:rPr>
                              <w:rFonts w:ascii="Calibri"/>
                              <w:b/>
                              <w:i/>
                              <w:color w:val="808080"/>
                              <w:spacing w:val="-2"/>
                              <w:sz w:val="18"/>
                            </w:rPr>
                            <w:t>TECHNOLOGY</w:t>
                          </w:r>
                        </w:p>
                        <w:p w:rsidR="00D60E0D" w:rsidRDefault="00A16AFA">
                          <w:pPr>
                            <w:ind w:left="20"/>
                            <w:rPr>
                              <w:rFonts w:ascii="Calibri"/>
                              <w:i/>
                              <w:sz w:val="18"/>
                            </w:rPr>
                          </w:pPr>
                          <w:r>
                            <w:rPr>
                              <w:rFonts w:ascii="Calibri"/>
                              <w:i/>
                              <w:color w:val="0D0F1A"/>
                              <w:sz w:val="18"/>
                            </w:rPr>
                            <w:t>Quantum</w:t>
                          </w:r>
                          <w:r>
                            <w:rPr>
                              <w:rFonts w:ascii="Calibri"/>
                              <w:i/>
                              <w:color w:val="0D0F1A"/>
                              <w:spacing w:val="-3"/>
                              <w:sz w:val="18"/>
                            </w:rPr>
                            <w:t xml:space="preserve"> </w:t>
                          </w:r>
                          <w:r>
                            <w:rPr>
                              <w:rFonts w:ascii="Calibri"/>
                              <w:i/>
                              <w:color w:val="0D0F1A"/>
                              <w:sz w:val="18"/>
                            </w:rPr>
                            <w:t>Technologies:</w:t>
                          </w:r>
                          <w:r>
                            <w:rPr>
                              <w:rFonts w:ascii="Calibri"/>
                              <w:i/>
                              <w:color w:val="0D0F1A"/>
                              <w:spacing w:val="-2"/>
                              <w:sz w:val="18"/>
                            </w:rPr>
                            <w:t xml:space="preserve"> </w:t>
                          </w:r>
                          <w:r>
                            <w:rPr>
                              <w:rFonts w:ascii="Calibri"/>
                              <w:i/>
                              <w:color w:val="0D0F1A"/>
                              <w:sz w:val="18"/>
                            </w:rPr>
                            <w:t>The</w:t>
                          </w:r>
                          <w:r>
                            <w:rPr>
                              <w:rFonts w:ascii="Calibri"/>
                              <w:i/>
                              <w:color w:val="0D0F1A"/>
                              <w:spacing w:val="-2"/>
                              <w:sz w:val="18"/>
                            </w:rPr>
                            <w:t xml:space="preserve"> </w:t>
                          </w:r>
                          <w:r>
                            <w:rPr>
                              <w:rFonts w:ascii="Calibri"/>
                              <w:i/>
                              <w:color w:val="0D0F1A"/>
                              <w:sz w:val="18"/>
                            </w:rPr>
                            <w:t>information</w:t>
                          </w:r>
                          <w:r>
                            <w:rPr>
                              <w:rFonts w:ascii="Calibri"/>
                              <w:i/>
                              <w:color w:val="0D0F1A"/>
                              <w:spacing w:val="-2"/>
                              <w:sz w:val="18"/>
                            </w:rPr>
                            <w:t xml:space="preserve"> </w:t>
                          </w:r>
                          <w:r>
                            <w:rPr>
                              <w:rFonts w:ascii="Calibri"/>
                              <w:i/>
                              <w:color w:val="0D0F1A"/>
                              <w:sz w:val="18"/>
                            </w:rPr>
                            <w:t>revolution</w:t>
                          </w:r>
                          <w:r>
                            <w:rPr>
                              <w:rFonts w:ascii="Calibri"/>
                              <w:i/>
                              <w:color w:val="0D0F1A"/>
                              <w:spacing w:val="-2"/>
                              <w:sz w:val="18"/>
                            </w:rPr>
                            <w:t xml:space="preserve"> </w:t>
                          </w:r>
                          <w:r>
                            <w:rPr>
                              <w:rFonts w:ascii="Calibri"/>
                              <w:i/>
                              <w:color w:val="0D0F1A"/>
                              <w:sz w:val="18"/>
                            </w:rPr>
                            <w:t>that</w:t>
                          </w:r>
                          <w:r>
                            <w:rPr>
                              <w:rFonts w:ascii="Calibri"/>
                              <w:i/>
                              <w:color w:val="0D0F1A"/>
                              <w:spacing w:val="-3"/>
                              <w:sz w:val="18"/>
                            </w:rPr>
                            <w:t xml:space="preserve"> </w:t>
                          </w:r>
                          <w:r>
                            <w:rPr>
                              <w:rFonts w:ascii="Calibri"/>
                              <w:i/>
                              <w:color w:val="0D0F1A"/>
                              <w:sz w:val="18"/>
                            </w:rPr>
                            <w:t>will</w:t>
                          </w:r>
                          <w:r>
                            <w:rPr>
                              <w:rFonts w:ascii="Calibri"/>
                              <w:i/>
                              <w:color w:val="0D0F1A"/>
                              <w:spacing w:val="-2"/>
                              <w:sz w:val="18"/>
                            </w:rPr>
                            <w:t xml:space="preserve"> </w:t>
                          </w:r>
                          <w:r>
                            <w:rPr>
                              <w:rFonts w:ascii="Calibri"/>
                              <w:i/>
                              <w:color w:val="0D0F1A"/>
                              <w:sz w:val="18"/>
                            </w:rPr>
                            <w:t>change</w:t>
                          </w:r>
                          <w:r>
                            <w:rPr>
                              <w:rFonts w:ascii="Calibri"/>
                              <w:i/>
                              <w:color w:val="0D0F1A"/>
                              <w:spacing w:val="-2"/>
                              <w:sz w:val="18"/>
                            </w:rPr>
                            <w:t xml:space="preserve"> </w:t>
                          </w:r>
                          <w:r>
                            <w:rPr>
                              <w:rFonts w:ascii="Calibri"/>
                              <w:i/>
                              <w:color w:val="0D0F1A"/>
                              <w:sz w:val="18"/>
                            </w:rPr>
                            <w:t>the</w:t>
                          </w:r>
                          <w:r>
                            <w:rPr>
                              <w:rFonts w:ascii="Calibri"/>
                              <w:i/>
                              <w:color w:val="0D0F1A"/>
                              <w:spacing w:val="-2"/>
                              <w:sz w:val="18"/>
                            </w:rPr>
                            <w:t xml:space="preserve"> </w:t>
                          </w:r>
                          <w:r>
                            <w:rPr>
                              <w:rFonts w:ascii="Calibri"/>
                              <w:i/>
                              <w:color w:val="0D0F1A"/>
                              <w:sz w:val="18"/>
                            </w:rPr>
                            <w:t>future</w:t>
                          </w:r>
                          <w:r>
                            <w:rPr>
                              <w:rFonts w:ascii="Calibri"/>
                              <w:i/>
                              <w:color w:val="0D0F1A"/>
                              <w:spacing w:val="-2"/>
                              <w:sz w:val="18"/>
                            </w:rPr>
                            <w:t xml:space="preserve"> </w:t>
                          </w:r>
                          <w:r>
                            <w:rPr>
                              <w:rFonts w:ascii="Calibri"/>
                              <w:i/>
                              <w:color w:val="808080"/>
                              <w:sz w:val="18"/>
                            </w:rPr>
                            <w:t>-</w:t>
                          </w:r>
                          <w:r>
                            <w:rPr>
                              <w:rFonts w:ascii="Calibri"/>
                              <w:i/>
                              <w:color w:val="808080"/>
                              <w:spacing w:val="-2"/>
                              <w:sz w:val="18"/>
                            </w:rPr>
                            <w:t xml:space="preserve"> </w:t>
                          </w:r>
                          <w:r>
                            <w:rPr>
                              <w:rFonts w:ascii="Calibri"/>
                              <w:i/>
                              <w:color w:val="808080"/>
                              <w:spacing w:val="-4"/>
                              <w:sz w:val="18"/>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5.7pt;margin-top:773.3pt;width:311.2pt;height:34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" filled="f" stroked="f">
              <v:textbox inset="0,0,0,0">
                <w:txbxContent>
                  <w:p w:rsidR="00D60E0D" w:rsidRDefault="00A16AFA">
                    <w:pPr>
                      <w:spacing w:line="224" w:lineRule="exact"/>
                      <w:ind w:left="20"/>
                      <w:rPr>
                        <w:rFonts w:ascii="Calibri"/>
                        <w:sz w:val="20"/>
                      </w:rPr>
                    </w:pPr>
                    <w:r>
                      <w:rPr>
                        <w:rFonts w:ascii="Calibri"/>
                        <w:color w:val="808080"/>
                        <w:sz w:val="20"/>
                      </w:rPr>
                      <w:t>ISSN:</w:t>
                    </w:r>
                    <w:r>
                      <w:rPr>
                        <w:rFonts w:ascii="Calibri"/>
                        <w:color w:val="808080"/>
                        <w:spacing w:val="-10"/>
                        <w:sz w:val="20"/>
                      </w:rPr>
                      <w:t xml:space="preserve"> </w:t>
                    </w:r>
                    <w:r>
                      <w:rPr>
                        <w:rFonts w:ascii="Calibri"/>
                        <w:color w:val="808080"/>
                        <w:sz w:val="20"/>
                      </w:rPr>
                      <w:t>2357-</w:t>
                    </w:r>
                    <w:r>
                      <w:rPr>
                        <w:rFonts w:ascii="Calibri"/>
                        <w:color w:val="808080"/>
                        <w:spacing w:val="-4"/>
                        <w:sz w:val="20"/>
                      </w:rPr>
                      <w:t>7592</w:t>
                    </w:r>
                  </w:p>
                  <w:p w:rsidR="00D60E0D" w:rsidRDefault="00A16AFA">
                    <w:pPr>
                      <w:ind w:left="20"/>
                      <w:rPr>
                        <w:rFonts w:ascii="Calibri"/>
                        <w:b/>
                        <w:i/>
                        <w:sz w:val="18"/>
                      </w:rPr>
                    </w:pPr>
                    <w:r>
                      <w:rPr>
                        <w:rFonts w:ascii="Calibri"/>
                        <w:b/>
                        <w:i/>
                        <w:color w:val="808080"/>
                        <w:sz w:val="18"/>
                      </w:rPr>
                      <w:t>XI</w:t>
                    </w:r>
                    <w:r>
                      <w:rPr>
                        <w:rFonts w:ascii="Calibri"/>
                        <w:b/>
                        <w:i/>
                        <w:color w:val="808080"/>
                        <w:spacing w:val="-8"/>
                        <w:sz w:val="18"/>
                      </w:rPr>
                      <w:t xml:space="preserve"> </w:t>
                    </w:r>
                    <w:r>
                      <w:rPr>
                        <w:rFonts w:ascii="Calibri"/>
                        <w:b/>
                        <w:i/>
                        <w:color w:val="808080"/>
                        <w:sz w:val="18"/>
                      </w:rPr>
                      <w:t>INTERNATIONAL</w:t>
                    </w:r>
                    <w:r>
                      <w:rPr>
                        <w:rFonts w:ascii="Calibri"/>
                        <w:b/>
                        <w:i/>
                        <w:color w:val="808080"/>
                        <w:spacing w:val="-8"/>
                        <w:sz w:val="18"/>
                      </w:rPr>
                      <w:t xml:space="preserve"> </w:t>
                    </w:r>
                    <w:r>
                      <w:rPr>
                        <w:rFonts w:ascii="Calibri"/>
                        <w:b/>
                        <w:i/>
                        <w:color w:val="808080"/>
                        <w:sz w:val="18"/>
                      </w:rPr>
                      <w:t>SYMPOSIUM</w:t>
                    </w:r>
                    <w:r>
                      <w:rPr>
                        <w:rFonts w:ascii="Calibri"/>
                        <w:b/>
                        <w:i/>
                        <w:color w:val="808080"/>
                        <w:spacing w:val="-8"/>
                        <w:sz w:val="18"/>
                      </w:rPr>
                      <w:t xml:space="preserve"> </w:t>
                    </w:r>
                    <w:r>
                      <w:rPr>
                        <w:rFonts w:ascii="Calibri"/>
                        <w:b/>
                        <w:i/>
                        <w:color w:val="808080"/>
                        <w:sz w:val="18"/>
                      </w:rPr>
                      <w:t>ON</w:t>
                    </w:r>
                    <w:r>
                      <w:rPr>
                        <w:rFonts w:ascii="Calibri"/>
                        <w:b/>
                        <w:i/>
                        <w:color w:val="808080"/>
                        <w:spacing w:val="-8"/>
                        <w:sz w:val="18"/>
                      </w:rPr>
                      <w:t xml:space="preserve"> </w:t>
                    </w:r>
                    <w:r>
                      <w:rPr>
                        <w:rFonts w:ascii="Calibri"/>
                        <w:b/>
                        <w:i/>
                        <w:color w:val="808080"/>
                        <w:sz w:val="18"/>
                      </w:rPr>
                      <w:t>INNOVATION</w:t>
                    </w:r>
                    <w:r>
                      <w:rPr>
                        <w:rFonts w:ascii="Calibri"/>
                        <w:b/>
                        <w:i/>
                        <w:color w:val="808080"/>
                        <w:spacing w:val="-8"/>
                        <w:sz w:val="18"/>
                      </w:rPr>
                      <w:t xml:space="preserve"> </w:t>
                    </w:r>
                    <w:r>
                      <w:rPr>
                        <w:rFonts w:ascii="Calibri"/>
                        <w:b/>
                        <w:i/>
                        <w:color w:val="808080"/>
                        <w:sz w:val="18"/>
                      </w:rPr>
                      <w:t>AND</w:t>
                    </w:r>
                    <w:r>
                      <w:rPr>
                        <w:rFonts w:ascii="Calibri"/>
                        <w:b/>
                        <w:i/>
                        <w:color w:val="808080"/>
                        <w:spacing w:val="-7"/>
                        <w:sz w:val="18"/>
                      </w:rPr>
                      <w:t xml:space="preserve"> </w:t>
                    </w:r>
                    <w:r>
                      <w:rPr>
                        <w:rFonts w:ascii="Calibri"/>
                        <w:b/>
                        <w:i/>
                        <w:color w:val="808080"/>
                        <w:spacing w:val="-2"/>
                        <w:sz w:val="18"/>
                      </w:rPr>
                      <w:t>TECHNOLOGY</w:t>
                    </w:r>
                  </w:p>
                  <w:p w:rsidR="00D60E0D" w:rsidRDefault="00A16AFA">
                    <w:pPr>
                      <w:ind w:left="20"/>
                      <w:rPr>
                        <w:rFonts w:ascii="Calibri"/>
                        <w:i/>
                        <w:sz w:val="18"/>
                      </w:rPr>
                    </w:pPr>
                    <w:r>
                      <w:rPr>
                        <w:rFonts w:ascii="Calibri"/>
                        <w:i/>
                        <w:color w:val="0D0F1A"/>
                        <w:sz w:val="18"/>
                      </w:rPr>
                      <w:t>Quantum</w:t>
                    </w:r>
                    <w:r>
                      <w:rPr>
                        <w:rFonts w:ascii="Calibri"/>
                        <w:i/>
                        <w:color w:val="0D0F1A"/>
                        <w:spacing w:val="-3"/>
                        <w:sz w:val="18"/>
                      </w:rPr>
                      <w:t xml:space="preserve"> </w:t>
                    </w:r>
                    <w:r>
                      <w:rPr>
                        <w:rFonts w:ascii="Calibri"/>
                        <w:i/>
                        <w:color w:val="0D0F1A"/>
                        <w:sz w:val="18"/>
                      </w:rPr>
                      <w:t>Technologies:</w:t>
                    </w:r>
                    <w:r>
                      <w:rPr>
                        <w:rFonts w:ascii="Calibri"/>
                        <w:i/>
                        <w:color w:val="0D0F1A"/>
                        <w:spacing w:val="-2"/>
                        <w:sz w:val="18"/>
                      </w:rPr>
                      <w:t xml:space="preserve"> </w:t>
                    </w:r>
                    <w:r>
                      <w:rPr>
                        <w:rFonts w:ascii="Calibri"/>
                        <w:i/>
                        <w:color w:val="0D0F1A"/>
                        <w:sz w:val="18"/>
                      </w:rPr>
                      <w:t>The</w:t>
                    </w:r>
                    <w:r>
                      <w:rPr>
                        <w:rFonts w:ascii="Calibri"/>
                        <w:i/>
                        <w:color w:val="0D0F1A"/>
                        <w:spacing w:val="-2"/>
                        <w:sz w:val="18"/>
                      </w:rPr>
                      <w:t xml:space="preserve"> </w:t>
                    </w:r>
                    <w:r>
                      <w:rPr>
                        <w:rFonts w:ascii="Calibri"/>
                        <w:i/>
                        <w:color w:val="0D0F1A"/>
                        <w:sz w:val="18"/>
                      </w:rPr>
                      <w:t>information</w:t>
                    </w:r>
                    <w:r>
                      <w:rPr>
                        <w:rFonts w:ascii="Calibri"/>
                        <w:i/>
                        <w:color w:val="0D0F1A"/>
                        <w:spacing w:val="-2"/>
                        <w:sz w:val="18"/>
                      </w:rPr>
                      <w:t xml:space="preserve"> </w:t>
                    </w:r>
                    <w:r>
                      <w:rPr>
                        <w:rFonts w:ascii="Calibri"/>
                        <w:i/>
                        <w:color w:val="0D0F1A"/>
                        <w:sz w:val="18"/>
                      </w:rPr>
                      <w:t>revolution</w:t>
                    </w:r>
                    <w:r>
                      <w:rPr>
                        <w:rFonts w:ascii="Calibri"/>
                        <w:i/>
                        <w:color w:val="0D0F1A"/>
                        <w:spacing w:val="-2"/>
                        <w:sz w:val="18"/>
                      </w:rPr>
                      <w:t xml:space="preserve"> </w:t>
                    </w:r>
                    <w:r>
                      <w:rPr>
                        <w:rFonts w:ascii="Calibri"/>
                        <w:i/>
                        <w:color w:val="0D0F1A"/>
                        <w:sz w:val="18"/>
                      </w:rPr>
                      <w:t>that</w:t>
                    </w:r>
                    <w:r>
                      <w:rPr>
                        <w:rFonts w:ascii="Calibri"/>
                        <w:i/>
                        <w:color w:val="0D0F1A"/>
                        <w:spacing w:val="-3"/>
                        <w:sz w:val="18"/>
                      </w:rPr>
                      <w:t xml:space="preserve"> </w:t>
                    </w:r>
                    <w:r>
                      <w:rPr>
                        <w:rFonts w:ascii="Calibri"/>
                        <w:i/>
                        <w:color w:val="0D0F1A"/>
                        <w:sz w:val="18"/>
                      </w:rPr>
                      <w:t>will</w:t>
                    </w:r>
                    <w:r>
                      <w:rPr>
                        <w:rFonts w:ascii="Calibri"/>
                        <w:i/>
                        <w:color w:val="0D0F1A"/>
                        <w:spacing w:val="-2"/>
                        <w:sz w:val="18"/>
                      </w:rPr>
                      <w:t xml:space="preserve"> </w:t>
                    </w:r>
                    <w:r>
                      <w:rPr>
                        <w:rFonts w:ascii="Calibri"/>
                        <w:i/>
                        <w:color w:val="0D0F1A"/>
                        <w:sz w:val="18"/>
                      </w:rPr>
                      <w:t>change</w:t>
                    </w:r>
                    <w:r>
                      <w:rPr>
                        <w:rFonts w:ascii="Calibri"/>
                        <w:i/>
                        <w:color w:val="0D0F1A"/>
                        <w:spacing w:val="-2"/>
                        <w:sz w:val="18"/>
                      </w:rPr>
                      <w:t xml:space="preserve"> </w:t>
                    </w:r>
                    <w:r>
                      <w:rPr>
                        <w:rFonts w:ascii="Calibri"/>
                        <w:i/>
                        <w:color w:val="0D0F1A"/>
                        <w:sz w:val="18"/>
                      </w:rPr>
                      <w:t>the</w:t>
                    </w:r>
                    <w:r>
                      <w:rPr>
                        <w:rFonts w:ascii="Calibri"/>
                        <w:i/>
                        <w:color w:val="0D0F1A"/>
                        <w:spacing w:val="-2"/>
                        <w:sz w:val="18"/>
                      </w:rPr>
                      <w:t xml:space="preserve"> </w:t>
                    </w:r>
                    <w:r>
                      <w:rPr>
                        <w:rFonts w:ascii="Calibri"/>
                        <w:i/>
                        <w:color w:val="0D0F1A"/>
                        <w:sz w:val="18"/>
                      </w:rPr>
                      <w:t>future</w:t>
                    </w:r>
                    <w:r>
                      <w:rPr>
                        <w:rFonts w:ascii="Calibri"/>
                        <w:i/>
                        <w:color w:val="0D0F1A"/>
                        <w:spacing w:val="-2"/>
                        <w:sz w:val="18"/>
                      </w:rPr>
                      <w:t xml:space="preserve"> </w:t>
                    </w:r>
                    <w:r>
                      <w:rPr>
                        <w:rFonts w:ascii="Calibri"/>
                        <w:i/>
                        <w:color w:val="808080"/>
                        <w:sz w:val="18"/>
                      </w:rPr>
                      <w:t>-</w:t>
                    </w:r>
                    <w:r>
                      <w:rPr>
                        <w:rFonts w:ascii="Calibri"/>
                        <w:i/>
                        <w:color w:val="808080"/>
                        <w:spacing w:val="-2"/>
                        <w:sz w:val="18"/>
                      </w:rPr>
                      <w:t xml:space="preserve"> </w:t>
                    </w:r>
                    <w:r>
                      <w:rPr>
                        <w:rFonts w:ascii="Calibri"/>
                        <w:i/>
                        <w:color w:val="808080"/>
                        <w:spacing w:val="-4"/>
                        <w:sz w:val="18"/>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1AAC" w:rsidRDefault="000F1AAC">
      <w:r>
        <w:separator/>
      </w:r>
    </w:p>
  </w:footnote>
  <w:footnote w:type="continuationSeparator" w:id="0">
    <w:p w:rsidR="000F1AAC" w:rsidRDefault="000F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0E0D" w:rsidRDefault="00A16AFA">
    <w:pPr>
      <w:pStyle w:val="Corpodetexto"/>
      <w:spacing w:line="14" w:lineRule="auto"/>
      <w:rPr>
        <w:sz w:val="20"/>
      </w:rPr>
    </w:pPr>
    <w:r>
      <w:rPr>
        <w:noProof/>
        <w:sz w:val="20"/>
      </w:rPr>
      <w:drawing>
        <wp:anchor distT="0" distB="0" distL="0" distR="0" simplePos="0" relativeHeight="487459840" behindDoc="1" locked="0" layoutInCell="1" allowOverlap="1">
          <wp:simplePos x="0" y="0"/>
          <wp:positionH relativeFrom="page">
            <wp:posOffset>5715</wp:posOffset>
          </wp:positionH>
          <wp:positionV relativeFrom="page">
            <wp:posOffset>0</wp:posOffset>
          </wp:positionV>
          <wp:extent cx="7553324" cy="819150"/>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53324" cy="819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37688"/>
    <w:multiLevelType w:val="hybridMultilevel"/>
    <w:tmpl w:val="418C2C7E"/>
    <w:lvl w:ilvl="0" w:tplc="67DE2D1A">
      <w:start w:val="1"/>
      <w:numFmt w:val="decimal"/>
      <w:lvlText w:val="%1."/>
      <w:lvlJc w:val="left"/>
      <w:pPr>
        <w:ind w:left="142" w:hanging="245"/>
      </w:pPr>
      <w:rPr>
        <w:rFonts w:ascii="Times New Roman" w:eastAsia="Times New Roman" w:hAnsi="Times New Roman" w:cs="Times New Roman" w:hint="default"/>
        <w:b w:val="0"/>
        <w:bCs w:val="0"/>
        <w:i w:val="0"/>
        <w:iCs w:val="0"/>
        <w:spacing w:val="-1"/>
        <w:w w:val="100"/>
        <w:sz w:val="20"/>
        <w:szCs w:val="20"/>
        <w:lang w:val="en-US" w:eastAsia="en-US" w:bidi="ar-SA"/>
      </w:rPr>
    </w:lvl>
    <w:lvl w:ilvl="1" w:tplc="846E0536">
      <w:numFmt w:val="bullet"/>
      <w:lvlText w:val="•"/>
      <w:lvlJc w:val="left"/>
      <w:pPr>
        <w:ind w:left="615" w:hanging="245"/>
      </w:pPr>
      <w:rPr>
        <w:rFonts w:hint="default"/>
        <w:lang w:val="en-US" w:eastAsia="en-US" w:bidi="ar-SA"/>
      </w:rPr>
    </w:lvl>
    <w:lvl w:ilvl="2" w:tplc="5080B580">
      <w:numFmt w:val="bullet"/>
      <w:lvlText w:val="•"/>
      <w:lvlJc w:val="left"/>
      <w:pPr>
        <w:ind w:left="1090" w:hanging="245"/>
      </w:pPr>
      <w:rPr>
        <w:rFonts w:hint="default"/>
        <w:lang w:val="en-US" w:eastAsia="en-US" w:bidi="ar-SA"/>
      </w:rPr>
    </w:lvl>
    <w:lvl w:ilvl="3" w:tplc="71380052">
      <w:numFmt w:val="bullet"/>
      <w:lvlText w:val="•"/>
      <w:lvlJc w:val="left"/>
      <w:pPr>
        <w:ind w:left="1565" w:hanging="245"/>
      </w:pPr>
      <w:rPr>
        <w:rFonts w:hint="default"/>
        <w:lang w:val="en-US" w:eastAsia="en-US" w:bidi="ar-SA"/>
      </w:rPr>
    </w:lvl>
    <w:lvl w:ilvl="4" w:tplc="C924E68C">
      <w:numFmt w:val="bullet"/>
      <w:lvlText w:val="•"/>
      <w:lvlJc w:val="left"/>
      <w:pPr>
        <w:ind w:left="2040" w:hanging="245"/>
      </w:pPr>
      <w:rPr>
        <w:rFonts w:hint="default"/>
        <w:lang w:val="en-US" w:eastAsia="en-US" w:bidi="ar-SA"/>
      </w:rPr>
    </w:lvl>
    <w:lvl w:ilvl="5" w:tplc="132E1D68">
      <w:numFmt w:val="bullet"/>
      <w:lvlText w:val="•"/>
      <w:lvlJc w:val="left"/>
      <w:pPr>
        <w:ind w:left="2515" w:hanging="245"/>
      </w:pPr>
      <w:rPr>
        <w:rFonts w:hint="default"/>
        <w:lang w:val="en-US" w:eastAsia="en-US" w:bidi="ar-SA"/>
      </w:rPr>
    </w:lvl>
    <w:lvl w:ilvl="6" w:tplc="7C3A2DA6">
      <w:numFmt w:val="bullet"/>
      <w:lvlText w:val="•"/>
      <w:lvlJc w:val="left"/>
      <w:pPr>
        <w:ind w:left="2991" w:hanging="245"/>
      </w:pPr>
      <w:rPr>
        <w:rFonts w:hint="default"/>
        <w:lang w:val="en-US" w:eastAsia="en-US" w:bidi="ar-SA"/>
      </w:rPr>
    </w:lvl>
    <w:lvl w:ilvl="7" w:tplc="C0B6BF50">
      <w:numFmt w:val="bullet"/>
      <w:lvlText w:val="•"/>
      <w:lvlJc w:val="left"/>
      <w:pPr>
        <w:ind w:left="3466" w:hanging="245"/>
      </w:pPr>
      <w:rPr>
        <w:rFonts w:hint="default"/>
        <w:lang w:val="en-US" w:eastAsia="en-US" w:bidi="ar-SA"/>
      </w:rPr>
    </w:lvl>
    <w:lvl w:ilvl="8" w:tplc="D7CA17C2">
      <w:numFmt w:val="bullet"/>
      <w:lvlText w:val="•"/>
      <w:lvlJc w:val="left"/>
      <w:pPr>
        <w:ind w:left="3941" w:hanging="245"/>
      </w:pPr>
      <w:rPr>
        <w:rFonts w:hint="default"/>
        <w:lang w:val="en-US" w:eastAsia="en-US" w:bidi="ar-SA"/>
      </w:rPr>
    </w:lvl>
  </w:abstractNum>
  <w:abstractNum w:abstractNumId="1" w15:restartNumberingAfterBreak="0">
    <w:nsid w:val="397D32E8"/>
    <w:multiLevelType w:val="hybridMultilevel"/>
    <w:tmpl w:val="54E429C4"/>
    <w:lvl w:ilvl="0" w:tplc="B7D4CB32">
      <w:start w:val="1"/>
      <w:numFmt w:val="decimal"/>
      <w:lvlText w:val="[%1]"/>
      <w:lvlJc w:val="left"/>
      <w:pPr>
        <w:ind w:left="562" w:hanging="420"/>
      </w:pPr>
      <w:rPr>
        <w:rFonts w:ascii="Times New Roman" w:eastAsia="Times New Roman" w:hAnsi="Times New Roman" w:cs="Times New Roman" w:hint="default"/>
        <w:b w:val="0"/>
        <w:bCs w:val="0"/>
        <w:i w:val="0"/>
        <w:iCs w:val="0"/>
        <w:spacing w:val="-1"/>
        <w:w w:val="100"/>
        <w:sz w:val="20"/>
        <w:szCs w:val="20"/>
        <w:lang w:val="en-US" w:eastAsia="en-US" w:bidi="ar-SA"/>
      </w:rPr>
    </w:lvl>
    <w:lvl w:ilvl="1" w:tplc="D2106D6A">
      <w:numFmt w:val="bullet"/>
      <w:lvlText w:val="•"/>
      <w:lvlJc w:val="left"/>
      <w:pPr>
        <w:ind w:left="990" w:hanging="420"/>
      </w:pPr>
      <w:rPr>
        <w:rFonts w:hint="default"/>
        <w:lang w:val="en-US" w:eastAsia="en-US" w:bidi="ar-SA"/>
      </w:rPr>
    </w:lvl>
    <w:lvl w:ilvl="2" w:tplc="F1DAEB54">
      <w:numFmt w:val="bullet"/>
      <w:lvlText w:val="•"/>
      <w:lvlJc w:val="left"/>
      <w:pPr>
        <w:ind w:left="1421" w:hanging="420"/>
      </w:pPr>
      <w:rPr>
        <w:rFonts w:hint="default"/>
        <w:lang w:val="en-US" w:eastAsia="en-US" w:bidi="ar-SA"/>
      </w:rPr>
    </w:lvl>
    <w:lvl w:ilvl="3" w:tplc="86F6EFCC">
      <w:numFmt w:val="bullet"/>
      <w:lvlText w:val="•"/>
      <w:lvlJc w:val="left"/>
      <w:pPr>
        <w:ind w:left="1851" w:hanging="420"/>
      </w:pPr>
      <w:rPr>
        <w:rFonts w:hint="default"/>
        <w:lang w:val="en-US" w:eastAsia="en-US" w:bidi="ar-SA"/>
      </w:rPr>
    </w:lvl>
    <w:lvl w:ilvl="4" w:tplc="F9D89618">
      <w:numFmt w:val="bullet"/>
      <w:lvlText w:val="•"/>
      <w:lvlJc w:val="left"/>
      <w:pPr>
        <w:ind w:left="2282" w:hanging="420"/>
      </w:pPr>
      <w:rPr>
        <w:rFonts w:hint="default"/>
        <w:lang w:val="en-US" w:eastAsia="en-US" w:bidi="ar-SA"/>
      </w:rPr>
    </w:lvl>
    <w:lvl w:ilvl="5" w:tplc="7A8A8B26">
      <w:numFmt w:val="bullet"/>
      <w:lvlText w:val="•"/>
      <w:lvlJc w:val="left"/>
      <w:pPr>
        <w:ind w:left="2713" w:hanging="420"/>
      </w:pPr>
      <w:rPr>
        <w:rFonts w:hint="default"/>
        <w:lang w:val="en-US" w:eastAsia="en-US" w:bidi="ar-SA"/>
      </w:rPr>
    </w:lvl>
    <w:lvl w:ilvl="6" w:tplc="9AECBD6C">
      <w:numFmt w:val="bullet"/>
      <w:lvlText w:val="•"/>
      <w:lvlJc w:val="left"/>
      <w:pPr>
        <w:ind w:left="3143" w:hanging="420"/>
      </w:pPr>
      <w:rPr>
        <w:rFonts w:hint="default"/>
        <w:lang w:val="en-US" w:eastAsia="en-US" w:bidi="ar-SA"/>
      </w:rPr>
    </w:lvl>
    <w:lvl w:ilvl="7" w:tplc="561CC63A">
      <w:numFmt w:val="bullet"/>
      <w:lvlText w:val="•"/>
      <w:lvlJc w:val="left"/>
      <w:pPr>
        <w:ind w:left="3574" w:hanging="420"/>
      </w:pPr>
      <w:rPr>
        <w:rFonts w:hint="default"/>
        <w:lang w:val="en-US" w:eastAsia="en-US" w:bidi="ar-SA"/>
      </w:rPr>
    </w:lvl>
    <w:lvl w:ilvl="8" w:tplc="2F508A60">
      <w:numFmt w:val="bullet"/>
      <w:lvlText w:val="•"/>
      <w:lvlJc w:val="left"/>
      <w:pPr>
        <w:ind w:left="4004" w:hanging="420"/>
      </w:pPr>
      <w:rPr>
        <w:rFonts w:hint="default"/>
        <w:lang w:val="en-US" w:eastAsia="en-US" w:bidi="ar-SA"/>
      </w:rPr>
    </w:lvl>
  </w:abstractNum>
  <w:abstractNum w:abstractNumId="2" w15:restartNumberingAfterBreak="0">
    <w:nsid w:val="533C6648"/>
    <w:multiLevelType w:val="multilevel"/>
    <w:tmpl w:val="EADC8B66"/>
    <w:lvl w:ilvl="0">
      <w:start w:val="2"/>
      <w:numFmt w:val="decimal"/>
      <w:lvlText w:val="%1"/>
      <w:lvlJc w:val="left"/>
      <w:pPr>
        <w:ind w:left="712" w:hanging="420"/>
      </w:pPr>
      <w:rPr>
        <w:rFonts w:hint="default"/>
        <w:lang w:val="en-US" w:eastAsia="en-US" w:bidi="ar-SA"/>
      </w:rPr>
    </w:lvl>
    <w:lvl w:ilvl="1">
      <w:start w:val="1"/>
      <w:numFmt w:val="decimal"/>
      <w:lvlText w:val="%1.%2."/>
      <w:lvlJc w:val="left"/>
      <w:pPr>
        <w:ind w:left="712"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535" w:hanging="600"/>
      </w:pPr>
      <w:rPr>
        <w:rFonts w:hint="default"/>
        <w:lang w:val="en-US" w:eastAsia="en-US" w:bidi="ar-SA"/>
      </w:rPr>
    </w:lvl>
    <w:lvl w:ilvl="4">
      <w:numFmt w:val="bullet"/>
      <w:lvlText w:val="•"/>
      <w:lvlJc w:val="left"/>
      <w:pPr>
        <w:ind w:left="433" w:hanging="600"/>
      </w:pPr>
      <w:rPr>
        <w:rFonts w:hint="default"/>
        <w:lang w:val="en-US" w:eastAsia="en-US" w:bidi="ar-SA"/>
      </w:rPr>
    </w:lvl>
    <w:lvl w:ilvl="5">
      <w:numFmt w:val="bullet"/>
      <w:lvlText w:val="•"/>
      <w:lvlJc w:val="left"/>
      <w:pPr>
        <w:ind w:left="331" w:hanging="600"/>
      </w:pPr>
      <w:rPr>
        <w:rFonts w:hint="default"/>
        <w:lang w:val="en-US" w:eastAsia="en-US" w:bidi="ar-SA"/>
      </w:rPr>
    </w:lvl>
    <w:lvl w:ilvl="6">
      <w:numFmt w:val="bullet"/>
      <w:lvlText w:val="•"/>
      <w:lvlJc w:val="left"/>
      <w:pPr>
        <w:ind w:left="229" w:hanging="600"/>
      </w:pPr>
      <w:rPr>
        <w:rFonts w:hint="default"/>
        <w:lang w:val="en-US" w:eastAsia="en-US" w:bidi="ar-SA"/>
      </w:rPr>
    </w:lvl>
    <w:lvl w:ilvl="7">
      <w:numFmt w:val="bullet"/>
      <w:lvlText w:val="•"/>
      <w:lvlJc w:val="left"/>
      <w:pPr>
        <w:ind w:left="127" w:hanging="600"/>
      </w:pPr>
      <w:rPr>
        <w:rFonts w:hint="default"/>
        <w:lang w:val="en-US" w:eastAsia="en-US" w:bidi="ar-SA"/>
      </w:rPr>
    </w:lvl>
    <w:lvl w:ilvl="8">
      <w:numFmt w:val="bullet"/>
      <w:lvlText w:val="•"/>
      <w:lvlJc w:val="left"/>
      <w:pPr>
        <w:ind w:left="25" w:hanging="600"/>
      </w:pPr>
      <w:rPr>
        <w:rFonts w:hint="default"/>
        <w:lang w:val="en-US" w:eastAsia="en-US" w:bidi="ar-SA"/>
      </w:rPr>
    </w:lvl>
  </w:abstractNum>
  <w:abstractNum w:abstractNumId="3" w15:restartNumberingAfterBreak="0">
    <w:nsid w:val="53860700"/>
    <w:multiLevelType w:val="multilevel"/>
    <w:tmpl w:val="5E78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D63101"/>
    <w:multiLevelType w:val="hybridMultilevel"/>
    <w:tmpl w:val="61FC7500"/>
    <w:lvl w:ilvl="0" w:tplc="2BEEA5C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D5E104F"/>
    <w:multiLevelType w:val="multilevel"/>
    <w:tmpl w:val="3DD0E5F2"/>
    <w:lvl w:ilvl="0">
      <w:start w:val="2"/>
      <w:numFmt w:val="decimal"/>
      <w:lvlText w:val="%1"/>
      <w:lvlJc w:val="left"/>
      <w:pPr>
        <w:ind w:left="742" w:hanging="600"/>
      </w:pPr>
      <w:rPr>
        <w:rFonts w:hint="default"/>
        <w:lang w:val="en-US" w:eastAsia="en-US" w:bidi="ar-SA"/>
      </w:rPr>
    </w:lvl>
    <w:lvl w:ilvl="1">
      <w:start w:val="1"/>
      <w:numFmt w:val="decimal"/>
      <w:lvlText w:val="%1.%2"/>
      <w:lvlJc w:val="left"/>
      <w:pPr>
        <w:ind w:left="742" w:hanging="600"/>
      </w:pPr>
      <w:rPr>
        <w:rFonts w:hint="default"/>
        <w:lang w:val="en-US" w:eastAsia="en-US" w:bidi="ar-SA"/>
      </w:rPr>
    </w:lvl>
    <w:lvl w:ilvl="2">
      <w:start w:val="3"/>
      <w:numFmt w:val="decimal"/>
      <w:lvlText w:val="%1.%2.%3."/>
      <w:lvlJc w:val="left"/>
      <w:pPr>
        <w:ind w:left="74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977" w:hanging="600"/>
      </w:pPr>
      <w:rPr>
        <w:rFonts w:hint="default"/>
        <w:lang w:val="en-US" w:eastAsia="en-US" w:bidi="ar-SA"/>
      </w:rPr>
    </w:lvl>
    <w:lvl w:ilvl="4">
      <w:numFmt w:val="bullet"/>
      <w:lvlText w:val="•"/>
      <w:lvlJc w:val="left"/>
      <w:pPr>
        <w:ind w:left="2390" w:hanging="600"/>
      </w:pPr>
      <w:rPr>
        <w:rFonts w:hint="default"/>
        <w:lang w:val="en-US" w:eastAsia="en-US" w:bidi="ar-SA"/>
      </w:rPr>
    </w:lvl>
    <w:lvl w:ilvl="5">
      <w:numFmt w:val="bullet"/>
      <w:lvlText w:val="•"/>
      <w:lvlJc w:val="left"/>
      <w:pPr>
        <w:ind w:left="2803" w:hanging="600"/>
      </w:pPr>
      <w:rPr>
        <w:rFonts w:hint="default"/>
        <w:lang w:val="en-US" w:eastAsia="en-US" w:bidi="ar-SA"/>
      </w:rPr>
    </w:lvl>
    <w:lvl w:ilvl="6">
      <w:numFmt w:val="bullet"/>
      <w:lvlText w:val="•"/>
      <w:lvlJc w:val="left"/>
      <w:pPr>
        <w:ind w:left="3215" w:hanging="600"/>
      </w:pPr>
      <w:rPr>
        <w:rFonts w:hint="default"/>
        <w:lang w:val="en-US" w:eastAsia="en-US" w:bidi="ar-SA"/>
      </w:rPr>
    </w:lvl>
    <w:lvl w:ilvl="7">
      <w:numFmt w:val="bullet"/>
      <w:lvlText w:val="•"/>
      <w:lvlJc w:val="left"/>
      <w:pPr>
        <w:ind w:left="3628" w:hanging="600"/>
      </w:pPr>
      <w:rPr>
        <w:rFonts w:hint="default"/>
        <w:lang w:val="en-US" w:eastAsia="en-US" w:bidi="ar-SA"/>
      </w:rPr>
    </w:lvl>
    <w:lvl w:ilvl="8">
      <w:numFmt w:val="bullet"/>
      <w:lvlText w:val="•"/>
      <w:lvlJc w:val="left"/>
      <w:pPr>
        <w:ind w:left="4040" w:hanging="600"/>
      </w:pPr>
      <w:rPr>
        <w:rFonts w:hint="default"/>
        <w:lang w:val="en-US" w:eastAsia="en-US" w:bidi="ar-SA"/>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0D"/>
    <w:rsid w:val="000248E6"/>
    <w:rsid w:val="000F1AAC"/>
    <w:rsid w:val="00263A34"/>
    <w:rsid w:val="002857EA"/>
    <w:rsid w:val="0028798F"/>
    <w:rsid w:val="002E04D4"/>
    <w:rsid w:val="002F671B"/>
    <w:rsid w:val="003205FD"/>
    <w:rsid w:val="004D0293"/>
    <w:rsid w:val="00767820"/>
    <w:rsid w:val="007A1961"/>
    <w:rsid w:val="00A16AFA"/>
    <w:rsid w:val="00AA6B54"/>
    <w:rsid w:val="00D60E0D"/>
    <w:rsid w:val="00DF022C"/>
    <w:rsid w:val="00E060FB"/>
    <w:rsid w:val="00E90AFC"/>
    <w:rsid w:val="00FF0C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EBCB493"/>
  <w15:docId w15:val="{0D587523-48EB-4D94-9A3E-7B618D46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741" w:hanging="60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741" w:hanging="600"/>
    </w:pPr>
  </w:style>
  <w:style w:type="paragraph" w:customStyle="1" w:styleId="TableParagraph">
    <w:name w:val="Table Paragraph"/>
    <w:basedOn w:val="Normal"/>
    <w:uiPriority w:val="1"/>
    <w:qFormat/>
    <w:pPr>
      <w:ind w:left="94"/>
      <w:jc w:val="center"/>
    </w:pPr>
  </w:style>
  <w:style w:type="paragraph" w:customStyle="1" w:styleId="Tabelas">
    <w:name w:val="Tabelas"/>
    <w:basedOn w:val="Normal"/>
    <w:link w:val="TabelasChar"/>
    <w:autoRedefine/>
    <w:uiPriority w:val="99"/>
    <w:rsid w:val="002E04D4"/>
    <w:pPr>
      <w:widowControl/>
      <w:autoSpaceDE/>
      <w:autoSpaceDN/>
      <w:spacing w:line="360" w:lineRule="auto"/>
    </w:pPr>
    <w:rPr>
      <w:rFonts w:ascii="Calibri" w:eastAsia="SimSun" w:hAnsi="Calibri"/>
      <w:sz w:val="20"/>
      <w:szCs w:val="20"/>
      <w:lang w:val="pt-BR" w:eastAsia="pt-BR"/>
    </w:rPr>
  </w:style>
  <w:style w:type="character" w:customStyle="1" w:styleId="TabelasChar">
    <w:name w:val="Tabelas Char"/>
    <w:link w:val="Tabelas"/>
    <w:uiPriority w:val="99"/>
    <w:locked/>
    <w:rsid w:val="002E04D4"/>
    <w:rPr>
      <w:rFonts w:ascii="Calibri" w:eastAsia="SimSun" w:hAnsi="Calibri" w:cs="Times New Roman"/>
      <w:sz w:val="20"/>
      <w:szCs w:val="20"/>
      <w:lang w:val="pt-BR" w:eastAsia="pt-BR"/>
    </w:rPr>
  </w:style>
  <w:style w:type="character" w:styleId="Hyperlink">
    <w:name w:val="Hyperlink"/>
    <w:uiPriority w:val="99"/>
    <w:rsid w:val="003205FD"/>
    <w:rPr>
      <w:rFonts w:cs="Times New Roman"/>
      <w:color w:val="0000FF"/>
      <w:u w:val="single"/>
    </w:rPr>
  </w:style>
  <w:style w:type="character" w:styleId="nfase">
    <w:name w:val="Emphasis"/>
    <w:uiPriority w:val="20"/>
    <w:qFormat/>
    <w:rsid w:val="003205FD"/>
    <w:rPr>
      <w:rFonts w:cs="Times New Roman"/>
      <w:i/>
    </w:rPr>
  </w:style>
  <w:style w:type="character" w:styleId="Forte">
    <w:name w:val="Strong"/>
    <w:aliases w:val="Tabelas e figuras,TITULOS 123"/>
    <w:uiPriority w:val="22"/>
    <w:qFormat/>
    <w:rsid w:val="003205FD"/>
    <w:rPr>
      <w:rFonts w:cs="Times New Roman"/>
      <w:b/>
    </w:rPr>
  </w:style>
  <w:style w:type="character" w:customStyle="1" w:styleId="f500">
    <w:name w:val="f500"/>
    <w:uiPriority w:val="99"/>
    <w:rsid w:val="003205FD"/>
  </w:style>
  <w:style w:type="paragraph" w:styleId="NormalWeb">
    <w:name w:val="Normal (Web)"/>
    <w:basedOn w:val="Normal"/>
    <w:uiPriority w:val="99"/>
    <w:unhideWhenUsed/>
    <w:rsid w:val="00767820"/>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387409">
      <w:bodyDiv w:val="1"/>
      <w:marLeft w:val="0"/>
      <w:marRight w:val="0"/>
      <w:marTop w:val="0"/>
      <w:marBottom w:val="0"/>
      <w:divBdr>
        <w:top w:val="none" w:sz="0" w:space="0" w:color="auto"/>
        <w:left w:val="none" w:sz="0" w:space="0" w:color="auto"/>
        <w:bottom w:val="none" w:sz="0" w:space="0" w:color="auto"/>
        <w:right w:val="none" w:sz="0" w:space="0" w:color="auto"/>
      </w:divBdr>
    </w:div>
    <w:div w:id="1379159519">
      <w:bodyDiv w:val="1"/>
      <w:marLeft w:val="0"/>
      <w:marRight w:val="0"/>
      <w:marTop w:val="0"/>
      <w:marBottom w:val="0"/>
      <w:divBdr>
        <w:top w:val="none" w:sz="0" w:space="0" w:color="auto"/>
        <w:left w:val="none" w:sz="0" w:space="0" w:color="auto"/>
        <w:bottom w:val="none" w:sz="0" w:space="0" w:color="auto"/>
        <w:right w:val="none" w:sz="0" w:space="0" w:color="auto"/>
      </w:divBdr>
    </w:div>
    <w:div w:id="200423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biogas.org.br/wp-content/uploads/protectedfiles/6390e394c734a95f3032a2da_NOTA-TECNICA_POTENCIAL_ABIOGAS.pdf" TargetMode="External"/><Relationship Id="rId18" Type="http://schemas.openxmlformats.org/officeDocument/2006/relationships/hyperlink" Target="http://legislacao.planalto.gov.br/legisla/legislacao.nsf/Viw_Identificacao/lei%2013.576-2017?OpenDocument" TargetMode="External"/><Relationship Id="rId3" Type="http://schemas.openxmlformats.org/officeDocument/2006/relationships/settings" Target="settings.xml"/><Relationship Id="rId21" Type="http://schemas.openxmlformats.org/officeDocument/2006/relationships/hyperlink" Target="https://www.giz.de/en/downloads/giz_biogas_como_combustivel_digital_simples.pdf?utm_source=chatgpt.com" TargetMode="External"/><Relationship Id="rId7" Type="http://schemas.openxmlformats.org/officeDocument/2006/relationships/header" Target="header1.xml"/><Relationship Id="rId12" Type="http://schemas.openxmlformats.org/officeDocument/2006/relationships/hyperlink" Target="https://www.epe.gov.br/sites-pt/publicacoes-dados-abertos/publicacoes/PublicacoesArquivos/publicacao-885/topico-767/BEN_S%C3%ADntese_2025_PT.pdf" TargetMode="External"/><Relationship Id="rId17" Type="http://schemas.openxmlformats.org/officeDocument/2006/relationships/hyperlink" Target="https://energiaeambiente.org.br/produto/desafios-e-oportunidades-para-reducao-das-emissoes-de-metano-no-brasil" TargetMode="External"/><Relationship Id="rId2" Type="http://schemas.openxmlformats.org/officeDocument/2006/relationships/styles" Target="styles.xml"/><Relationship Id="rId16" Type="http://schemas.openxmlformats.org/officeDocument/2006/relationships/hyperlink" Target="https://www.gov.br/mme/pt-br/assuntos/secretarias/petroleo-gas-natural-e-biocombustiveis/gas-para-empregar/workshop-gas-para-empregar-e-harmonizacao-regulatoria/apresentacao-epe-marcos-frederico" TargetMode="External"/><Relationship Id="rId20" Type="http://schemas.openxmlformats.org/officeDocument/2006/relationships/hyperlink" Target="https://www.gov.br/anp/pt-br/assuntos/consultas-e-audiencias-publicas/consulta-audiencia-publica/2018/arquivos-consultas-e-audiencias-publicas-2018/cap-10-2018/resolucaoanp-758-201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abioenergy.com/wp-content/uploads/2009/10/upgrading_rz_low_final.pdf" TargetMode="External"/><Relationship Id="rId5" Type="http://schemas.openxmlformats.org/officeDocument/2006/relationships/footnotes" Target="footnotes.xml"/><Relationship Id="rId15" Type="http://schemas.openxmlformats.org/officeDocument/2006/relationships/hyperlink" Target="https://revistas.ufpr.br/made/article/view/88929" TargetMode="External"/><Relationship Id="rId23" Type="http://schemas.openxmlformats.org/officeDocument/2006/relationships/theme" Target="theme/theme1.xml"/><Relationship Id="rId10" Type="http://schemas.openxmlformats.org/officeDocument/2006/relationships/hyperlink" Target="https://doi.org/10.24857/rgsa.v19n6-092" TargetMode="External"/><Relationship Id="rId19" Type="http://schemas.openxmlformats.org/officeDocument/2006/relationships/hyperlink" Target="https://www.planalto.gov.br/ccivil_03/_ato2015-2018/2017/lei/l13576.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pp.powerbi.com/view?r=eyJrIjoiM2MwZWQ0ZjAtYTRjNy00MWUyLThiYzgtYjI4Y2JmMjA3YzNhIiwidCI6IjQ0OTlmNGZmLTI0YTYtNGI0Mi1iN2VmLTEyNGFmY2FkYzkxMyJ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3534</Words>
  <Characters>19084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SIINTEC TEMPLATE -2025.doc</vt:lpstr>
    </vt:vector>
  </TitlesOfParts>
  <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SIINTEC TEMPLATE -2025.doc</dc:title>
  <dc:creator>Luciano</dc:creator>
  <cp:lastModifiedBy>Luciano</cp:lastModifiedBy>
  <cp:revision>2</cp:revision>
  <dcterms:created xsi:type="dcterms:W3CDTF">2025-09-02T16:51:00Z</dcterms:created>
  <dcterms:modified xsi:type="dcterms:W3CDTF">2025-09-02T16:51:00Z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Producer">
    <vt:lpwstr>Skia/PDF m140 Google Docs Renderer</vt:lpwstr>
  </property>
  <property fmtid="{D5CDD505-2E9C-101B-9397-08002B2CF9AE}" pid="4" name="LastSaved">
    <vt:filetime>2025-08-05T00:00:00Z</vt:filetime>
  </property>
</Properties>
</file>