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DISTRIBUIÇÃO DE MUDAS PELO VIVEIRO FLORESTAL DIDÁTICO E INCLUSIVO DO IFAL, CAMPUS PIRANHAS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Iara Kely Brito dos Santos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760" w:firstLine="0"/>
        <w:jc w:val="right"/>
        <w:rPr>
          <w:vertAlign w:val="superscript"/>
        </w:rPr>
      </w:pPr>
      <w:r w:rsidDel="00000000" w:rsidR="00000000" w:rsidRPr="00000000">
        <w:rPr>
          <w:rtl w:val="0"/>
        </w:rPr>
        <w:t xml:space="preserve">         Jherfeson Moreira dos Santos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Bruno José Leite Fernandes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vertAlign w:val="superscript"/>
        </w:rPr>
      </w:pPr>
      <w:r w:rsidDel="00000000" w:rsidR="00000000" w:rsidRPr="00000000">
        <w:rPr>
          <w:rtl w:val="0"/>
        </w:rPr>
        <w:t xml:space="preserve">Juliana Vicente Porto de Araujo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José Valdemir Bezerra Correia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760" w:firstLine="0"/>
        <w:jc w:val="right"/>
        <w:rPr>
          <w:vertAlign w:val="superscript"/>
        </w:rPr>
      </w:pPr>
      <w:r w:rsidDel="00000000" w:rsidR="00000000" w:rsidRPr="00000000">
        <w:rPr>
          <w:rtl w:val="0"/>
        </w:rPr>
        <w:t xml:space="preserve">        Cathylen Almeida Félix Galindo</w:t>
      </w:r>
      <w:r w:rsidDel="00000000" w:rsidR="00000000" w:rsidRPr="00000000">
        <w:rPr>
          <w:vertAlign w:val="superscript"/>
          <w:rtl w:val="0"/>
        </w:rPr>
        <w:t xml:space="preserve">6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Fábio José Marques</w:t>
      </w:r>
      <w:r w:rsidDel="00000000" w:rsidR="00000000" w:rsidRPr="00000000">
        <w:rPr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760" w:firstLine="720"/>
        <w:jc w:val="right"/>
        <w:rPr/>
      </w:pPr>
      <w:r w:rsidDel="00000000" w:rsidR="00000000" w:rsidRPr="00000000">
        <w:rPr>
          <w:rtl w:val="0"/>
        </w:rPr>
        <w:t xml:space="preserve">               Évio Alves Galindo</w:t>
      </w:r>
      <w:r w:rsidDel="00000000" w:rsidR="00000000" w:rsidRPr="00000000">
        <w:rPr>
          <w:vertAlign w:val="superscript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1"/>
        </w:numPr>
        <w:ind w:left="432" w:hanging="432"/>
        <w:rPr/>
      </w:pPr>
      <w:bookmarkStart w:colFirst="0" w:colLast="0" w:name="_heading=h.650lytq8h5n" w:id="0"/>
      <w:bookmarkEnd w:id="0"/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conservação da biodiversidade no bioma Caatinga constitui um dos maiores desafios socioambientais enfrentados pelo Brasil, especialmente em razão da vulnerabilidade ecológica e socioeconômica das regiões semiáridas. Entre as estratégias voltadas à preservação dos recursos naturais e à promoção da educação ambiental, destaca-se a atuação dos viveiros florestais didáticos como instrumentos pedagógicos, sociais e ecológicos.</w:t>
      </w:r>
    </w:p>
    <w:p w:rsidR="00000000" w:rsidDel="00000000" w:rsidP="00000000" w:rsidRDefault="00000000" w:rsidRPr="00000000" w14:paraId="0000000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contexto, o Viveiro Florestal Didático e Inclusivo do Instituto Federal de Alagoas (IFAL), Campus Piranhas, emerge como uma iniciativa multidimensional, cujo propósito transcende a simples produção de mudas: trata-se de uma ação integrada que promove a restauração da vegetação nativa, o engajamento comunitário e a inclusão educacional.</w:t>
      </w:r>
    </w:p>
    <w:p w:rsidR="00000000" w:rsidDel="00000000" w:rsidP="00000000" w:rsidRDefault="00000000" w:rsidRPr="00000000" w14:paraId="0000000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município de Piranhas está localizado no Alto Sertão do Estado de Alagoas em uma região de caatinga (IPHAN, 2025). O viveiro do IFAL, ao produzir e distribuir mudas de espécies nativas da Caatinga, contribui significativamente para o recaatingamento e a recuperação de áreas degradadas, ao mesmo tempo em que promove a sensibilização ambiental de estudantes, docentes e comunidades locais.                    </w:t>
      </w:r>
    </w:p>
    <w:p w:rsidR="00000000" w:rsidDel="00000000" w:rsidP="00000000" w:rsidRDefault="00000000" w:rsidRPr="00000000" w14:paraId="0000000E">
      <w:pPr>
        <w:ind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preservação junto com o manejo sustentável dos recursos florestais é uma prática que deve ser realizada imediatamente para amenizar o dano ambiental, uma vez que algumas áreas já estão vulneráveis à desertificação (SOUZA, 2025). A Caatinga enfrenta intensa degradação ambiental e risco de desertificação, o que compromete tanto a biodiversidade quanto a qualidade de vida das comunidades locais. Nesse contexto, surge a necessidade de avaliar se viveiros florestais didáticos podem contribuir de forma efetiva para o recaatingamento e a educação socioambiental.</w:t>
      </w:r>
    </w:p>
    <w:p w:rsidR="00000000" w:rsidDel="00000000" w:rsidP="00000000" w:rsidRDefault="00000000" w:rsidRPr="00000000" w14:paraId="0000000F">
      <w:pPr>
        <w:ind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atuação do Viveiro Florestal Didático e Inclusivo do IFAL – Campus Piranhas promove simultaneamente a restauração de áreas degradadas da Caatinga e a conscientização ambiental da comunidade acadêmica e regional.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 trabalho teve como objetivos específicos: Descrever o processo de produção e manejo das mudas no viveiro; apresentar e avaliar o sistema de gestão de doações de mudas; Identificar o perfil e o interesse dos participantes do evento Dia do Meio Ambiente em relação ao plantio de espécies nativas; discutir o potencial do viveiro como instrumento de educação ambiental, inclusão social e preservação da Caatinga.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rPr>
          <w:color w:val="000000"/>
          <w:sz w:val="24"/>
          <w:szCs w:val="24"/>
        </w:rPr>
      </w:pPr>
      <w:bookmarkStart w:colFirst="0" w:colLast="0" w:name="_heading=h.9z5f6j8ftfu6" w:id="1"/>
      <w:bookmarkEnd w:id="1"/>
      <w:r w:rsidDel="00000000" w:rsidR="00000000" w:rsidRPr="00000000">
        <w:rPr>
          <w:sz w:val="24"/>
          <w:szCs w:val="24"/>
          <w:rtl w:val="0"/>
        </w:rPr>
        <w:t xml:space="preserve">O projeto foi conduzido na casa de vegetação de 7 x 30 metros, localizada no IFAL – Campus Piranhas. Foram produzidas mudas de sete copas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Terminalia catappa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L.), moringa (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Moringa oleífera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Lam.), jatobá (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Hymenaea courbaril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.)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ipê roxo (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Handroanthus impetiginosus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Mart. ex DC.)</w:t>
      </w:r>
      <w:r w:rsidDel="00000000" w:rsidR="00000000" w:rsidRPr="00000000">
        <w:rPr>
          <w:sz w:val="24"/>
          <w:szCs w:val="24"/>
          <w:rtl w:val="0"/>
        </w:rPr>
        <w:t xml:space="preserve">. Recebemos também uma doação da sementeira Viveiro da Chesf, com mudas de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arapiraca (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Chloroleucon dumosum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Benth.), sabiá (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Mimosa caesalpiniaefolia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L.), maracujá-do-mato (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Passiflora cincinnata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Mast.), aroeira (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Schinus terebinthifolia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Raddi var.)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ipê amarelo [(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Handroanthus albus </w:t>
      </w:r>
      <w:hyperlink r:id="rId8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(Cham.) Mattos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)]. </w:t>
      </w:r>
    </w:p>
    <w:p w:rsidR="00000000" w:rsidDel="00000000" w:rsidP="00000000" w:rsidRDefault="00000000" w:rsidRPr="00000000" w14:paraId="0000001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mudas foram destinadas à doação com foco no recaatingamento, sombreamento e ornamentação. Os dados foram coletados por meio de questionário digital via QR code, preenchido pelos próprios receptores durante o evento. As variáveis analisadas incluíram: espécie escolhida, local de plantio e perfil do participante.</w:t>
      </w:r>
    </w:p>
    <w:p w:rsidR="00000000" w:rsidDel="00000000" w:rsidP="00000000" w:rsidRDefault="00000000" w:rsidRPr="00000000" w14:paraId="00000016">
      <w:pPr>
        <w:ind w:firstLine="720"/>
        <w:rPr>
          <w:sz w:val="24"/>
          <w:szCs w:val="24"/>
        </w:rPr>
      </w:pPr>
      <w:bookmarkStart w:colFirst="0" w:colLast="0" w:name="_heading=h.ly0kq7m52ryf" w:id="2"/>
      <w:bookmarkEnd w:id="2"/>
      <w:r w:rsidDel="00000000" w:rsidR="00000000" w:rsidRPr="00000000">
        <w:rPr>
          <w:sz w:val="24"/>
          <w:szCs w:val="24"/>
          <w:rtl w:val="0"/>
        </w:rPr>
        <w:t xml:space="preserve">Os dados foram tabulados no Microsoft Excel e analisados de forma descritiva.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1"/>
        </w:numPr>
        <w:spacing w:after="0" w:before="0" w:lineRule="auto"/>
        <w:ind w:left="432" w:hanging="432"/>
        <w:jc w:val="both"/>
        <w:rPr/>
      </w:pPr>
      <w:r w:rsidDel="00000000" w:rsidR="00000000" w:rsidRPr="00000000">
        <w:rPr>
          <w:rtl w:val="0"/>
        </w:rPr>
        <w:t xml:space="preserve">RESULTADOS E DISCUSSÃO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Foram doadas 172 mudas durante o evento, sendo o ipê-roxo a espécie mais procurada (97 mudas), seguido por sete copas e tamarindo, com 61 e 49 mudas doadas, respectivamente (Gráfico 1).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predominância do ipê-roxo entre as espécies doadas revela não apenas uma valorização estética por parte dos participantes, mas também uma oportunidade estratégica para fortalecer o paisagismo urbano com espécies nativas. A floração exuberante do ipê-roxo, conforme descrito por Viana, Paulo e Coêlho (2017), parece ter influenciado diretamente essa escolha. No entanto, é importante refletir se essa preferência está alinhada com critérios ecológicos, como resistência à seca ou capacidade de adaptação ao solo local, ou se se trata apenas de uma decisão estética.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3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espécie sete copas destacou-se por sua imponência e por apresentar propriedades medicinais, em consonância com os achados de Biwott et al. (2019). É uma árvore imponente e majestosa, que pode atingir até 20 metros de altura e apresenta uma copa densa e ampla, com sete grandes ramos principais que se estendem horizontalmente (OFICINA DO PAISAGISTA, 2025).</w:t>
      </w:r>
    </w:p>
    <w:p w:rsidR="00000000" w:rsidDel="00000000" w:rsidP="00000000" w:rsidRDefault="00000000" w:rsidRPr="00000000" w14:paraId="0000001C">
      <w:pPr>
        <w:ind w:firstLine="72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 contrapartida, a moringa foi a espécie menos procurada. </w:t>
      </w:r>
      <w:r w:rsidDel="00000000" w:rsidR="00000000" w:rsidRPr="00000000">
        <w:rPr>
          <w:sz w:val="24"/>
          <w:szCs w:val="24"/>
          <w:rtl w:val="0"/>
        </w:rPr>
        <w:t xml:space="preserve">A baixa procura por espécies como a moringa, apesar de seu valor nutricional e medicinal, sugere que campanhas educativas poderiam ampliar o conhecimento sobre os benefícios de espécies menos populares.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431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Gráfico 1.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Porcentagem das espécies de mudas doadas.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431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59140" cy="26035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260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 acordo com o Gráfico 2, observa-se que a maior concentração de doações ocorreu no município de Piranhas-AL, fato esperado por sediar o evento no IFAL. Entretanto, a expressiva participação de Canindé de São Francisco-SE, em segundo lugar, evidencia que a iniciativa ultrapassou os limites municipais, demonstrando alcance e impacto regional. Esses resultados reforçam o interesse da população na adoção de mudas, seja para fins de reflorestamento, ornamentação ou formação de áreas de sombreamento.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43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431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Gráfico 2.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Porcentagem de pessoas por município, que adquiriram mudas.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-298449</wp:posOffset>
            </wp:positionH>
            <wp:positionV relativeFrom="paragraph">
              <wp:posOffset>230504</wp:posOffset>
            </wp:positionV>
            <wp:extent cx="6583680" cy="2613660"/>
            <wp:effectExtent b="0" l="0" r="0" t="0"/>
            <wp:wrapNone/>
            <wp:docPr descr="Gráfico, Linha do tempo, Gráfico de cascata&#10;&#10;O conteúdo gerado por IA pode estar incorreto." id="9" name="image4.png"/>
            <a:graphic>
              <a:graphicData uri="http://schemas.openxmlformats.org/drawingml/2006/picture">
                <pic:pic>
                  <pic:nvPicPr>
                    <pic:cNvPr descr="Gráfico, Linha do tempo, Gráfico de cascata&#10;&#10;O conteúdo gerado por IA pode estar incorreto.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2613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43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Conforme apresentado no Gráfico 3, o perfil dos receptores indica maior participação dos alunos do campus (46%), seguidos por visitantes (34%) e servidores (20%), resultado que corrobora os achados de Oliveira et al. (2013), </w:t>
      </w:r>
      <w:r w:rsidDel="00000000" w:rsidR="00000000" w:rsidRPr="00000000">
        <w:rPr>
          <w:sz w:val="24"/>
          <w:szCs w:val="24"/>
          <w:rtl w:val="0"/>
        </w:rPr>
        <w:t xml:space="preserve">que destacam o envolvimento juvenil em ações ambientais.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entanto, a baixa participação de servidores (20%) e visitantes (34%) levanta reflexões sobre estratégias para ampliar o engajamento desses públicos. Esse resultado, embora em parte alinhado aos achados de Freitas (2020) e Ordóñez et al. (2019), que destacam o aumento da percepção ambiental na população, sugere que fatores como barreiras de acesso à informação ou o formato do evento, possivelmente mais direcionado ao público interno, podem ter influenciado a adesão. Ademais, a análise da relação entre o perfil dos participantes e as espécies escolhidas poderia revelar motivações distintas: enquanto alunos tendem a priorizar espécies de valor ornamental para uso doméstico, servidores podem buscar espécies com funções ecológicas mais amplas.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Gráfico 3.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Porcentagem de pessoas que adquiriram mudas. 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0" distR="0">
            <wp:extent cx="5281133" cy="1897550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1133" cy="1897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1"/>
        </w:numPr>
        <w:spacing w:line="276" w:lineRule="auto"/>
        <w:ind w:left="432" w:hanging="432"/>
        <w:jc w:val="both"/>
        <w:rPr/>
      </w:pPr>
      <w:r w:rsidDel="00000000" w:rsidR="00000000" w:rsidRPr="00000000">
        <w:rPr>
          <w:rtl w:val="0"/>
        </w:rPr>
        <w:t xml:space="preserve">CONCLUSÃO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firstLine="709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ação atingiu um público significativo de 100 pessoas, contribuindo para a conscientização ambiental e o incentivo ao recaatingamento. Observou-se o interesse da população pela restauração da vegetação nativa, reforçando o papel dos viveiros didáticos como ferramentas de educação e inclusão.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BIWOTT, T. C. et al. Folhas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Terminalia mantaly</w:t>
      </w:r>
      <w:r w:rsidDel="00000000" w:rsidR="00000000" w:rsidRPr="00000000">
        <w:rPr>
          <w:sz w:val="24"/>
          <w:szCs w:val="24"/>
          <w:rtl w:val="0"/>
        </w:rPr>
        <w:t xml:space="preserve"> como um novo aditivo em lama de perfuração à base de água.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International Journal of Chemical Studies</w:t>
      </w:r>
      <w:r w:rsidDel="00000000" w:rsidR="00000000" w:rsidRPr="00000000">
        <w:rPr>
          <w:sz w:val="24"/>
          <w:szCs w:val="24"/>
          <w:rtl w:val="0"/>
        </w:rPr>
        <w:t xml:space="preserve">, v. 7, n. 6, p. 2173-2181, 2019.</w:t>
      </w:r>
    </w:p>
    <w:p w:rsidR="00000000" w:rsidDel="00000000" w:rsidP="00000000" w:rsidRDefault="00000000" w:rsidRPr="00000000" w14:paraId="0000003D">
      <w:pPr>
        <w:ind w:left="36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FREITAS, W. K. Tree composition of urban public squares located in the Atlantic Forest of Brazil: A systematic review. </w:t>
      </w:r>
      <w:r w:rsidDel="00000000" w:rsidR="00000000" w:rsidRPr="00000000">
        <w:rPr>
          <w:b w:val="1"/>
          <w:sz w:val="24"/>
          <w:szCs w:val="24"/>
          <w:rtl w:val="0"/>
        </w:rPr>
        <w:t xml:space="preserve">Urban Forestry &amp; Urban Greening</w:t>
      </w:r>
      <w:r w:rsidDel="00000000" w:rsidR="00000000" w:rsidRPr="00000000">
        <w:rPr>
          <w:sz w:val="24"/>
          <w:szCs w:val="24"/>
          <w:rtl w:val="0"/>
        </w:rPr>
        <w:t xml:space="preserve">, v. 48, fev. 2020.</w:t>
      </w:r>
    </w:p>
    <w:p w:rsidR="00000000" w:rsidDel="00000000" w:rsidP="00000000" w:rsidRDefault="00000000" w:rsidRPr="00000000" w14:paraId="0000003F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IPHAN. Instituto do Patrimônio Histórico e Artístico Nacional. Disponível em: </w:t>
      </w:r>
      <w:hyperlink r:id="rId12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http://portal.iphan.gov.br</w:t>
        </w:r>
      </w:hyperlink>
      <w:r w:rsidDel="00000000" w:rsidR="00000000" w:rsidRPr="00000000">
        <w:rPr>
          <w:sz w:val="24"/>
          <w:szCs w:val="24"/>
          <w:rtl w:val="0"/>
        </w:rPr>
        <w:t xml:space="preserve">. Acesso em: 24 jul. 2025.</w:t>
      </w:r>
    </w:p>
    <w:p w:rsidR="00000000" w:rsidDel="00000000" w:rsidP="00000000" w:rsidRDefault="00000000" w:rsidRPr="00000000" w14:paraId="0000004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OFICINA DO PAISAGISTA. </w:t>
      </w:r>
      <w:r w:rsidDel="00000000" w:rsidR="00000000" w:rsidRPr="00000000">
        <w:rPr>
          <w:b w:val="1"/>
          <w:sz w:val="24"/>
          <w:szCs w:val="24"/>
          <w:rtl w:val="0"/>
        </w:rPr>
        <w:t xml:space="preserve">Sete copas africana (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Terminalia mantaly</w:t>
      </w:r>
      <w:r w:rsidDel="00000000" w:rsidR="00000000" w:rsidRPr="00000000">
        <w:rPr>
          <w:b w:val="1"/>
          <w:sz w:val="24"/>
          <w:szCs w:val="24"/>
          <w:rtl w:val="0"/>
        </w:rPr>
        <w:t xml:space="preserve">).</w:t>
      </w:r>
      <w:r w:rsidDel="00000000" w:rsidR="00000000" w:rsidRPr="00000000">
        <w:rPr>
          <w:sz w:val="24"/>
          <w:szCs w:val="24"/>
          <w:rtl w:val="0"/>
        </w:rPr>
        <w:t xml:space="preserve"> Oficina do Paisagista, [2025?]. Disponível em: </w:t>
      </w:r>
      <w:hyperlink r:id="rId13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https://www.oficinadopaisagista.com.br/sete-copas-africana-terminalia-mantaly</w:t>
        </w:r>
      </w:hyperlink>
      <w:r w:rsidDel="00000000" w:rsidR="00000000" w:rsidRPr="00000000">
        <w:rPr>
          <w:sz w:val="24"/>
          <w:szCs w:val="24"/>
          <w:rtl w:val="0"/>
        </w:rPr>
        <w:t xml:space="preserve">. Acesso em: 24 jul. 2025.</w:t>
      </w:r>
    </w:p>
    <w:p w:rsidR="00000000" w:rsidDel="00000000" w:rsidP="00000000" w:rsidRDefault="00000000" w:rsidRPr="00000000" w14:paraId="0000004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OLIVEIRA, M. et al. </w:t>
      </w:r>
      <w:r w:rsidDel="00000000" w:rsidR="00000000" w:rsidRPr="00000000">
        <w:rPr>
          <w:i w:val="1"/>
          <w:sz w:val="24"/>
          <w:szCs w:val="24"/>
          <w:rtl w:val="0"/>
        </w:rPr>
        <w:t xml:space="preserve">Reflexos da evolução urbana sobre a arborização em Erexim, sul do Brasil.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Revista da Sociedade Brasileira de Arborização Urbana</w:t>
      </w:r>
      <w:r w:rsidDel="00000000" w:rsidR="00000000" w:rsidRPr="00000000">
        <w:rPr>
          <w:sz w:val="24"/>
          <w:szCs w:val="24"/>
          <w:rtl w:val="0"/>
        </w:rPr>
        <w:t xml:space="preserve">, v. 8, n. 2, p. 86–103, 2013.</w:t>
      </w:r>
    </w:p>
    <w:p w:rsidR="00000000" w:rsidDel="00000000" w:rsidP="00000000" w:rsidRDefault="00000000" w:rsidRPr="00000000" w14:paraId="00000045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ORDÓÑEZ, C. et al. Urban forest governance and decision-making: A systematic review and synthesis of the perspectives of municipal managers. </w:t>
      </w:r>
      <w:r w:rsidDel="00000000" w:rsidR="00000000" w:rsidRPr="00000000">
        <w:rPr>
          <w:b w:val="1"/>
          <w:sz w:val="24"/>
          <w:szCs w:val="24"/>
          <w:rtl w:val="0"/>
        </w:rPr>
        <w:t xml:space="preserve">Urban Forestry &amp; Urban Greening</w:t>
      </w:r>
      <w:r w:rsidDel="00000000" w:rsidR="00000000" w:rsidRPr="00000000">
        <w:rPr>
          <w:sz w:val="24"/>
          <w:szCs w:val="24"/>
          <w:rtl w:val="0"/>
        </w:rPr>
        <w:t xml:space="preserve">, v. 189, p. 166–180, 2019.</w:t>
      </w:r>
    </w:p>
    <w:p w:rsidR="00000000" w:rsidDel="00000000" w:rsidP="00000000" w:rsidRDefault="00000000" w:rsidRPr="00000000" w14:paraId="00000047">
      <w:pPr>
        <w:ind w:left="36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SOUZA, R. </w:t>
      </w:r>
      <w:r w:rsidDel="00000000" w:rsidR="00000000" w:rsidRPr="00000000">
        <w:rPr>
          <w:b w:val="1"/>
          <w:sz w:val="24"/>
          <w:szCs w:val="24"/>
          <w:rtl w:val="0"/>
        </w:rPr>
        <w:t xml:space="preserve">Caatinga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Brasil Escola. Disponível em: </w:t>
      </w:r>
      <w:hyperlink r:id="rId14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https://brasilescola.uol.com.br/brasil/caatinga.htm</w:t>
        </w:r>
      </w:hyperlink>
      <w:r w:rsidDel="00000000" w:rsidR="00000000" w:rsidRPr="00000000">
        <w:rPr>
          <w:sz w:val="24"/>
          <w:szCs w:val="24"/>
          <w:rtl w:val="0"/>
        </w:rPr>
        <w:t xml:space="preserve">. Acesso em: mar. 2025.</w:t>
      </w:r>
    </w:p>
    <w:p w:rsidR="00000000" w:rsidDel="00000000" w:rsidP="00000000" w:rsidRDefault="00000000" w:rsidRPr="00000000" w14:paraId="0000004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VIANA, B. L.; DE LIRA PAULO, F. F. V.; COÊLHO, C. B. Diagnóstico das doações de mudas realizadas pelo viveiro florestal do Jardim Botânico do Recife</w:t>
      </w:r>
      <w:r w:rsidDel="00000000" w:rsidR="00000000" w:rsidRPr="00000000">
        <w:rPr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Revista Arrudea—</w:t>
      </w:r>
      <w:r w:rsidDel="00000000" w:rsidR="00000000" w:rsidRPr="00000000">
        <w:rPr>
          <w:b w:val="1"/>
          <w:sz w:val="24"/>
          <w:szCs w:val="24"/>
          <w:rtl w:val="0"/>
        </w:rPr>
        <w:t xml:space="preserve">A revista do Jardim Botânico do Recife</w:t>
      </w:r>
      <w:r w:rsidDel="00000000" w:rsidR="00000000" w:rsidRPr="00000000">
        <w:rPr>
          <w:sz w:val="24"/>
          <w:szCs w:val="24"/>
          <w:rtl w:val="0"/>
        </w:rPr>
        <w:t xml:space="preserve">, v. 3, n. 1, p. 23–29, 2017.</w:t>
      </w: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first"/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bookmarkStart w:colFirst="0" w:colLast="0" w:name="_heading=h.bl2hjsbkmdm1" w:id="3"/>
      <w:bookmarkEnd w:id="3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vertAlign w:val="superscript"/>
          <w:rtl w:val="0"/>
        </w:rPr>
        <w:t xml:space="preserve">,2,3,4,5</w:t>
      </w:r>
      <w:r w:rsidDel="00000000" w:rsidR="00000000" w:rsidRPr="00000000">
        <w:rPr>
          <w:color w:val="000000"/>
          <w:rtl w:val="0"/>
        </w:rPr>
        <w:t xml:space="preserve">Graduandos em Engenharia Agronômica, Instituto Federal de Alagoas – Campus Piranhas, </w:t>
      </w:r>
      <w:hyperlink r:id="rId1">
        <w:r w:rsidDel="00000000" w:rsidR="00000000" w:rsidRPr="00000000">
          <w:rPr>
            <w:color w:val="000000"/>
            <w:rtl w:val="0"/>
          </w:rPr>
          <w:t xml:space="preserve">ikbs@aluno.ifal.edu.br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</w:footnote>
  <w:footnote w:id="1"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vertAlign w:val="superscript"/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Mestra em Produção Agrícola, Universidade Federal Rural de Pernambuco.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vertAlign w:val="superscript"/>
          <w:rtl w:val="0"/>
        </w:rPr>
        <w:t xml:space="preserve">7,8</w:t>
      </w:r>
      <w:r w:rsidDel="00000000" w:rsidR="00000000" w:rsidRPr="00000000">
        <w:rPr>
          <w:color w:val="000000"/>
          <w:rtl w:val="0"/>
        </w:rPr>
        <w:t xml:space="preserve">Professores Mestres do Instituto Federal de Alagoas – Campus Piranhas.</w:t>
      </w:r>
    </w:p>
  </w:footnote>
  <w:footnote w:id="2"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center" w:leader="none" w:pos="4536"/>
        <w:tab w:val="right" w:leader="none" w:pos="9072"/>
      </w:tabs>
      <w:ind w:left="-737" w:firstLine="0"/>
      <w:jc w:val="center"/>
      <w:rPr>
        <w:i w:val="1"/>
        <w:color w:val="80808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1812798</wp:posOffset>
          </wp:positionH>
          <wp:positionV relativeFrom="paragraph">
            <wp:posOffset>5163</wp:posOffset>
          </wp:positionV>
          <wp:extent cx="2133853" cy="938254"/>
          <wp:effectExtent b="0" l="0" r="0" t="0"/>
          <wp:wrapNone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3853" cy="93825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tabs>
        <w:tab w:val="center" w:leader="none" w:pos="4536"/>
        <w:tab w:val="right" w:leader="none" w:pos="9072"/>
      </w:tabs>
      <w:jc w:val="right"/>
      <w:rPr>
        <w:i w:val="1"/>
        <w:color w:val="808080"/>
        <w:sz w:val="18"/>
        <w:szCs w:val="18"/>
      </w:rPr>
    </w:pPr>
    <w:r w:rsidDel="00000000" w:rsidR="00000000" w:rsidRPr="00000000">
      <w:rPr>
        <w:i w:val="1"/>
        <w:color w:val="808080"/>
        <w:sz w:val="18"/>
        <w:szCs w:val="18"/>
        <w:rtl w:val="0"/>
      </w:rPr>
      <w:t xml:space="preserve">  11 de setembro a 13 de setembro de 2025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275700</wp:posOffset>
          </wp:positionH>
          <wp:positionV relativeFrom="paragraph">
            <wp:posOffset>8171</wp:posOffset>
          </wp:positionV>
          <wp:extent cx="601345" cy="874395"/>
          <wp:effectExtent b="0" l="0" r="0" t="0"/>
          <wp:wrapNone/>
          <wp:docPr descr="Uma imagem contendo Código QR&#10;&#10;O conteúdo gerado por IA pode estar incorreto." id="7" name="image1.png"/>
          <a:graphic>
            <a:graphicData uri="http://schemas.openxmlformats.org/drawingml/2006/picture">
              <pic:pic>
                <pic:nvPicPr>
                  <pic:cNvPr descr="Uma imagem contendo Código QR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45" cy="874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tabs>
        <w:tab w:val="center" w:leader="none" w:pos="4536"/>
        <w:tab w:val="right" w:leader="none" w:pos="9072"/>
      </w:tabs>
      <w:ind w:left="-737" w:firstLine="0"/>
      <w:jc w:val="center"/>
      <w:rPr>
        <w:i w:val="1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tabs>
        <w:tab w:val="center" w:leader="none" w:pos="4536"/>
        <w:tab w:val="right" w:leader="none" w:pos="9072"/>
      </w:tabs>
      <w:ind w:left="-737" w:firstLine="0"/>
      <w:rPr>
        <w:i w:val="1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center" w:leader="none" w:pos="4536"/>
        <w:tab w:val="right" w:leader="none" w:pos="9072"/>
      </w:tabs>
      <w:ind w:left="-737" w:firstLine="0"/>
      <w:jc w:val="center"/>
      <w:rPr>
        <w:i w:val="1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tabs>
        <w:tab w:val="center" w:leader="none" w:pos="4536"/>
        <w:tab w:val="right" w:leader="none" w:pos="9072"/>
      </w:tabs>
      <w:ind w:left="-737" w:firstLine="0"/>
      <w:jc w:val="left"/>
      <w:rPr>
        <w:i w:val="1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tabs>
        <w:tab w:val="center" w:leader="none" w:pos="4536"/>
        <w:tab w:val="right" w:leader="none" w:pos="9072"/>
      </w:tabs>
      <w:ind w:left="-737" w:firstLine="0"/>
      <w:jc w:val="left"/>
      <w:rPr>
        <w:i w:val="1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  <w:ind w:left="431" w:hanging="431"/>
      <w:jc w:val="left"/>
    </w:pPr>
    <w:rPr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Rule="auto"/>
    </w:pPr>
    <w:rPr>
      <w:smallCap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20" w:line="360" w:lineRule="auto"/>
      <w:ind w:left="720" w:hanging="720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1008" w:hanging="1008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1152" w:hanging="1152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spacing w:after="120" w:before="120" w:lineRule="auto"/>
      <w:jc w:val="center"/>
    </w:pPr>
    <w:rPr>
      <w:b w:val="1"/>
      <w:sz w:val="28"/>
      <w:szCs w:val="2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4863E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hyperlink" Target="https://www.oficinadopaisagista.com.br/sete-copas-africana-terminalia-mantaly" TargetMode="External"/><Relationship Id="rId12" Type="http://schemas.openxmlformats.org/officeDocument/2006/relationships/hyperlink" Target="http://portal.iphan.gov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6.png"/><Relationship Id="rId15" Type="http://schemas.openxmlformats.org/officeDocument/2006/relationships/header" Target="header1.xml"/><Relationship Id="rId14" Type="http://schemas.openxmlformats.org/officeDocument/2006/relationships/hyperlink" Target="https://brasilescola.uol.com.br/brasil/caatinga.htm" TargetMode="External"/><Relationship Id="rId17" Type="http://schemas.openxmlformats.org/officeDocument/2006/relationships/footer" Target="footer1.xml"/><Relationship Id="rId16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about:blank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ikbs@aluno.ifal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3IutXUXQM1aT1jd9OXG9U7g/hw==">CgMxLjAyDWguNjUwbHl0cThoNW4yDmguOXo1ZjZqOGZ0ZnU2Mg5oLmx5MGtxN201MnJ5ZjIOaC5ibDJoanNia21kbTE4AHIhMTJHUkFYMGJRUnh3TWQtZDRnRWZ4UU93YVlZUzVpZFdw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2025-08-27T19:53:00Z</dcterms:created>
  <dc:creator>admin</dc:creator>
</cp:coreProperties>
</file>