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C150" w14:textId="77777777" w:rsidR="00946872" w:rsidRDefault="00946872" w:rsidP="0067342C">
      <w:pPr>
        <w:ind w:left="720"/>
        <w:jc w:val="center"/>
        <w:rPr>
          <w:b/>
          <w:bCs/>
          <w:color w:val="EE0000"/>
          <w:sz w:val="28"/>
          <w:szCs w:val="28"/>
        </w:rPr>
      </w:pPr>
    </w:p>
    <w:p w14:paraId="3D9B96C4" w14:textId="06E81069" w:rsidR="00946872" w:rsidRPr="00946872" w:rsidRDefault="00946872" w:rsidP="00946872">
      <w:pPr>
        <w:widowControl w:val="0"/>
        <w:ind w:left="297" w:right="298"/>
        <w:jc w:val="center"/>
        <w:rPr>
          <w:b/>
          <w:sz w:val="28"/>
          <w:szCs w:val="28"/>
        </w:rPr>
      </w:pPr>
      <w:r>
        <w:rPr>
          <w:b/>
          <w:sz w:val="28"/>
          <w:szCs w:val="28"/>
        </w:rPr>
        <w:t>Qualidade fisiológica em genótipos crioulos de feijão comum (</w:t>
      </w:r>
      <w:proofErr w:type="spellStart"/>
      <w:r>
        <w:rPr>
          <w:b/>
          <w:i/>
          <w:sz w:val="28"/>
          <w:szCs w:val="28"/>
        </w:rPr>
        <w:t>Phaseolus</w:t>
      </w:r>
      <w:proofErr w:type="spellEnd"/>
      <w:r>
        <w:rPr>
          <w:b/>
          <w:i/>
          <w:sz w:val="28"/>
          <w:szCs w:val="28"/>
        </w:rPr>
        <w:t xml:space="preserve"> </w:t>
      </w:r>
      <w:proofErr w:type="spellStart"/>
      <w:r>
        <w:rPr>
          <w:b/>
          <w:i/>
          <w:sz w:val="28"/>
          <w:szCs w:val="28"/>
        </w:rPr>
        <w:t>vulgaris</w:t>
      </w:r>
      <w:proofErr w:type="spellEnd"/>
      <w:r>
        <w:rPr>
          <w:b/>
          <w:i/>
          <w:sz w:val="28"/>
          <w:szCs w:val="28"/>
        </w:rPr>
        <w:t xml:space="preserve"> </w:t>
      </w:r>
      <w:r>
        <w:rPr>
          <w:b/>
          <w:sz w:val="28"/>
          <w:szCs w:val="28"/>
        </w:rPr>
        <w:t>L.)</w:t>
      </w:r>
    </w:p>
    <w:p w14:paraId="4A10177E" w14:textId="191CD754" w:rsidR="00946990" w:rsidRPr="00946872" w:rsidRDefault="00946872" w:rsidP="001E79E0">
      <w:pPr>
        <w:jc w:val="right"/>
        <w:rPr>
          <w:bCs/>
        </w:rPr>
      </w:pPr>
      <w:r w:rsidRPr="00946872">
        <w:rPr>
          <w:bCs/>
        </w:rPr>
        <w:t>Gabriel Aubry Porto Costa</w:t>
      </w:r>
      <w:r w:rsidRPr="00946872">
        <w:rPr>
          <w:rStyle w:val="Refdenotaderodap"/>
        </w:rPr>
        <w:t xml:space="preserve"> </w:t>
      </w:r>
      <w:r w:rsidR="001E79E0" w:rsidRPr="00946872">
        <w:rPr>
          <w:rStyle w:val="Refdenotaderodap"/>
        </w:rPr>
        <w:footnoteReference w:id="1"/>
      </w:r>
    </w:p>
    <w:p w14:paraId="02D50827" w14:textId="6DC0D4E1" w:rsidR="001E79E0" w:rsidRPr="00946872" w:rsidRDefault="00946872" w:rsidP="001E79E0">
      <w:pPr>
        <w:jc w:val="right"/>
        <w:rPr>
          <w:bCs/>
        </w:rPr>
      </w:pPr>
      <w:r w:rsidRPr="00946872">
        <w:rPr>
          <w:bCs/>
        </w:rPr>
        <w:t>Rayssa Karolyna Farias Barbosa</w:t>
      </w:r>
      <w:r w:rsidRPr="00946872">
        <w:t xml:space="preserve"> </w:t>
      </w:r>
      <w:r w:rsidR="001E79E0" w:rsidRPr="00946872">
        <w:rPr>
          <w:rStyle w:val="Refdenotaderodap"/>
        </w:rPr>
        <w:footnoteReference w:id="2"/>
      </w:r>
    </w:p>
    <w:p w14:paraId="6BFB6E24" w14:textId="7FECA70F" w:rsidR="001E79E0" w:rsidRPr="00946872" w:rsidRDefault="00946872" w:rsidP="001E79E0">
      <w:pPr>
        <w:jc w:val="right"/>
        <w:rPr>
          <w:bCs/>
        </w:rPr>
      </w:pPr>
      <w:r w:rsidRPr="00946872">
        <w:rPr>
          <w:bCs/>
        </w:rPr>
        <w:t>Luís Fernando dos Santos Souza</w:t>
      </w:r>
      <w:r w:rsidRPr="00946872">
        <w:rPr>
          <w:rStyle w:val="Refdenotaderodap"/>
        </w:rPr>
        <w:t xml:space="preserve"> </w:t>
      </w:r>
      <w:r w:rsidR="001E79E0" w:rsidRPr="00946872">
        <w:rPr>
          <w:rStyle w:val="Refdenotaderodap"/>
        </w:rPr>
        <w:footnoteReference w:id="3"/>
      </w:r>
    </w:p>
    <w:p w14:paraId="27BD4ED8" w14:textId="363CA2BC" w:rsidR="001E79E0" w:rsidRPr="00946872" w:rsidRDefault="00EA1DB6" w:rsidP="001E79E0">
      <w:pPr>
        <w:jc w:val="right"/>
        <w:rPr>
          <w:bCs/>
        </w:rPr>
      </w:pPr>
      <w:r w:rsidRPr="00946872">
        <w:t>Priscilla Anunciada Alves Moreira Ramalho</w:t>
      </w:r>
      <w:r w:rsidR="001E79E0" w:rsidRPr="00946872">
        <w:rPr>
          <w:rStyle w:val="Refdenotaderodap"/>
        </w:rPr>
        <w:footnoteReference w:id="4"/>
      </w:r>
    </w:p>
    <w:p w14:paraId="62C94B82" w14:textId="77777777" w:rsidR="001E79E0" w:rsidRPr="00946872" w:rsidRDefault="001E79E0" w:rsidP="00BE4D31">
      <w:pPr>
        <w:spacing w:before="120" w:after="120"/>
        <w:rPr>
          <w:b/>
        </w:rPr>
        <w:sectPr w:rsidR="001E79E0" w:rsidRPr="00946872" w:rsidSect="00666873">
          <w:headerReference w:type="default" r:id="rId8"/>
          <w:footerReference w:type="default" r:id="rId9"/>
          <w:type w:val="continuous"/>
          <w:pgSz w:w="11906" w:h="16838"/>
          <w:pgMar w:top="1701" w:right="1418" w:bottom="1418" w:left="1418" w:header="567" w:footer="709" w:gutter="0"/>
          <w:cols w:space="720"/>
          <w:docGrid w:linePitch="272"/>
        </w:sectPr>
      </w:pPr>
    </w:p>
    <w:p w14:paraId="572F45CE" w14:textId="6EA88D09" w:rsidR="00F52312" w:rsidRPr="00946872" w:rsidRDefault="00946872" w:rsidP="00F52312">
      <w:pPr>
        <w:jc w:val="right"/>
        <w:rPr>
          <w:bCs/>
        </w:rPr>
      </w:pPr>
      <w:r w:rsidRPr="00946872">
        <w:rPr>
          <w:bCs/>
        </w:rPr>
        <w:t>Gabriel de Queiroz Calado</w:t>
      </w:r>
      <w:r w:rsidRPr="00946872">
        <w:rPr>
          <w:rStyle w:val="Refdenotaderodap"/>
        </w:rPr>
        <w:t xml:space="preserve"> </w:t>
      </w:r>
      <w:r w:rsidR="00F52312" w:rsidRPr="00946872">
        <w:rPr>
          <w:rStyle w:val="Refdenotaderodap"/>
        </w:rPr>
        <w:footnoteReference w:id="5"/>
      </w:r>
    </w:p>
    <w:p w14:paraId="4CAD702F" w14:textId="7FBAD5DC" w:rsidR="00B46FE0" w:rsidRPr="00946872" w:rsidRDefault="00B46FE0" w:rsidP="00F52312">
      <w:pPr>
        <w:jc w:val="right"/>
        <w:rPr>
          <w:bCs/>
          <w:vertAlign w:val="superscript"/>
        </w:rPr>
      </w:pPr>
      <w:r w:rsidRPr="00946872">
        <w:rPr>
          <w:bCs/>
        </w:rPr>
        <w:t>Antônio Felix da Costa</w:t>
      </w:r>
      <w:r w:rsidRPr="00946872">
        <w:rPr>
          <w:bCs/>
          <w:vertAlign w:val="superscript"/>
        </w:rPr>
        <w:t>6</w:t>
      </w:r>
    </w:p>
    <w:p w14:paraId="67C8FB3D" w14:textId="77777777" w:rsidR="00EF068A" w:rsidRPr="00946872" w:rsidRDefault="00EF068A" w:rsidP="00F52312">
      <w:pPr>
        <w:jc w:val="right"/>
        <w:rPr>
          <w:bCs/>
        </w:rPr>
      </w:pPr>
      <w:r w:rsidRPr="00946872">
        <w:rPr>
          <w:bCs/>
        </w:rPr>
        <w:t>Rejane Rodrigues da Costa e Carvalho</w:t>
      </w:r>
      <w:r w:rsidRPr="00946872">
        <w:rPr>
          <w:bCs/>
          <w:vertAlign w:val="superscript"/>
        </w:rPr>
        <w:t>7</w:t>
      </w:r>
      <w:r w:rsidR="00E21C5F" w:rsidRPr="00946872">
        <w:rPr>
          <w:bCs/>
        </w:rPr>
        <w:t xml:space="preserve"> </w:t>
      </w:r>
    </w:p>
    <w:p w14:paraId="77169682" w14:textId="4A3A54FF" w:rsidR="001E79E0" w:rsidRPr="002F4C54" w:rsidRDefault="00EF068A" w:rsidP="002F4C54">
      <w:pPr>
        <w:jc w:val="right"/>
        <w:rPr>
          <w:bCs/>
          <w:color w:val="EE0000"/>
        </w:rPr>
      </w:pPr>
      <w:r w:rsidRPr="00946872">
        <w:rPr>
          <w:bCs/>
        </w:rPr>
        <w:t xml:space="preserve">José Luiz </w:t>
      </w:r>
      <w:r w:rsidR="0021282C" w:rsidRPr="00946872">
        <w:rPr>
          <w:bCs/>
        </w:rPr>
        <w:t>Sandes de Carvalho Filho</w:t>
      </w:r>
      <w:r w:rsidR="0024322D" w:rsidRPr="00946872">
        <w:rPr>
          <w:bCs/>
          <w:vertAlign w:val="superscript"/>
        </w:rPr>
        <w:t>8</w:t>
      </w:r>
      <w:r w:rsidR="00E21C5F" w:rsidRPr="00946872">
        <w:rPr>
          <w:bCs/>
        </w:rPr>
        <w:t xml:space="preserve"> </w:t>
      </w:r>
    </w:p>
    <w:p w14:paraId="62C94B83" w14:textId="7DAD294E" w:rsidR="00143910" w:rsidRPr="008703BB" w:rsidRDefault="00F76A8B" w:rsidP="00946872">
      <w:pPr>
        <w:pStyle w:val="Ttulo1"/>
        <w:spacing w:before="0"/>
      </w:pPr>
      <w:r w:rsidRPr="008703BB">
        <w:t>INTRODUÇÃO</w:t>
      </w:r>
    </w:p>
    <w:p w14:paraId="410C1E7B" w14:textId="4C390120" w:rsidR="00C32D21" w:rsidRDefault="00C32D21" w:rsidP="00946872">
      <w:pPr>
        <w:spacing w:after="120"/>
        <w:ind w:firstLine="360"/>
        <w:rPr>
          <w:sz w:val="24"/>
          <w:szCs w:val="24"/>
        </w:rPr>
      </w:pPr>
      <w:bookmarkStart w:id="0" w:name="_Hlk204952024"/>
      <w:r w:rsidRPr="00FB27FA">
        <w:rPr>
          <w:sz w:val="24"/>
          <w:szCs w:val="24"/>
        </w:rPr>
        <w:t>O Brasil é o segundo maior produtor mundial d</w:t>
      </w:r>
      <w:r>
        <w:rPr>
          <w:sz w:val="24"/>
          <w:szCs w:val="24"/>
        </w:rPr>
        <w:t>e feijão</w:t>
      </w:r>
      <w:r w:rsidRPr="00FB27FA">
        <w:rPr>
          <w:sz w:val="24"/>
          <w:szCs w:val="24"/>
        </w:rPr>
        <w:t>, ficando atrás</w:t>
      </w:r>
      <w:r>
        <w:rPr>
          <w:sz w:val="24"/>
          <w:szCs w:val="24"/>
        </w:rPr>
        <w:t xml:space="preserve">, </w:t>
      </w:r>
      <w:r w:rsidRPr="00FB27FA">
        <w:rPr>
          <w:sz w:val="24"/>
          <w:szCs w:val="24"/>
        </w:rPr>
        <w:t>apenas</w:t>
      </w:r>
      <w:r>
        <w:rPr>
          <w:sz w:val="24"/>
          <w:szCs w:val="24"/>
        </w:rPr>
        <w:t>,</w:t>
      </w:r>
      <w:r w:rsidRPr="00FB27FA">
        <w:rPr>
          <w:sz w:val="24"/>
          <w:szCs w:val="24"/>
        </w:rPr>
        <w:t xml:space="preserve"> da Índia (FAOSTAT,2023).</w:t>
      </w:r>
      <w:r>
        <w:rPr>
          <w:sz w:val="24"/>
          <w:szCs w:val="24"/>
        </w:rPr>
        <w:t xml:space="preserve"> O grão está presente na mesa de 70% da população brasileira e tem grande contribuição para a segurança alimentar devido a sua composição orgânica, representando 31,4% da ingestão diária de proteínas no país</w:t>
      </w:r>
      <w:r w:rsidR="00B91F85">
        <w:rPr>
          <w:sz w:val="24"/>
          <w:szCs w:val="24"/>
        </w:rPr>
        <w:t xml:space="preserve"> </w:t>
      </w:r>
      <w:r w:rsidR="006D5239" w:rsidRPr="00950D59">
        <w:rPr>
          <w:sz w:val="24"/>
          <w:szCs w:val="24"/>
        </w:rPr>
        <w:fldChar w:fldCharType="begin"/>
      </w:r>
      <w:r w:rsidR="006D5239" w:rsidRPr="00950D59">
        <w:rPr>
          <w:sz w:val="24"/>
          <w:szCs w:val="24"/>
        </w:rPr>
        <w:instrText xml:space="preserve"> ADDIN ZOTERO_ITEM CSL_CITATION {"citationID":"lTS7ZtBx","properties":{"formattedCitation":"(Oliveira; Wander, 2023; Oomah; Bassinello; Campos Vega, 2018)","plainCitation":"(Oliveira; Wander, 2023; Oomah; Bassinello; Campos Vega, 2018)","noteIndex":0},"citationItems":[{"id":132,"uris":["http://zotero.org/users/14178593/items/9Y7UCXX4"],"itemData":{"id":132,"type":"article-journal","abstract":"Brazil is among the world's largest producers, consumers and importers of beans. Beans have great economic and nutritional importance for the population, it is the main source of vegetable protein consumed by Brazilians. The objective of this work was to map the production chain of beans in Brazil, seeking to understand the relationships between the agents present in each link. We sought to analyze the operation of the production chain and the main obstacles that have affected competitiveness. Through literature research and analysis of data provided by entities related to the sector we obtained information that allowed the description of the production chain and its main characteristics. Thus, we have that the chain in question is geographically dispersed, in almost all Brazilian states there is bean production. It has a low organizational level, which increases transaction costs, low technical training by producers and high production costs with pesticides and fertilizers.","container-title":"Revista Economia Política do Desenvolvimento","DOI":"10.28998/2594-598X.2023v14n32p96-122","ISSN":"2594-598X","issue":"32","language":"pt","license":"Copyright (c) 2023 Gilmara Martins de Oliveira, Alcido Elenor Wander","note":"number: 32","page":"96-122","source":"www.seer.ufal.br","title":"Mapeamento da cadeia produtiva do feijão-comum no Brasil","volume":"14","author":[{"family":"Oliveira","given":"Gilmara Martins","dropping-particle":"de"},{"family":"Wander","given":"Alcido Elenor"}],"issued":{"date-parts":[["2023",12,22]]}}},{"id":317,"uris":["http://zotero.org/users/14178593/items/TY4KLZHL"],"itemData":{"id":317,"type":"book","collection-title":"Plant science research and practices","event-place":"New York","ISBN":"978-1-5361-3546-6","language":"eng","number-of-pages":"1","publisher":"Nova Science Publishers, Inc","publisher-place":"New York","source":"K10plus ISBN","title":"Phaseolus vulgaris: cultivars, production and uses","title-short":"Phaseolus vulgaris","editor":[{"family":"Oomah","given":"B. Dave"},{"family":"Bassinello","given":"Patrícia Zaczuk"},{"family":"Campos Vega","given":"Rocio"}],"issued":{"date-parts":[["2018"]]}}}],"schema":"https://github.com/citation-style-language/schema/raw/master/csl-citation.json"} </w:instrText>
      </w:r>
      <w:r w:rsidR="006D5239" w:rsidRPr="00950D59">
        <w:rPr>
          <w:sz w:val="24"/>
          <w:szCs w:val="24"/>
        </w:rPr>
        <w:fldChar w:fldCharType="separate"/>
      </w:r>
      <w:r w:rsidR="006D5239" w:rsidRPr="00950D59">
        <w:rPr>
          <w:sz w:val="24"/>
          <w:szCs w:val="24"/>
        </w:rPr>
        <w:t>(Oliveira; Wander, 2023; Oomah; Bassinello; Campos Vega, 2018)</w:t>
      </w:r>
      <w:r w:rsidR="006D5239" w:rsidRPr="00950D59">
        <w:rPr>
          <w:sz w:val="24"/>
          <w:szCs w:val="24"/>
        </w:rPr>
        <w:fldChar w:fldCharType="end"/>
      </w:r>
      <w:r w:rsidR="00373416">
        <w:rPr>
          <w:sz w:val="24"/>
          <w:szCs w:val="24"/>
        </w:rPr>
        <w:t xml:space="preserve">. </w:t>
      </w:r>
      <w:r>
        <w:rPr>
          <w:sz w:val="24"/>
          <w:szCs w:val="24"/>
        </w:rPr>
        <w:t xml:space="preserve">Junto com o arroz, forma uma privilegiada fonte de proteínas, ferro e carboidratos. Além disso também pode ser utilizado para alimentação animal </w:t>
      </w:r>
      <w:r w:rsidR="00AE0C40" w:rsidRPr="00950D59">
        <w:rPr>
          <w:sz w:val="24"/>
          <w:szCs w:val="24"/>
        </w:rPr>
        <w:fldChar w:fldCharType="begin"/>
      </w:r>
      <w:r w:rsidR="00AE0C40" w:rsidRPr="00950D59">
        <w:rPr>
          <w:sz w:val="24"/>
          <w:szCs w:val="24"/>
        </w:rPr>
        <w:instrText xml:space="preserve"> ADDIN ZOTERO_ITEM CSL_CITATION {"citationID":"WXUoR5Zb","properties":{"formattedCitation":"(Moraes; Menelau, 2017)","plainCitation":"(Moraes; Menelau, 2017)","noteIndex":0},"citationItems":[{"id":321,"uris":["http://zotero.org/users/14178593/items/V254TEV6"],"itemData":{"id":321,"type":"article-journal","abstract":"O objetivo deste trabalho é analisar o mercado de feijão comum (Phaseolus vulgaris L.) brasileiro para verificar os avanços produtivos e as oscilações dos preços nos últimos anos que determinaram as razões para o status quo dos preços. A pesquisa é de caráter descritivo, e os dados são da Embrapa Arroz e Feijão, Conab e Agrolink. O preço da saca 60 kg foi coletado na Agrolink. Os resultados mostram que a diminuição da área plantada e os fatores climáticos influenciaram o aumento significativo do preço do feijão comum em 2015 e 2016 (31,81% de 2005–2006 a 2015–2016). Para 2017, a perspectiva é de melhorias, mas a passos lentos.","container-title":"Revista de Política Agrícola","issue":"1","journalAbbreviation":"Rev. Polit. Agric.","note":"section: Artigos Científicos","page":"81-92","title":"Análise do mercado de feijão comum","volume":"26","author":[{"family":"Moraes","given":"Elenice da Silva"},{"family":"Menelau","given":"Almir Silveira"}],"issued":{"date-parts":[["2017",8,9]]}}}],"schema":"https://github.com/citation-style-language/schema/raw/master/csl-citation.json"} </w:instrText>
      </w:r>
      <w:r w:rsidR="00AE0C40" w:rsidRPr="00950D59">
        <w:rPr>
          <w:sz w:val="24"/>
          <w:szCs w:val="24"/>
        </w:rPr>
        <w:fldChar w:fldCharType="separate"/>
      </w:r>
      <w:r w:rsidR="00AE0C40" w:rsidRPr="00950D59">
        <w:rPr>
          <w:sz w:val="24"/>
          <w:szCs w:val="24"/>
        </w:rPr>
        <w:t>(Moraes; Menelau, 2017)</w:t>
      </w:r>
      <w:r w:rsidR="00AE0C40" w:rsidRPr="00950D59">
        <w:rPr>
          <w:sz w:val="24"/>
          <w:szCs w:val="24"/>
        </w:rPr>
        <w:fldChar w:fldCharType="end"/>
      </w:r>
      <w:r w:rsidR="00AE0C40" w:rsidRPr="00950D59">
        <w:rPr>
          <w:sz w:val="24"/>
          <w:szCs w:val="24"/>
        </w:rPr>
        <w:t>.</w:t>
      </w:r>
    </w:p>
    <w:p w14:paraId="08FA2B3B" w14:textId="3CDABCB2" w:rsidR="00C32D21" w:rsidRDefault="00C32D21" w:rsidP="00946872">
      <w:pPr>
        <w:spacing w:after="120"/>
        <w:ind w:firstLine="360"/>
        <w:rPr>
          <w:sz w:val="24"/>
          <w:szCs w:val="24"/>
        </w:rPr>
      </w:pPr>
      <w:r w:rsidRPr="00B27C2E">
        <w:rPr>
          <w:sz w:val="24"/>
          <w:szCs w:val="24"/>
        </w:rPr>
        <w:t>A lei de nº 13.123, de 20 de maio de 2015</w:t>
      </w:r>
      <w:r>
        <w:rPr>
          <w:sz w:val="24"/>
          <w:szCs w:val="24"/>
        </w:rPr>
        <w:t xml:space="preserve"> sobre o Patrimônio Genético define </w:t>
      </w:r>
      <w:r w:rsidRPr="00B27C2E">
        <w:rPr>
          <w:sz w:val="24"/>
          <w:szCs w:val="24"/>
        </w:rPr>
        <w:t>“as variedades tradicionais ou crioulas como aquelas produzidas e armazenadas por comunidades tradicionais, agricultores familiares e comunidades indígenas</w:t>
      </w:r>
      <w:r w:rsidR="002F4C54">
        <w:rPr>
          <w:sz w:val="24"/>
          <w:szCs w:val="24"/>
        </w:rPr>
        <w:t xml:space="preserve">. </w:t>
      </w:r>
      <w:r>
        <w:rPr>
          <w:sz w:val="24"/>
          <w:szCs w:val="24"/>
        </w:rPr>
        <w:t xml:space="preserve">Essas variedades são muito importantes na agricultura familiar, pois para a formação das lavouras, representam insumo de baixo custo, adaptado ao cultivo de subsistência e matéria-prima saudável, que agrega e resgata saberes tradicionais, o que aumenta a biodiversidade e fortalece a segurança alimentar da família rural </w:t>
      </w:r>
      <w:r w:rsidR="00B21E83" w:rsidRPr="00950D59">
        <w:rPr>
          <w:sz w:val="24"/>
          <w:szCs w:val="24"/>
        </w:rPr>
        <w:fldChar w:fldCharType="begin"/>
      </w:r>
      <w:r w:rsidR="00B21E83" w:rsidRPr="00950D59">
        <w:rPr>
          <w:sz w:val="24"/>
          <w:szCs w:val="24"/>
        </w:rPr>
        <w:instrText xml:space="preserve"> ADDIN ZOTERO_ITEM CSL_CITATION {"citationID":"r7hDeuYA","properties":{"formattedCitation":"(Rocha et al., 2020)","plainCitation":"(Rocha et al., 2020)","noteIndex":0},"citationItems":[{"id":322,"uris":["http://zotero.org/users/14178593/items/NMPUVISW"],"itemData":{"id":322,"type":"article-journal","abstract":"&amp;lt;p&amp;gt;Muitas famílias vêm perdendo os seus valores tradicionais em decorrência do avanço cada vez maior de alimentos industrializados, que torna a cada ano as pessoas dependentes desse sistema. O presente trabalho compara o cultivo de sementes crioulas, em consórcio e monocultivo, no Instituto Federal de Educação, Ciência e Tecnologia do Rio Grande do Norte, &amp;lt;em&amp;gt;Campus&amp;lt;/em&amp;gt; Ipanguaçu, tendo o intuito de motivar a utilização desse sistema de consórcio, estimulando também o sistema de plantio sem preparo do solo e sem o uso de agrotóxicos, garantindo a produção de sementes crioulas de forma sustentável. A pesquisa enfatiza o sistema de cultivo de sementes crioulas, adaptado para a realidade do agricultor familiar, investigando a produtividade em um sistema consorciado relacionando também a um sistema de cultivo puro, no qual houve comparação de dois arranjos espaciais de consórcio e do cultivo puro de ambas as culturas (Feijão e Milho), constatando um melhor desenvolvimento e produtividade do milho em relação ao feijão, em todos os arranjos espaciais testados, e com melhor desempenho das duas culturas no consórcio, em relação ao cultivo puro. Houve concordância com algumas pesquisas já realizadas, confirmando que o plantio consorciado, trás realmente benefícios para um sistema de produção tanto de subsistência como para economia do agricultor familiar, onde, com o consórcio aproveita-se mais espaço da área, têm-se menos gastos quando comparado ao sistema convencional de produção, em monocultura. Além disso, diminui a incidência das pragas, entre outros requisitos que torna do sistema consorciado uma boa opção para o agricultor familiar que procura baixos custos e maiores rendimentos na produção.&amp;lt;/p&amp;gt;","container-title":"Brazilian Journal of Development","DOI":"10.34117/bjdv6n8-344","issue":"8","journalAbbreviation":"Braz. J. Develop.","note":"section: Original Papers","page":"58941-58950","title":"Cultivo de sementes crioulas de milho e feijão em consórcio e monocultivo em Ipanguaçu-RN / Cultivation of creole seeds of maize and beans in consortium and monoculture in Ipanguaçu-RN","volume":"6","author":[{"family":"Rocha","given":"João Paulo","dropping-particle":"da"},{"family":"Nascimento","given":"Claudeone Manoel","dropping-particle":"do"},{"family":"Silva","given":"Fernanda Gomes","dropping-particle":"da"},{"family":"Santos","given":"Gleyson Araújo","dropping-particle":"dos"},{"family":"Maciel","given":"Ana Clécia Rebouças"},{"family":"Costa","given":"Vitoria Regia Barros","dropping-particle":"da"},{"family":"Assunção","given":"Marcos Aurelio Victor","dropping-particle":"de"},{"family":"Pimentel","given":"João Vianey Fernandes"}],"issued":{"date-parts":[["2020",8,19]]}}}],"schema":"https://github.com/citation-style-language/schema/raw/master/csl-citation.json"} </w:instrText>
      </w:r>
      <w:r w:rsidR="00B21E83" w:rsidRPr="00950D59">
        <w:rPr>
          <w:sz w:val="24"/>
          <w:szCs w:val="24"/>
        </w:rPr>
        <w:fldChar w:fldCharType="separate"/>
      </w:r>
      <w:r w:rsidR="00B21E83" w:rsidRPr="00950D59">
        <w:rPr>
          <w:sz w:val="24"/>
          <w:szCs w:val="24"/>
        </w:rPr>
        <w:t>(Rocha et al., 2020)</w:t>
      </w:r>
      <w:r w:rsidR="00B21E83" w:rsidRPr="00950D59">
        <w:rPr>
          <w:sz w:val="24"/>
          <w:szCs w:val="24"/>
        </w:rPr>
        <w:fldChar w:fldCharType="end"/>
      </w:r>
      <w:r w:rsidR="00B21E83" w:rsidRPr="00950D59">
        <w:rPr>
          <w:sz w:val="24"/>
          <w:szCs w:val="24"/>
        </w:rPr>
        <w:t>.</w:t>
      </w:r>
    </w:p>
    <w:p w14:paraId="0059220C" w14:textId="02E6EE53" w:rsidR="00C32D21" w:rsidRDefault="00C32D21" w:rsidP="00946872">
      <w:pPr>
        <w:spacing w:after="120"/>
        <w:ind w:firstLine="360"/>
        <w:rPr>
          <w:sz w:val="24"/>
          <w:szCs w:val="24"/>
        </w:rPr>
      </w:pPr>
      <w:r>
        <w:rPr>
          <w:sz w:val="24"/>
          <w:szCs w:val="24"/>
        </w:rPr>
        <w:t xml:space="preserve">Contudo, é necessário garantir a qualidade dessas sementes nos espaços produtivos </w:t>
      </w:r>
      <w:r w:rsidR="00AA6B91" w:rsidRPr="00950D59">
        <w:rPr>
          <w:sz w:val="24"/>
          <w:szCs w:val="24"/>
        </w:rPr>
        <w:fldChar w:fldCharType="begin"/>
      </w:r>
      <w:r w:rsidR="00AA6B91" w:rsidRPr="00950D59">
        <w:rPr>
          <w:sz w:val="24"/>
          <w:szCs w:val="24"/>
        </w:rPr>
        <w:instrText xml:space="preserve"> ADDIN ZOTERO_ITEM CSL_CITATION {"citationID":"ksu8Pjiv","properties":{"formattedCitation":"(Santos; Silveira; Jamhour, 2019)","plainCitation":"(Santos; Silveira; Jamhour, 2019)","noteIndex":0},"citationItems":[{"id":323,"uris":["http://zotero.org/users/14178593/items/MQL9MXTV"],"itemData":{"id":323,"type":"article-journal","abstract":"O feijão é uma cultura de grande importância no país e no estado do Paraná, sendo uma fonte de renda para pequenos produtores rurais. O objetivo deste trabalho foi avaliar a qualidade física e fisiológica de sementes de feijão salvas por produtores rurais e comerciais produzidas na região sudoeste do Paraná, a fim de caracterizar a adoção desta prática quanto à sua viabilidade técnica. Foram coletados quatro lotes de sementes das cultivares ANfc 9 e IPR Tangará sendo, respectivamente, dois lotes oriundos de empresas inscritos no RENASEM e dois lotes de sementes salvas, adquiridas com agricultores que guardaram parte de sua produção de grãos para implantar a próxima safra de feijão. Após coletadas, as sementes foram levadas ao laboratório didático de análise de sementes da UTFPR, Câmpus Pato Branco/PR, onde foram realizados os seguintes testes para se avaliar a qualidade física e fisiológica das sementes: peso de mil sementes, teste de germinação e envelhecimento acelerado. A qualidade física e fisiológica apresentou um padrão de qualidade distinto entre lotes de sementes salvas e comerciais. Todos os lotes comerciais atenderam aos padrões de qualidade exigidos pela legislação. Já os lotes de sementes salvas, para ambas as cultivares, ficaram abaixo do exigido pela legislação. Com isso a produtividade de grãos será influenciada pela procedência dos lotes e pela qualidade das sementes.ATRIBUTOS DE QUALIDADE DE SEMENTES SALVAS DE FEIJÃO","container-title":"Revista Técnico-Científica","ISSN":"2358-5420","issue":"22","language":"pt","license":"Copyright (c) 2019 Revista Técnico-Científica","source":"revistatecie.crea-pr.org.br","title":"ATRIBUTOS DE QUALIDADE DE SEMENTES SALVAS DE FEIJÃO","URL":"https://revistatecie.crea-pr.org.br/index.php/revista/article/view/523","author":[{"family":"Santos","given":"Fernanda Gonçalves","dropping-particle":"dos"},{"family":"Silveira","given":"Edson Roberto"},{"family":"Jamhour","given":"Jorge"}],"accessed":{"date-parts":[["2025",8,25]]},"issued":{"date-parts":[["2019",11,14]]}}}],"schema":"https://github.com/citation-style-language/schema/raw/master/csl-citation.json"} </w:instrText>
      </w:r>
      <w:r w:rsidR="00AA6B91" w:rsidRPr="00950D59">
        <w:rPr>
          <w:sz w:val="24"/>
          <w:szCs w:val="24"/>
        </w:rPr>
        <w:fldChar w:fldCharType="separate"/>
      </w:r>
      <w:r w:rsidR="00AA6B91" w:rsidRPr="00950D59">
        <w:rPr>
          <w:sz w:val="24"/>
          <w:szCs w:val="24"/>
        </w:rPr>
        <w:t>(Santos; Silveira; Jamhour, 2019)</w:t>
      </w:r>
      <w:r w:rsidR="00AA6B91" w:rsidRPr="00950D59">
        <w:rPr>
          <w:sz w:val="24"/>
          <w:szCs w:val="24"/>
        </w:rPr>
        <w:fldChar w:fldCharType="end"/>
      </w:r>
      <w:r>
        <w:rPr>
          <w:sz w:val="24"/>
          <w:szCs w:val="24"/>
        </w:rPr>
        <w:t xml:space="preserve">. O estudo sobre a qualidade das sementes é fundamental pois esse é um dos fatores que mais exercem impacto no progresso da cultura, o uso de sementes de qualidade inferior resulta em consequências significativas nos elementos que influenciam na produção e na eficácia das plantas </w:t>
      </w:r>
      <w:r w:rsidR="008A38D1" w:rsidRPr="00950D59">
        <w:rPr>
          <w:sz w:val="24"/>
          <w:szCs w:val="24"/>
        </w:rPr>
        <w:fldChar w:fldCharType="begin"/>
      </w:r>
      <w:r w:rsidR="00D57B49" w:rsidRPr="00950D59">
        <w:rPr>
          <w:sz w:val="24"/>
          <w:szCs w:val="24"/>
        </w:rPr>
        <w:instrText xml:space="preserve"> ADDIN ZOTERO_ITEM CSL_CITATION {"citationID":"JdFeLuBf","properties":{"formattedCitation":"(Marcos-Filho, 2015)","plainCitation":"(Marcos-Filho, 2015)","noteIndex":0},"citationItems":[{"id":325,"uris":["http://zotero.org/users/14178593/items/MCQ6GCFH"],"itemData":{"id":325,"type":"book","ISBN":"978-85-64895-03-4","language":"pt-BR","publisher":"Abrates","source":"Câmara Brasileira do Livro ISBN","title":"Fisiologia de sementes de plantas cultivadas","author":[{"family":"Marcos-Filho","given":"Júlio"}],"issued":{"date-parts":[["2015",4,14]]}}}],"schema":"https://github.com/citation-style-language/schema/raw/master/csl-citation.json"} </w:instrText>
      </w:r>
      <w:r w:rsidR="008A38D1" w:rsidRPr="00950D59">
        <w:rPr>
          <w:sz w:val="24"/>
          <w:szCs w:val="24"/>
        </w:rPr>
        <w:fldChar w:fldCharType="separate"/>
      </w:r>
      <w:r w:rsidR="00D57B49" w:rsidRPr="00950D59">
        <w:rPr>
          <w:sz w:val="24"/>
          <w:szCs w:val="24"/>
        </w:rPr>
        <w:t>(Marcos-Filho, 2015)</w:t>
      </w:r>
      <w:r w:rsidR="008A38D1" w:rsidRPr="00950D59">
        <w:rPr>
          <w:sz w:val="24"/>
          <w:szCs w:val="24"/>
        </w:rPr>
        <w:fldChar w:fldCharType="end"/>
      </w:r>
      <w:r w:rsidR="008A38D1" w:rsidRPr="00950D59">
        <w:rPr>
          <w:sz w:val="24"/>
          <w:szCs w:val="24"/>
        </w:rPr>
        <w:t>.</w:t>
      </w:r>
    </w:p>
    <w:p w14:paraId="767BCEE5" w14:textId="2857FCEB" w:rsidR="00C32D21" w:rsidRDefault="00C32D21" w:rsidP="00946872">
      <w:pPr>
        <w:spacing w:after="120"/>
        <w:ind w:firstLine="360"/>
        <w:rPr>
          <w:sz w:val="24"/>
          <w:szCs w:val="24"/>
        </w:rPr>
      </w:pPr>
      <w:r>
        <w:rPr>
          <w:sz w:val="24"/>
          <w:szCs w:val="24"/>
        </w:rPr>
        <w:t xml:space="preserve">A qualidade da semente é expressa pela interação de quatro componentes: genético, físico, fisiológico e sanitário </w:t>
      </w:r>
      <w:r w:rsidR="00330F10" w:rsidRPr="00950D59">
        <w:rPr>
          <w:sz w:val="24"/>
          <w:szCs w:val="24"/>
        </w:rPr>
        <w:fldChar w:fldCharType="begin"/>
      </w:r>
      <w:r w:rsidR="00F15C69" w:rsidRPr="00950D59">
        <w:rPr>
          <w:sz w:val="24"/>
          <w:szCs w:val="24"/>
        </w:rPr>
        <w:instrText xml:space="preserve"> ADDIN ZOTERO_ITEM CSL_CITATION {"citationID":"K5ABcHnb","properties":{"formattedCitation":"(Talamini et al., 2010)","plainCitation":"(Talamini et al., 2010)","noteIndex":0},"citationItems":[{"id":327,"uris":["http://zotero.org/users/14178593/items/ERLW8E8P"],"itemData":{"id":327,"type":"article-journal","language":"pt","source":"Zotero","title":"Qualidade fisiológica e sanitária de sementes de feijão (Phaseolus vulgaris L.) produzidas por agricultores familiares em Sergipe","author":[{"family":"Talamini","given":"Viviane"},{"family":"Lima","given":"Neusa Stahlschmidt"},{"family":"Menezes","given":"Mariana Santos"},{"family":"Silva","given":"Adriano Marcio Freire"},{"family":"Sousa","given":"Ricardo Coelho","non-dropping-particle":"de"}],"issued":{"date-parts":[["2010"]]}}}],"schema":"https://github.com/citation-style-language/schema/raw/master/csl-citation.json"} </w:instrText>
      </w:r>
      <w:r w:rsidR="00330F10" w:rsidRPr="00950D59">
        <w:rPr>
          <w:sz w:val="24"/>
          <w:szCs w:val="24"/>
        </w:rPr>
        <w:fldChar w:fldCharType="separate"/>
      </w:r>
      <w:r w:rsidR="00F15C69" w:rsidRPr="00950D59">
        <w:rPr>
          <w:sz w:val="24"/>
          <w:szCs w:val="24"/>
        </w:rPr>
        <w:t>(Talamini et al., 2010)</w:t>
      </w:r>
      <w:r w:rsidR="00330F10" w:rsidRPr="00950D59">
        <w:rPr>
          <w:sz w:val="24"/>
          <w:szCs w:val="24"/>
        </w:rPr>
        <w:fldChar w:fldCharType="end"/>
      </w:r>
      <w:r>
        <w:rPr>
          <w:sz w:val="24"/>
          <w:szCs w:val="24"/>
        </w:rPr>
        <w:t xml:space="preserve">. A qualidade fisiológica está relacionada à longevidade e capacidade da semente germinar de forma vigorosa, apresentando em campo um estande vigoroso e uniforme em condições ambientais favoráveis ou não </w:t>
      </w:r>
      <w:r w:rsidR="00F15C69" w:rsidRPr="00950D59">
        <w:rPr>
          <w:sz w:val="24"/>
          <w:szCs w:val="24"/>
        </w:rPr>
        <w:fldChar w:fldCharType="begin"/>
      </w:r>
      <w:r w:rsidR="00D57B49" w:rsidRPr="00950D59">
        <w:rPr>
          <w:sz w:val="24"/>
          <w:szCs w:val="24"/>
        </w:rPr>
        <w:instrText xml:space="preserve"> ADDIN ZOTERO_ITEM CSL_CITATION {"citationID":"LxI4MUfb","properties":{"formattedCitation":"(Marcos-Filho, 2015)","plainCitation":"(Marcos-Filho, 2015)","noteIndex":0},"citationItems":[{"id":325,"uris":["http://zotero.org/users/14178593/items/MCQ6GCFH"],"itemData":{"id":325,"type":"book","ISBN":"978-85-64895-03-4","language":"pt-BR","publisher":"Abrates","source":"Câmara Brasileira do Livro ISBN","title":"Fisiologia de sementes de plantas cultivadas","author":[{"family":"Marcos-Filho","given":"Júlio"}],"issued":{"date-parts":[["2015",4,14]]}}}],"schema":"https://github.com/citation-style-language/schema/raw/master/csl-citation.json"} </w:instrText>
      </w:r>
      <w:r w:rsidR="00F15C69" w:rsidRPr="00950D59">
        <w:rPr>
          <w:sz w:val="24"/>
          <w:szCs w:val="24"/>
        </w:rPr>
        <w:fldChar w:fldCharType="separate"/>
      </w:r>
      <w:r w:rsidR="00D57B49" w:rsidRPr="00950D59">
        <w:rPr>
          <w:sz w:val="24"/>
          <w:szCs w:val="24"/>
        </w:rPr>
        <w:t>(Marcos-Filho, 2015)</w:t>
      </w:r>
      <w:r w:rsidR="00F15C69" w:rsidRPr="00950D59">
        <w:rPr>
          <w:sz w:val="24"/>
          <w:szCs w:val="24"/>
        </w:rPr>
        <w:fldChar w:fldCharType="end"/>
      </w:r>
      <w:r w:rsidR="00F15C69" w:rsidRPr="00950D59">
        <w:rPr>
          <w:sz w:val="24"/>
          <w:szCs w:val="24"/>
        </w:rPr>
        <w:t>.</w:t>
      </w:r>
    </w:p>
    <w:p w14:paraId="06BD0B4D" w14:textId="7AB68E86" w:rsidR="00C32D21" w:rsidRDefault="00C32D21" w:rsidP="00946872">
      <w:pPr>
        <w:spacing w:after="120"/>
        <w:ind w:firstLine="360"/>
        <w:rPr>
          <w:sz w:val="24"/>
          <w:szCs w:val="24"/>
        </w:rPr>
      </w:pPr>
      <w:r w:rsidRPr="009A1984">
        <w:rPr>
          <w:sz w:val="24"/>
          <w:szCs w:val="24"/>
        </w:rPr>
        <w:t xml:space="preserve">Dentre </w:t>
      </w:r>
      <w:r>
        <w:rPr>
          <w:sz w:val="24"/>
          <w:szCs w:val="24"/>
        </w:rPr>
        <w:t>os testes de vigor de sementes</w:t>
      </w:r>
      <w:r w:rsidRPr="009A1984">
        <w:rPr>
          <w:sz w:val="24"/>
          <w:szCs w:val="24"/>
        </w:rPr>
        <w:t xml:space="preserve">, destaca-se o de condutividade elétrica. Este se baseia na permeabilidade das membranas, avaliando características </w:t>
      </w:r>
      <w:r w:rsidRPr="009A1984">
        <w:rPr>
          <w:sz w:val="24"/>
          <w:szCs w:val="24"/>
        </w:rPr>
        <w:lastRenderedPageBreak/>
        <w:t xml:space="preserve">relacionadas à liberação de metabólitos durante a </w:t>
      </w:r>
      <w:proofErr w:type="spellStart"/>
      <w:r w:rsidRPr="009A1984">
        <w:rPr>
          <w:sz w:val="24"/>
          <w:szCs w:val="24"/>
        </w:rPr>
        <w:t>embebição</w:t>
      </w:r>
      <w:proofErr w:type="spellEnd"/>
      <w:r w:rsidRPr="009A1984">
        <w:rPr>
          <w:sz w:val="24"/>
          <w:szCs w:val="24"/>
        </w:rPr>
        <w:t xml:space="preserve"> das sementes </w:t>
      </w:r>
      <w:r w:rsidR="0022688B" w:rsidRPr="00950D59">
        <w:rPr>
          <w:sz w:val="24"/>
          <w:szCs w:val="24"/>
        </w:rPr>
        <w:fldChar w:fldCharType="begin"/>
      </w:r>
      <w:r w:rsidR="0022688B" w:rsidRPr="00950D59">
        <w:rPr>
          <w:sz w:val="24"/>
          <w:szCs w:val="24"/>
        </w:rPr>
        <w:instrText xml:space="preserve"> ADDIN ZOTERO_ITEM CSL_CITATION {"citationID":"I7dWpAaT","properties":{"formattedCitation":"(Barros; Marcos Filho, 1997)","plainCitation":"(Barros; Marcos Filho, 1997)","noteIndex":0},"citationItems":[{"id":328,"uris":["http://zotero.org/users/14178593/items/Y38HTN4X"],"itemData":{"id":328,"type":"article-journal","container-title":"Revista Brasileira de Sementes","DOI":"10.17801/0101-3122/rbs.v19n2p288-294","ISSN":"01013122","issue":"2","journalAbbreviation":"Rev Bras de Sementes","page":"288-294","source":"DOI.org (Crossref)","title":"Testes para avaliação rápida do vigor de sementes de soja","volume":"19","author":[{"family":"Barros","given":"A.S.R."},{"family":"Marcos Filho","given":"J."}],"issued":{"date-parts":[["1997",12,30]]}}}],"schema":"https://github.com/citation-style-language/schema/raw/master/csl-citation.json"} </w:instrText>
      </w:r>
      <w:r w:rsidR="0022688B" w:rsidRPr="00950D59">
        <w:rPr>
          <w:sz w:val="24"/>
          <w:szCs w:val="24"/>
        </w:rPr>
        <w:fldChar w:fldCharType="separate"/>
      </w:r>
      <w:r w:rsidR="0022688B" w:rsidRPr="00950D59">
        <w:rPr>
          <w:sz w:val="24"/>
          <w:szCs w:val="24"/>
        </w:rPr>
        <w:t>(Barros; Marcos Filho, 1997)</w:t>
      </w:r>
      <w:r w:rsidR="0022688B" w:rsidRPr="00950D59">
        <w:rPr>
          <w:sz w:val="24"/>
          <w:szCs w:val="24"/>
        </w:rPr>
        <w:fldChar w:fldCharType="end"/>
      </w:r>
      <w:r w:rsidR="0022688B" w:rsidRPr="00950D59">
        <w:rPr>
          <w:sz w:val="24"/>
          <w:szCs w:val="24"/>
        </w:rPr>
        <w:t>.</w:t>
      </w:r>
      <w:r w:rsidR="0022688B">
        <w:rPr>
          <w:sz w:val="24"/>
          <w:szCs w:val="24"/>
        </w:rPr>
        <w:t xml:space="preserve"> </w:t>
      </w:r>
      <w:r>
        <w:rPr>
          <w:sz w:val="24"/>
          <w:szCs w:val="24"/>
        </w:rPr>
        <w:t xml:space="preserve">Quanto maior o valor da condutividade elétrica, menor é o vigor das sementes, pois a maior quantidade de lixiviados no exsudato do teste de condutividade elétrica ocorre em função das perdas da integridade das membranas celulares </w:t>
      </w:r>
      <w:r w:rsidR="006D76AD" w:rsidRPr="00950D59">
        <w:rPr>
          <w:sz w:val="24"/>
          <w:szCs w:val="24"/>
        </w:rPr>
        <w:fldChar w:fldCharType="begin"/>
      </w:r>
      <w:r w:rsidR="006D76AD" w:rsidRPr="00950D59">
        <w:rPr>
          <w:sz w:val="24"/>
          <w:szCs w:val="24"/>
        </w:rPr>
        <w:instrText xml:space="preserve"> ADDIN ZOTERO_ITEM CSL_CITATION {"citationID":"sZVts5BW","properties":{"formattedCitation":"(Binotti et al., 2008)","plainCitation":"(Binotti et al., 2008)","noteIndex":0},"citationItems":[{"id":329,"uris":["http://zotero.org/users/14178593/items/KYP58I4G"],"itemData":{"id":329,"type":"article-journal","abstract":"A qualidade das sementes colocadas à disposição do produtor é de grande importância para obtenção de altas produtividades. O objetivo do trabalho foi avaliar os efeitos causados por diferentes períodos de envelhecimento artificial na lixiviação de açúcares, proteínas, aminoácidos e íons no exsudato do teste de condutividade elétrica, e suas relações com a germinação e vigor de sementes de feijão da cultivar Pérola. O trabalho foi conduzido no Laboratório da FE de análises de sementes - Unesp Campus de Ilha Solteira. O delineamento experimental foi o inteiramente casualizados, sendo que as sementes foram submetidas a oito períodos de envelhecimento acelerado (zero, 24, 48, 72, 96, 120, 144 e 168 horas). A germinação e vigor de sementes de feijão cultivar Pérola e a quantidade de lixiviados no teste da condutividade elétrica são influenciados pelo aumento do período de exposição ao envelhecimento acelerado. A partir de 72 horas há uma queda expressiva na germinação e vigor, além do elevado aumento no conteúdo de lixiviados, sendo estes constituídos em grande parte de aminoácidos, açúcares, íons de potássio e fósforo. O aumento das quantidades de lixiviados está relacionado com queda na germinação e vigor das sementes.","container-title":"Acta Scientiarum. Agronomy","DOI":"https://doi.org/10.1590/S1807-86212008000200014","ISSN":"1679-9275, 1807-8621","journalAbbreviation":"Acta Sci., Agron.","language":"pt","note":"publisher: Editora da Universidade Estadual de Maringá - EDUEM","page":"247-254","source":"SciELO","title":"Efeito do período de envelhecimento acelerado no teste de condutividade elétrica e na qualidade fisiológica de sementes de feijão","volume":"30","author":[{"family":"Binotti","given":"Flávio Ferreira da Silva"},{"family":"Haga","given":"Kuniko Iwamoto"},{"family":"Cardoso","given":"Eliana Duarte"},{"family":"Alves","given":"Charline Zaratin"},{"family":"Sá","given":"Marco Eustáquio","dropping-particle":"de"},{"family":"Arf","given":"Orivaldo"}],"issued":{"date-parts":[["2008"]]}}}],"schema":"https://github.com/citation-style-language/schema/raw/master/csl-citation.json"} </w:instrText>
      </w:r>
      <w:r w:rsidR="006D76AD" w:rsidRPr="00950D59">
        <w:rPr>
          <w:sz w:val="24"/>
          <w:szCs w:val="24"/>
        </w:rPr>
        <w:fldChar w:fldCharType="separate"/>
      </w:r>
      <w:r w:rsidR="006D76AD" w:rsidRPr="00950D59">
        <w:rPr>
          <w:sz w:val="24"/>
          <w:szCs w:val="24"/>
        </w:rPr>
        <w:t>(Binotti et al., 2008)</w:t>
      </w:r>
      <w:r w:rsidR="006D76AD" w:rsidRPr="00950D59">
        <w:rPr>
          <w:sz w:val="24"/>
          <w:szCs w:val="24"/>
        </w:rPr>
        <w:fldChar w:fldCharType="end"/>
      </w:r>
      <w:r w:rsidR="006D76AD" w:rsidRPr="00950D59">
        <w:rPr>
          <w:sz w:val="24"/>
          <w:szCs w:val="24"/>
        </w:rPr>
        <w:t>.</w:t>
      </w:r>
    </w:p>
    <w:p w14:paraId="1D673E40" w14:textId="3D920681" w:rsidR="00C32D21" w:rsidRDefault="00C32D21" w:rsidP="00946872">
      <w:pPr>
        <w:spacing w:after="120"/>
        <w:ind w:firstLine="360"/>
        <w:rPr>
          <w:sz w:val="24"/>
          <w:szCs w:val="24"/>
        </w:rPr>
      </w:pPr>
      <w:r>
        <w:rPr>
          <w:sz w:val="24"/>
          <w:szCs w:val="24"/>
        </w:rPr>
        <w:t xml:space="preserve">Diversos fatores podem influenciar os resultados do teste de condutividade elétrica, dentre os quais destacam-se o genótipo da semente, a desestruturação das membranas, tamanho e número das sementes da amostra, temperatura e o tempo de </w:t>
      </w:r>
      <w:proofErr w:type="spellStart"/>
      <w:r>
        <w:rPr>
          <w:sz w:val="24"/>
          <w:szCs w:val="24"/>
        </w:rPr>
        <w:t>embebição</w:t>
      </w:r>
      <w:proofErr w:type="spellEnd"/>
      <w:r>
        <w:rPr>
          <w:sz w:val="24"/>
          <w:szCs w:val="24"/>
        </w:rPr>
        <w:t xml:space="preserve"> das sementes </w:t>
      </w:r>
      <w:r w:rsidR="00133A6B" w:rsidRPr="00950D59">
        <w:rPr>
          <w:sz w:val="24"/>
          <w:szCs w:val="24"/>
        </w:rPr>
        <w:fldChar w:fldCharType="begin"/>
      </w:r>
      <w:r w:rsidR="00133A6B" w:rsidRPr="00950D59">
        <w:rPr>
          <w:sz w:val="24"/>
          <w:szCs w:val="24"/>
        </w:rPr>
        <w:instrText xml:space="preserve"> ADDIN ZOTERO_ITEM CSL_CITATION {"citationID":"jI04FD1W","properties":{"formattedCitation":"(Castilho et al., 2019)","plainCitation":"(Castilho et al., 2019)","noteIndex":0},"citationItems":[{"id":331,"uris":["http://zotero.org/users/14178593/items/LGK4I3MW"],"itemData":{"id":331,"type":"article-journal","abstract":"The vigor tests were developed to compensate for deficiencies in the germination test. This study aimed to evaluate the use of electrical conductivity in the physiological potential of chickpeas seeds. Four seed lots of cultivar ‘BRS Aleppo, were tested for germination, first count germination, seedling emergence, speed of emergence and accelerated aging. For the electrical conductivity were studied variations in the volume of water (50 and 75mL), temperature (25 and 30oC), number of seeds (25 and 50) and imbibed (1, 2, 4, 6, 12, 18 and 24 hours). The electrical conductivity test was efficient for the chickpeas seeds, and the soaking time can be reduced to four hours, but using 50 seeds failed to differentiate between batches. The volume of 25mL and 30°C was the most favorable condition for the consistent ordering of the lots on the force. The best conditions for the electrical conductivity in chickpeas seed are the use of 25 seeds in 50mL of water for four hours at 30oC.","container-title":"Revista de Ciências Agrárias","DOI":"10.19084/rca.17449","ISSN":"2183-041X","issue":"3","language":"pt","license":"Direitos de Autor (c) 2019 Revista de Ciências Agrárias","page":"691-697","source":"revistas.rcaap.pt","title":"Teste de condutividade elétrica na avaliação do potencial fisiológico de sementes de grão de bico","volume":"42","author":[{"family":"Castilho","given":"Itala Menegon"},{"family":"Catão","given":"Hugo Cesar Rodrigues Moreira"},{"family":"Caixeta","given":"Franciele"},{"family":"Marinke","given":"Luana de Souza"},{"family":"Martins","given":"Gabriel Zanardo"},{"family":"Menezes","given":"João Batista de Campos"}],"issued":{"date-parts":[["2019",8,12]]}}}],"schema":"https://github.com/citation-style-language/schema/raw/master/csl-citation.json"} </w:instrText>
      </w:r>
      <w:r w:rsidR="00133A6B" w:rsidRPr="00950D59">
        <w:rPr>
          <w:sz w:val="24"/>
          <w:szCs w:val="24"/>
        </w:rPr>
        <w:fldChar w:fldCharType="separate"/>
      </w:r>
      <w:r w:rsidR="00133A6B" w:rsidRPr="00950D59">
        <w:rPr>
          <w:sz w:val="24"/>
          <w:szCs w:val="24"/>
        </w:rPr>
        <w:t>(Castilho et al., 2019)</w:t>
      </w:r>
      <w:r w:rsidR="00133A6B" w:rsidRPr="00950D59">
        <w:rPr>
          <w:sz w:val="24"/>
          <w:szCs w:val="24"/>
        </w:rPr>
        <w:fldChar w:fldCharType="end"/>
      </w:r>
      <w:r w:rsidR="00133A6B" w:rsidRPr="00950D59">
        <w:rPr>
          <w:sz w:val="24"/>
          <w:szCs w:val="24"/>
        </w:rPr>
        <w:t>.</w:t>
      </w:r>
    </w:p>
    <w:p w14:paraId="249650E6" w14:textId="61C0C453" w:rsidR="00C32D21" w:rsidRDefault="00C32D21" w:rsidP="00CF59B9">
      <w:pPr>
        <w:spacing w:after="120"/>
        <w:ind w:firstLine="360"/>
        <w:rPr>
          <w:sz w:val="24"/>
          <w:szCs w:val="24"/>
        </w:rPr>
      </w:pPr>
      <w:r>
        <w:rPr>
          <w:sz w:val="24"/>
          <w:szCs w:val="24"/>
        </w:rPr>
        <w:t>O presente trabalho teve o objetivo de avaliar fisiologicamente 8 variedades de feijão crioulo através dos testes de condutividade elétrica e de germinação.</w:t>
      </w:r>
      <w:bookmarkEnd w:id="0"/>
    </w:p>
    <w:p w14:paraId="2976F601" w14:textId="7A33E8BE" w:rsidR="00EB0BB6" w:rsidRPr="008703BB" w:rsidRDefault="00FE0E22" w:rsidP="00946872">
      <w:pPr>
        <w:pStyle w:val="Ttulo1"/>
        <w:spacing w:before="0"/>
      </w:pPr>
      <w:r w:rsidRPr="008703BB">
        <w:t>METODOLOGIA</w:t>
      </w:r>
    </w:p>
    <w:p w14:paraId="28596487" w14:textId="77777777" w:rsidR="00FD4E51" w:rsidRDefault="00FD4E51" w:rsidP="00946872">
      <w:pPr>
        <w:spacing w:after="120"/>
        <w:ind w:firstLine="720"/>
        <w:rPr>
          <w:sz w:val="24"/>
          <w:szCs w:val="24"/>
        </w:rPr>
      </w:pPr>
      <w:r>
        <w:rPr>
          <w:sz w:val="24"/>
          <w:szCs w:val="24"/>
        </w:rPr>
        <w:t>O experimento foi conduzido no Laboratório de Sementes do departamento de agronomia da Universidade Federal Rural de Pernambuco (UFRPE), localizada em Dois Irmãos, Recife/PE.</w:t>
      </w:r>
    </w:p>
    <w:p w14:paraId="71136D20" w14:textId="6E6B3641" w:rsidR="00FD4E51" w:rsidRDefault="00FD4E51" w:rsidP="00CF59B9">
      <w:pPr>
        <w:spacing w:after="120"/>
        <w:ind w:firstLine="720"/>
        <w:rPr>
          <w:sz w:val="24"/>
          <w:szCs w:val="24"/>
        </w:rPr>
      </w:pPr>
      <w:r>
        <w:rPr>
          <w:sz w:val="24"/>
          <w:szCs w:val="24"/>
        </w:rPr>
        <w:t xml:space="preserve">Para a realização do presente trabalho foram avaliadas 8 variedades de feijão crioulo, todos eles obtidos em parceria com o Instituto Agronômico de Pernambuco-IPA e armazenadas em câmara fria no Laboratório de Sementes da UFRPE. Sendo identificados como G1- Vagem Roxa, G2- São João, G3- Mouro Crioulo, G4- Macanudo, G5- Feijão Branco, G6- Carioca Paraguaio, G7- </w:t>
      </w:r>
      <w:proofErr w:type="spellStart"/>
      <w:r>
        <w:rPr>
          <w:sz w:val="24"/>
          <w:szCs w:val="24"/>
        </w:rPr>
        <w:t>Quixabinha</w:t>
      </w:r>
      <w:proofErr w:type="spellEnd"/>
      <w:r>
        <w:rPr>
          <w:sz w:val="24"/>
          <w:szCs w:val="24"/>
        </w:rPr>
        <w:t>, G8- Canaã.</w:t>
      </w:r>
    </w:p>
    <w:p w14:paraId="3422ECA6" w14:textId="1F53E8B7" w:rsidR="00FD4E51" w:rsidRDefault="00FD4E51" w:rsidP="00946872">
      <w:pPr>
        <w:spacing w:after="120"/>
        <w:ind w:firstLine="720"/>
        <w:rPr>
          <w:sz w:val="24"/>
          <w:szCs w:val="24"/>
        </w:rPr>
      </w:pPr>
      <w:r>
        <w:rPr>
          <w:sz w:val="24"/>
          <w:szCs w:val="24"/>
        </w:rPr>
        <w:t>2.1 TEOR DE UMIDADE (%)</w:t>
      </w:r>
    </w:p>
    <w:p w14:paraId="597B041C" w14:textId="2D2ACBE8" w:rsidR="00FD4E51" w:rsidRDefault="00FD4E51" w:rsidP="00946872">
      <w:pPr>
        <w:spacing w:after="120"/>
        <w:ind w:firstLine="720"/>
        <w:rPr>
          <w:sz w:val="24"/>
          <w:szCs w:val="24"/>
        </w:rPr>
      </w:pPr>
      <w:r>
        <w:rPr>
          <w:sz w:val="24"/>
          <w:szCs w:val="24"/>
        </w:rPr>
        <w:t xml:space="preserve">A verificação da umidade das sementes foi realizada utilizando o método da estufa a 105°C, com 50 sementes em cada repetição e 4 repetições por genótipo seguindo as recomendações das Regras de Análise de Sementes - RAS </w:t>
      </w:r>
      <w:r w:rsidR="00D2047B">
        <w:rPr>
          <w:sz w:val="24"/>
          <w:szCs w:val="24"/>
        </w:rPr>
        <w:fldChar w:fldCharType="begin"/>
      </w:r>
      <w:r w:rsidR="00D2047B">
        <w:rPr>
          <w:sz w:val="24"/>
          <w:szCs w:val="24"/>
        </w:rPr>
        <w:instrText xml:space="preserve"> ADDIN ZOTERO_ITEM CSL_CITATION {"citationID":"Y8XXF7o7","properties":{"formattedCitation":"(Brasil, 2009)","plainCitation":"(Brasil, 2009)","noteIndex":0},"citationItems":[{"id":334,"uris":["http://zotero.org/users/14178593/items/XXFIF8HW"],"itemData":{"id":334,"type":"book","ISBN":"978-85-99851-70-8","language":"pt","publisher":"Mapa","source":"Câmara Brasileira do Livro ISBN","title":"Regras Para Análise De Sementes","author":[{"family":"Brasil","given":""}],"issued":{"date-parts":[["2009",6,30]]}}}],"schema":"https://github.com/citation-style-language/schema/raw/master/csl-citation.json"} </w:instrText>
      </w:r>
      <w:r w:rsidR="00D2047B">
        <w:rPr>
          <w:sz w:val="24"/>
          <w:szCs w:val="24"/>
        </w:rPr>
        <w:fldChar w:fldCharType="separate"/>
      </w:r>
      <w:r w:rsidR="00D2047B" w:rsidRPr="00D2047B">
        <w:rPr>
          <w:rFonts w:cs="Arial"/>
          <w:sz w:val="24"/>
        </w:rPr>
        <w:t>(Brasil, 2009)</w:t>
      </w:r>
      <w:r w:rsidR="00D2047B">
        <w:rPr>
          <w:sz w:val="24"/>
          <w:szCs w:val="24"/>
        </w:rPr>
        <w:fldChar w:fldCharType="end"/>
      </w:r>
      <w:r w:rsidR="00D2047B">
        <w:rPr>
          <w:sz w:val="24"/>
          <w:szCs w:val="24"/>
        </w:rPr>
        <w:t xml:space="preserve">. </w:t>
      </w:r>
      <w:r>
        <w:rPr>
          <w:sz w:val="24"/>
          <w:szCs w:val="24"/>
        </w:rPr>
        <w:t>O teor de umidade das sementes através da fórmula:</w:t>
      </w:r>
    </w:p>
    <w:p w14:paraId="5F598195" w14:textId="77777777" w:rsidR="00FD4E51" w:rsidRPr="00A26E54" w:rsidRDefault="00FD4E51" w:rsidP="00946872">
      <w:pPr>
        <w:spacing w:after="120"/>
        <w:ind w:firstLine="720"/>
        <w:rPr>
          <w:sz w:val="24"/>
          <w:szCs w:val="24"/>
        </w:rPr>
      </w:pPr>
      <m:oMathPara>
        <m:oMath>
          <m:r>
            <w:rPr>
              <w:rFonts w:ascii="Cambria Math" w:hAnsi="Cambria Math"/>
              <w:sz w:val="24"/>
              <w:szCs w:val="24"/>
            </w:rPr>
            <m:t xml:space="preserve">% de Umidade </m:t>
          </m:r>
          <m:d>
            <m:dPr>
              <m:ctrlPr>
                <w:rPr>
                  <w:rFonts w:ascii="Cambria Math" w:hAnsi="Cambria Math"/>
                  <w:i/>
                  <w:sz w:val="24"/>
                  <w:szCs w:val="24"/>
                </w:rPr>
              </m:ctrlPr>
            </m:dPr>
            <m:e>
              <m:r>
                <w:rPr>
                  <w:rFonts w:ascii="Cambria Math" w:hAnsi="Cambria Math"/>
                  <w:sz w:val="24"/>
                  <w:szCs w:val="24"/>
                </w:rPr>
                <m:t>U</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P-p</m:t>
              </m:r>
            </m:num>
            <m:den>
              <m:r>
                <w:rPr>
                  <w:rFonts w:ascii="Cambria Math" w:hAnsi="Cambria Math"/>
                  <w:sz w:val="24"/>
                  <w:szCs w:val="24"/>
                </w:rPr>
                <m:t>P-t</m:t>
              </m:r>
            </m:den>
          </m:f>
          <m:r>
            <w:rPr>
              <w:rFonts w:ascii="Cambria Math" w:hAnsi="Cambria Math"/>
              <w:sz w:val="24"/>
              <w:szCs w:val="24"/>
            </w:rPr>
            <m:t xml:space="preserve"> x 100</m:t>
          </m:r>
        </m:oMath>
      </m:oMathPara>
    </w:p>
    <w:p w14:paraId="0B2DB6DD" w14:textId="2B55CD9D" w:rsidR="00FD4E51" w:rsidRDefault="00FD4E51" w:rsidP="00CF59B9">
      <w:pPr>
        <w:widowControl w:val="0"/>
        <w:spacing w:after="120"/>
        <w:ind w:firstLine="720"/>
        <w:rPr>
          <w:sz w:val="24"/>
          <w:szCs w:val="24"/>
        </w:rPr>
      </w:pPr>
      <w:r>
        <w:rPr>
          <w:sz w:val="24"/>
          <w:szCs w:val="24"/>
        </w:rPr>
        <w:t>Onde: P- Peso inicial (peso do recipiente e sua tampa + sementes úmidas); p- Peso final (peso do recipiente e sua tampa + sementes secas); t- tara (peso do recipiente e sua tampa).</w:t>
      </w:r>
    </w:p>
    <w:p w14:paraId="0430EFCB" w14:textId="77777777" w:rsidR="00FD4E51" w:rsidRDefault="00FD4E51" w:rsidP="00946872">
      <w:pPr>
        <w:widowControl w:val="0"/>
        <w:spacing w:after="120"/>
        <w:ind w:firstLine="720"/>
        <w:rPr>
          <w:sz w:val="24"/>
          <w:szCs w:val="24"/>
        </w:rPr>
      </w:pPr>
      <w:r>
        <w:rPr>
          <w:sz w:val="24"/>
          <w:szCs w:val="24"/>
        </w:rPr>
        <w:t xml:space="preserve">2.2 TESTE DE CONDUTIVIDADE ELÉTRICA </w:t>
      </w:r>
    </w:p>
    <w:p w14:paraId="0AAAA7EC" w14:textId="2DD8CBF1" w:rsidR="00FD4E51" w:rsidRPr="00F55983" w:rsidRDefault="00FD4E51" w:rsidP="00946872">
      <w:pPr>
        <w:widowControl w:val="0"/>
        <w:spacing w:after="120"/>
        <w:ind w:firstLine="720"/>
        <w:rPr>
          <w:sz w:val="24"/>
          <w:szCs w:val="24"/>
        </w:rPr>
      </w:pPr>
      <w:r>
        <w:rPr>
          <w:sz w:val="24"/>
          <w:szCs w:val="24"/>
        </w:rPr>
        <w:t xml:space="preserve">Foram utilizadas 4 repetições para cada genótipo, cada uma utilizando 50 sementes obtidas ao acaso da fração de sementes puras e depois adicionando-as em copos plásticos contendo 75ml de água deionizada alocadas em câmara de germinação do tipo BOD por um período de 24 horas a 25ºC, conforme </w:t>
      </w:r>
      <w:r w:rsidRPr="002B1047">
        <w:rPr>
          <w:color w:val="000000" w:themeColor="text1"/>
          <w:sz w:val="24"/>
          <w:szCs w:val="24"/>
        </w:rPr>
        <w:t xml:space="preserve">recomendado por </w:t>
      </w:r>
      <w:r w:rsidR="00611517">
        <w:rPr>
          <w:color w:val="000000" w:themeColor="text1"/>
          <w:sz w:val="24"/>
          <w:szCs w:val="24"/>
        </w:rPr>
        <w:fldChar w:fldCharType="begin"/>
      </w:r>
      <w:r w:rsidR="00CD780A">
        <w:rPr>
          <w:color w:val="000000" w:themeColor="text1"/>
          <w:sz w:val="24"/>
          <w:szCs w:val="24"/>
        </w:rPr>
        <w:instrText xml:space="preserve"> ADDIN ZOTERO_ITEM CSL_CITATION {"citationID":"JfL2nG2K","properties":{"formattedCitation":"(Silva et al., 2014)","plainCitation":"(Silva et al., 2014)","dontUpdate":true,"noteIndex":0},"citationItems":[{"id":335,"uris":["http://zotero.org/users/14178593/items/VVZF8E72"],"itemData":{"id":335,"type":"article-journal","abstract":"Objetivou-se com este trabalho avaliar a qualidade fisiológica de sementes de quatro cultivares de feijão-comum (Phaseolus vulgaris L.), produzidas nas condições edafoclimáticas de Janaúba, Norte de Minas Gerais, antes e após o armazenamento. O experimento foi conduzido no Laboratório de Análise de Sementes da Universidade Estadual de Montes\nClaros (Unimontes), no período de agosto de 2011 a setembro de 2012. O delineamento experimental utilizado foi inteiramente casualisado, em esquema fatorial 2 x 4, sendo dois períodos de armazenamento e quatro cultivares de feijão (Ouro Vermelho, Ouro Negro, Madrepérola e Manteigão vermelho), com quatro repetições. Após a colheita e aos doze meses de armazenamento, as sementes foram avaliadas quanto ao teor de água, massa de mil sementes, à germinação e ao vigor (primeira contagem de germinação, emergência de plântulas, e envelhecimento acelerado). Após doze meses de armazenamento, apenas as sementes da cultivar Madrepérola mantiveram uma porcentagem de germinação superior a 80%. As cultivares Ouro Vermelho e Ouro Negro apresentaram reduções de 32 e 29% na germinação, respectivamente, indicando que, possivelmente, as condições de\narmazenamento do presente trabalho não foram eficientes na conservação da qualidade fisiológica dessas cultivares. A qualidade fisiológica das sementes da cultivar Madrepérola não é influenciada pelo período de armazenamento. O armazenamento\ndurante doze meses reduz a qualidade fisiológica das cultivares Ouro Vermelho e Ouro Negro. Independente do período de armazenamento, as sementes da cultivar Manteigão Vermelho apresentam qualidade fisiológica inferior.","container-title":"REVISTA AGRO@MBIENTE ON-LINE","DOI":"10.18227/1982-8470ragro.v8i1.1346","ISSN":"1982-8470","issue":"1","language":"pt","license":"Copyright (c)","page":"97-103","source":"revista.ufrr.br","title":"Qualidade fisiológica e armazenamento de sementes de feijão-comum produzidas no norte de Minas Gerais.","volume":"8","author":[{"family":"Silva","given":"Márcio Marques","dropping-particle":"da"},{"family":"Souza","given":"Huarlen Ruan Trindade","dropping-particle":"de"},{"family":"David","given":"Andréia Márcia Santos de Souza"},{"family":"Santos","given":"Luana Maria","dropping-particle":"dos"},{"family":"Silva","given":"Renato Fernandes"},{"family":"Amaro","given":"Hugo Tiago Ribeiro"}],"issued":{"date-parts":[["2014",5,2]]}}}],"schema":"https://github.com/citation-style-language/schema/raw/master/csl-citation.json"} </w:instrText>
      </w:r>
      <w:r w:rsidR="00611517">
        <w:rPr>
          <w:color w:val="000000" w:themeColor="text1"/>
          <w:sz w:val="24"/>
          <w:szCs w:val="24"/>
        </w:rPr>
        <w:fldChar w:fldCharType="separate"/>
      </w:r>
      <w:r w:rsidR="00611517" w:rsidRPr="00611517">
        <w:rPr>
          <w:rFonts w:cs="Arial"/>
          <w:sz w:val="24"/>
        </w:rPr>
        <w:t xml:space="preserve">Silva et al. </w:t>
      </w:r>
      <w:r w:rsidR="00516BF8">
        <w:rPr>
          <w:rFonts w:cs="Arial"/>
          <w:sz w:val="24"/>
        </w:rPr>
        <w:t>(</w:t>
      </w:r>
      <w:r w:rsidR="00611517" w:rsidRPr="00611517">
        <w:rPr>
          <w:rFonts w:cs="Arial"/>
          <w:sz w:val="24"/>
        </w:rPr>
        <w:t>2014)</w:t>
      </w:r>
      <w:r w:rsidR="00611517">
        <w:rPr>
          <w:color w:val="000000" w:themeColor="text1"/>
          <w:sz w:val="24"/>
          <w:szCs w:val="24"/>
        </w:rPr>
        <w:fldChar w:fldCharType="end"/>
      </w:r>
    </w:p>
    <w:p w14:paraId="64274DEF" w14:textId="3C905AE3" w:rsidR="00FD4E51" w:rsidRDefault="00FD4E51" w:rsidP="00CF59B9">
      <w:pPr>
        <w:widowControl w:val="0"/>
        <w:spacing w:after="120"/>
        <w:ind w:firstLine="720"/>
        <w:rPr>
          <w:sz w:val="24"/>
          <w:szCs w:val="24"/>
        </w:rPr>
      </w:pPr>
      <w:r>
        <w:rPr>
          <w:sz w:val="24"/>
          <w:szCs w:val="24"/>
        </w:rPr>
        <w:t xml:space="preserve">Para a leitura das condutividades elétricas foi utilizado o </w:t>
      </w:r>
      <w:proofErr w:type="spellStart"/>
      <w:r>
        <w:rPr>
          <w:sz w:val="24"/>
          <w:szCs w:val="24"/>
        </w:rPr>
        <w:t>condutivímetro</w:t>
      </w:r>
      <w:proofErr w:type="spellEnd"/>
      <w:r>
        <w:rPr>
          <w:sz w:val="24"/>
          <w:szCs w:val="24"/>
        </w:rPr>
        <w:t xml:space="preserve"> de bolso da AKSO-AK51 previamente calibrado com solução padrão. </w:t>
      </w:r>
    </w:p>
    <w:p w14:paraId="12A728D2" w14:textId="6ECDB1B5" w:rsidR="00FD4E51" w:rsidRDefault="00FD4E51" w:rsidP="00946872">
      <w:pPr>
        <w:widowControl w:val="0"/>
        <w:spacing w:after="120"/>
        <w:ind w:firstLine="720"/>
        <w:rPr>
          <w:sz w:val="24"/>
          <w:szCs w:val="24"/>
        </w:rPr>
      </w:pPr>
      <w:r>
        <w:rPr>
          <w:sz w:val="24"/>
          <w:szCs w:val="24"/>
        </w:rPr>
        <w:t>2.3 TESTE DE GERMINAÇÃO</w:t>
      </w:r>
    </w:p>
    <w:p w14:paraId="31D5BBC9" w14:textId="61320022" w:rsidR="00FD4E51" w:rsidRDefault="00FD4E51" w:rsidP="00946872">
      <w:pPr>
        <w:widowControl w:val="0"/>
        <w:spacing w:after="120"/>
        <w:ind w:firstLine="720"/>
        <w:rPr>
          <w:sz w:val="24"/>
          <w:szCs w:val="24"/>
        </w:rPr>
      </w:pPr>
      <w:r>
        <w:rPr>
          <w:sz w:val="24"/>
          <w:szCs w:val="24"/>
        </w:rPr>
        <w:t xml:space="preserve">Para o teste de germinação foi utilizado o método entre papel com folhas de </w:t>
      </w:r>
      <w:proofErr w:type="spellStart"/>
      <w:r>
        <w:rPr>
          <w:sz w:val="24"/>
          <w:szCs w:val="24"/>
        </w:rPr>
        <w:t>Germitest</w:t>
      </w:r>
      <w:proofErr w:type="spellEnd"/>
      <w:r>
        <w:rPr>
          <w:sz w:val="24"/>
          <w:szCs w:val="24"/>
        </w:rPr>
        <w:t xml:space="preserve"> conforme recomendado pela RAS para a cultura. Foram realizadas 4 repetições para cada genótipo, cada repetição utilizando 25 sementes selecionadas ao acaso. Os testes foram avaliados no quinto e no nono dia pós montagem do experimento </w:t>
      </w:r>
      <w:r w:rsidR="00516BF8" w:rsidRPr="00950D59">
        <w:rPr>
          <w:sz w:val="24"/>
          <w:szCs w:val="24"/>
        </w:rPr>
        <w:fldChar w:fldCharType="begin"/>
      </w:r>
      <w:r w:rsidR="00516BF8" w:rsidRPr="00950D59">
        <w:rPr>
          <w:sz w:val="24"/>
          <w:szCs w:val="24"/>
        </w:rPr>
        <w:instrText xml:space="preserve"> ADDIN ZOTERO_ITEM CSL_CITATION {"citationID":"F72aKY0z","properties":{"formattedCitation":"(Brasil, 2009)","plainCitation":"(Brasil, 2009)","noteIndex":0},"citationItems":[{"id":334,"uris":["http://zotero.org/users/14178593/items/XXFIF8HW"],"itemData":{"id":334,"type":"book","ISBN":"978-85-99851-70-8","language":"pt","publisher":"Mapa","source":"Câmara Brasileira do Livro ISBN","title":"Regras Para Análise De Sementes","author":[{"family":"Brasil","given":""}],"issued":{"date-parts":[["2009",6,30]]}}}],"schema":"https://github.com/citation-style-language/schema/raw/master/csl-citation.json"} </w:instrText>
      </w:r>
      <w:r w:rsidR="00516BF8" w:rsidRPr="00950D59">
        <w:rPr>
          <w:sz w:val="24"/>
          <w:szCs w:val="24"/>
        </w:rPr>
        <w:fldChar w:fldCharType="separate"/>
      </w:r>
      <w:r w:rsidR="00516BF8" w:rsidRPr="00950D59">
        <w:rPr>
          <w:sz w:val="24"/>
          <w:szCs w:val="24"/>
        </w:rPr>
        <w:t>(Brasil, 2009)</w:t>
      </w:r>
      <w:r w:rsidR="00516BF8" w:rsidRPr="00950D59">
        <w:rPr>
          <w:sz w:val="24"/>
          <w:szCs w:val="24"/>
        </w:rPr>
        <w:fldChar w:fldCharType="end"/>
      </w:r>
      <w:r w:rsidR="00516BF8" w:rsidRPr="00950D59">
        <w:rPr>
          <w:sz w:val="24"/>
          <w:szCs w:val="24"/>
        </w:rPr>
        <w:t>.</w:t>
      </w:r>
    </w:p>
    <w:p w14:paraId="67649515" w14:textId="4D890416" w:rsidR="00FF3E44" w:rsidRPr="00FF3E44" w:rsidRDefault="00FD4E51" w:rsidP="00CF59B9">
      <w:pPr>
        <w:pStyle w:val="texto"/>
        <w:spacing w:before="0"/>
        <w:rPr>
          <w:lang w:eastAsia="hu-HU"/>
        </w:rPr>
      </w:pPr>
      <w:r w:rsidRPr="00460735">
        <w:rPr>
          <w:szCs w:val="24"/>
        </w:rPr>
        <w:lastRenderedPageBreak/>
        <w:t xml:space="preserve">Com os valores de condutividade elétrica e porcentagem de germinação obtidos, os dados foram submetidos à análise estatística conforme o delineamento inteiramente </w:t>
      </w:r>
      <w:proofErr w:type="spellStart"/>
      <w:r w:rsidRPr="00460735">
        <w:rPr>
          <w:szCs w:val="24"/>
        </w:rPr>
        <w:t>casualizado</w:t>
      </w:r>
      <w:proofErr w:type="spellEnd"/>
      <w:r w:rsidRPr="00460735">
        <w:rPr>
          <w:szCs w:val="24"/>
        </w:rPr>
        <w:t xml:space="preserve"> (DIC), utilizando-se o software Genes </w:t>
      </w:r>
      <w:r w:rsidR="000923D7" w:rsidRPr="00950D59">
        <w:rPr>
          <w:szCs w:val="24"/>
        </w:rPr>
        <w:fldChar w:fldCharType="begin"/>
      </w:r>
      <w:r w:rsidR="000923D7" w:rsidRPr="00950D59">
        <w:rPr>
          <w:szCs w:val="24"/>
        </w:rPr>
        <w:instrText xml:space="preserve"> ADDIN ZOTERO_ITEM CSL_CITATION {"citationID":"0EqAxg2A","properties":{"formattedCitation":"(Cruz, 2013)","plainCitation":"(Cruz, 2013)","noteIndex":0},"citationItems":[{"id":337,"uris":["http://zotero.org/users/14178593/items/PVPZXY7P"],"itemData":{"id":337,"type":"article-journal","abstract":"GENES is a software package used for data analysis and processing with different biometric models and is essential in genetic studies applied to plant and animal breeding. It allows parameter estimation to analyze biological phenomena and is fundamental for the decision-making process and predictions of success and viability of selection strategies. The program can be downloaded from the Internet (http://www.ufv.br/dbg/genes/genes.htm or http://www.ufv.br/dbg/biodata.htm) and is available in Portuguese, English and Spanish. Specific literature (http://www.livraria.ufv.br/) and a set of sample files are also provided, making GENES easy to use. The software is integrated into the programs MS Word, MS Excel and Paint, ensuring simplicity and effectiveness in data import and export of results, figures and data. It is also compatible with the free software R and Matlab, through the supply of useful scripts available for complementary analyses in different areas, including genome wide selection, prediction of breeding values and use of neural networks in genetic improvement.","container-title":"Acta Scientiarum. Agronomy","DOI":"https://doi.org/10.4025/actasciagron.v35i3.21251","ISSN":"1679-9275, 1807-8621","journalAbbreviation":"Acta Sci., Agron.","language":"en","note":"publisher: Editora da Universidade Estadual de Maringá - EDUEM","page":"271-276","source":"SciELO","title":"GENES: a software package for analysis in experimental statistics and quantitative genetics","title-short":"GENES","volume":"35","author":[{"family":"Cruz","given":"Cosme Damião"}],"issued":{"date-parts":[["2013"]]}}}],"schema":"https://github.com/citation-style-language/schema/raw/master/csl-citation.json"} </w:instrText>
      </w:r>
      <w:r w:rsidR="000923D7" w:rsidRPr="00950D59">
        <w:rPr>
          <w:szCs w:val="24"/>
        </w:rPr>
        <w:fldChar w:fldCharType="separate"/>
      </w:r>
      <w:r w:rsidR="000923D7" w:rsidRPr="00950D59">
        <w:rPr>
          <w:szCs w:val="24"/>
        </w:rPr>
        <w:t>(Cruz, 2013)</w:t>
      </w:r>
      <w:r w:rsidR="000923D7" w:rsidRPr="00950D59">
        <w:rPr>
          <w:szCs w:val="24"/>
        </w:rPr>
        <w:fldChar w:fldCharType="end"/>
      </w:r>
      <w:r w:rsidRPr="00460735">
        <w:rPr>
          <w:szCs w:val="24"/>
        </w:rPr>
        <w:t>. As médias foram comparadas e agrupadas pelo teste de Scott-</w:t>
      </w:r>
      <w:proofErr w:type="spellStart"/>
      <w:r w:rsidRPr="00460735">
        <w:rPr>
          <w:szCs w:val="24"/>
        </w:rPr>
        <w:t>Knott</w:t>
      </w:r>
      <w:proofErr w:type="spellEnd"/>
      <w:r w:rsidRPr="00460735">
        <w:rPr>
          <w:szCs w:val="24"/>
        </w:rPr>
        <w:t>, ao nível de 5% de significância</w:t>
      </w:r>
    </w:p>
    <w:p w14:paraId="62C94B91" w14:textId="77777777" w:rsidR="004D2E5D" w:rsidRDefault="004D2E5D" w:rsidP="00946872">
      <w:pPr>
        <w:pStyle w:val="Ttulo1"/>
        <w:spacing w:before="0"/>
      </w:pPr>
      <w:r w:rsidRPr="008703BB">
        <w:t>RESULTADOS E DISCUSSÃO</w:t>
      </w:r>
    </w:p>
    <w:p w14:paraId="40C8AC82" w14:textId="025C0E72" w:rsidR="004A56BD" w:rsidRPr="00D76A56" w:rsidRDefault="004A56BD" w:rsidP="00FE7D23">
      <w:pPr>
        <w:widowControl w:val="0"/>
        <w:spacing w:after="120" w:line="259" w:lineRule="auto"/>
        <w:ind w:right="136" w:firstLine="720"/>
        <w:rPr>
          <w:rFonts w:eastAsia="Calibri" w:cs="Arial"/>
          <w:sz w:val="24"/>
          <w:szCs w:val="24"/>
          <w:lang w:eastAsia="pt-BR"/>
        </w:rPr>
      </w:pPr>
      <w:r w:rsidRPr="00D76A56">
        <w:rPr>
          <w:rFonts w:eastAsia="Calibri" w:cs="Arial"/>
          <w:sz w:val="24"/>
          <w:szCs w:val="24"/>
          <w:lang w:eastAsia="pt-BR"/>
        </w:rPr>
        <w:t xml:space="preserve">A determinação inicial do teor de umidade das sementes revelou valores médios dentro da faixa considerada adequada (10 a 14%), de acordo com </w:t>
      </w:r>
      <w:r w:rsidR="00AF1256" w:rsidRPr="00950D59">
        <w:rPr>
          <w:rFonts w:eastAsia="Calibri" w:cs="Arial"/>
          <w:sz w:val="24"/>
          <w:szCs w:val="24"/>
          <w:lang w:eastAsia="pt-BR"/>
        </w:rPr>
        <w:fldChar w:fldCharType="begin"/>
      </w:r>
      <w:r w:rsidR="00CD780A" w:rsidRPr="00950D59">
        <w:rPr>
          <w:rFonts w:eastAsia="Calibri" w:cs="Arial"/>
          <w:sz w:val="24"/>
          <w:szCs w:val="24"/>
          <w:lang w:eastAsia="pt-BR"/>
        </w:rPr>
        <w:instrText xml:space="preserve"> ADDIN ZOTERO_ITEM CSL_CITATION {"citationID":"3TsYcqIj","properties":{"formattedCitation":"(Marcos-Filho, 2015)","plainCitation":"(Marcos-Filho, 2015)","dontUpdate":true,"noteIndex":0},"citationItems":[{"id":325,"uris":["http://zotero.org/users/14178593/items/MCQ6GCFH"],"itemData":{"id":325,"type":"book","ISBN":"978-85-64895-03-4","language":"pt-BR","publisher":"Abrates","source":"Câmara Brasileira do Livro ISBN","title":"Fisiologia de sementes de plantas cultivadas","author":[{"family":"Marcos-Filho","given":"Júlio"}],"issued":{"date-parts":[["2015",4,14]]}}}],"schema":"https://github.com/citation-style-language/schema/raw/master/csl-citation.json"} </w:instrText>
      </w:r>
      <w:r w:rsidR="00AF1256" w:rsidRPr="00950D59">
        <w:rPr>
          <w:rFonts w:eastAsia="Calibri" w:cs="Arial"/>
          <w:sz w:val="24"/>
          <w:szCs w:val="24"/>
          <w:lang w:eastAsia="pt-BR"/>
        </w:rPr>
        <w:fldChar w:fldCharType="separate"/>
      </w:r>
      <w:r w:rsidR="00D57B49" w:rsidRPr="00950D59">
        <w:rPr>
          <w:rFonts w:eastAsia="Calibri" w:cs="Arial"/>
          <w:sz w:val="24"/>
          <w:szCs w:val="24"/>
          <w:lang w:eastAsia="pt-BR"/>
        </w:rPr>
        <w:t>Marcos-Filho (2015)</w:t>
      </w:r>
      <w:r w:rsidR="00AF1256" w:rsidRPr="00950D59">
        <w:rPr>
          <w:rFonts w:eastAsia="Calibri" w:cs="Arial"/>
          <w:sz w:val="24"/>
          <w:szCs w:val="24"/>
          <w:lang w:eastAsia="pt-BR"/>
        </w:rPr>
        <w:fldChar w:fldCharType="end"/>
      </w:r>
      <w:r w:rsidR="00AF1256" w:rsidRPr="00950D59">
        <w:rPr>
          <w:rFonts w:eastAsia="Calibri" w:cs="Arial"/>
          <w:sz w:val="24"/>
          <w:szCs w:val="24"/>
          <w:lang w:eastAsia="pt-BR"/>
        </w:rPr>
        <w:t>.</w:t>
      </w:r>
      <w:r w:rsidRPr="00D76A56">
        <w:rPr>
          <w:rFonts w:eastAsia="Calibri" w:cs="Arial"/>
          <w:sz w:val="24"/>
          <w:szCs w:val="24"/>
          <w:lang w:eastAsia="pt-BR"/>
        </w:rPr>
        <w:t xml:space="preserve"> Isso garante condições experimentais consistentes, evitando a necessidade de ajustes prévios antes da condução dos testes fisiológicos.</w:t>
      </w:r>
    </w:p>
    <w:p w14:paraId="4F4865A3" w14:textId="232EAB50" w:rsidR="00960847" w:rsidRDefault="00CF4107" w:rsidP="00946872">
      <w:pPr>
        <w:widowControl w:val="0"/>
        <w:spacing w:after="120" w:line="259" w:lineRule="auto"/>
        <w:ind w:right="137"/>
        <w:rPr>
          <w:rFonts w:eastAsia="Calibri" w:cs="Arial"/>
          <w:sz w:val="24"/>
          <w:szCs w:val="24"/>
          <w:lang w:eastAsia="pt-BR"/>
        </w:rPr>
      </w:pPr>
      <w:r w:rsidRPr="00D76A56">
        <w:rPr>
          <w:rFonts w:eastAsia="Calibri" w:cs="Arial"/>
          <w:sz w:val="24"/>
          <w:szCs w:val="24"/>
          <w:lang w:eastAsia="pt-BR"/>
        </w:rPr>
        <w:tab/>
      </w:r>
      <w:r w:rsidR="00A40A02" w:rsidRPr="00D76A56">
        <w:rPr>
          <w:rFonts w:eastAsia="Calibri" w:cs="Arial"/>
          <w:sz w:val="24"/>
          <w:szCs w:val="24"/>
          <w:lang w:eastAsia="pt-BR"/>
        </w:rPr>
        <w:t xml:space="preserve">A análise de variância (Tabela 1) demonstrou efeito significativo dos genótipos tanto para condutividade elétrica quanto para germinação pelo teste F a 1% de probabilidade. Esse resultado evidencia a alta variabilidade existente entre os genótipos crioulos avaliados, aspecto já relatado em outros trabalhos com feijão comum </w:t>
      </w:r>
      <w:r w:rsidR="006C655E" w:rsidRPr="00950D59">
        <w:rPr>
          <w:rFonts w:eastAsia="Calibri" w:cs="Arial"/>
          <w:sz w:val="24"/>
          <w:szCs w:val="24"/>
          <w:lang w:eastAsia="pt-BR"/>
        </w:rPr>
        <w:fldChar w:fldCharType="begin"/>
      </w:r>
      <w:r w:rsidR="006C655E" w:rsidRPr="00950D59">
        <w:rPr>
          <w:rFonts w:eastAsia="Calibri" w:cs="Arial"/>
          <w:sz w:val="24"/>
          <w:szCs w:val="24"/>
          <w:lang w:eastAsia="pt-BR"/>
        </w:rPr>
        <w:instrText xml:space="preserve"> ADDIN ZOTERO_ITEM CSL_CITATION {"citationID":"yVkUIrCk","properties":{"formattedCitation":"(Souza et al., 2023)","plainCitation":"(Souza et al., 2023)","noteIndex":0},"citationItems":[{"id":339,"uris":["http://zotero.org/users/14178593/items/TB6N8DBT"],"itemData":{"id":339,"type":"article-journal","abstract":"Creole seeds are considered a local heritage because of their natural biological ability to adapt to different environments. Maintenance of seed vigor has been a challenge for farmers, often because of prolonged droughts and/or lack of technical assistance, making it difficult to renew seed vigor. The objective of this study was to evaluate the morphophysiological characteristics of native seeds of Phaseolus vulgaris genotypes. Seeds were provided by the custodian of the Creole community seed bank in the municipality of Piranhas, AL. The following were evaluated: weight of one thousand seeds (PMS g), water content (TA%), germination index (IG%), germination speed index (IVG), seedling length (CP cm), and seedling dry mass (MSP g). Scott Knott was used at 5% probability, and all analyses followed the Rules for Seed Analysis. For water content, the varieties ranged from 6.9% to 11.78% moisture. For PMS, the genotypes ranged from 351 to 123.5 g. In terms of germination, the bean genotypes presented 29 to 85% and one presented 100% dead seeds. The seeds were stored with the recommended water content, and the Creole genotypes showed great diversity in their sizes, a factor that impacts storage and planting planning. For varieties that presented germination values below 70%, it must be observed whether it is related to a specific factor of a crop and/or the storage conditions and time. Black presented good averages for all morphophysiological characteristics.","container-title":"REVISTA DELOS","DOI":"10.55905/rdelosv16.n48-001","ISSN":"1988-5245","issue":"48","language":"en","page":"2988-3001","source":"ojs.revistadelos.com","title":"Morphophysiology of creol seeds in genotypes of Phaseolus vulgaris L.","volume":"16","author":[{"family":"Souza","given":"Luís Fernando Santos"},{"family":"Marques","given":"Fábio José"},{"family":"Costa","given":"Kleyton Danilo da Silva"},{"family":"Carvalho","given":"Rejane Rodrigues da Costa","dropping-particle":"e"},{"family":"Souza","given":"Kátia Barbosa"},{"family":"Nascimento","given":"Thâmara Pereria","dropping-particle":"do"}],"issued":{"date-parts":[["2023",10,11]]}}}],"schema":"https://github.com/citation-style-language/schema/raw/master/csl-citation.json"} </w:instrText>
      </w:r>
      <w:r w:rsidR="006C655E" w:rsidRPr="00950D59">
        <w:rPr>
          <w:rFonts w:eastAsia="Calibri" w:cs="Arial"/>
          <w:sz w:val="24"/>
          <w:szCs w:val="24"/>
          <w:lang w:eastAsia="pt-BR"/>
        </w:rPr>
        <w:fldChar w:fldCharType="separate"/>
      </w:r>
      <w:r w:rsidR="006C655E" w:rsidRPr="00950D59">
        <w:rPr>
          <w:rFonts w:eastAsia="Calibri" w:cs="Arial"/>
          <w:sz w:val="24"/>
          <w:szCs w:val="24"/>
          <w:lang w:eastAsia="pt-BR"/>
        </w:rPr>
        <w:t>(Souza et al., 2023)</w:t>
      </w:r>
      <w:r w:rsidR="006C655E" w:rsidRPr="00950D59">
        <w:rPr>
          <w:rFonts w:eastAsia="Calibri" w:cs="Arial"/>
          <w:sz w:val="24"/>
          <w:szCs w:val="24"/>
          <w:lang w:eastAsia="pt-BR"/>
        </w:rPr>
        <w:fldChar w:fldCharType="end"/>
      </w:r>
      <w:r w:rsidR="006C655E" w:rsidRPr="00950D59">
        <w:rPr>
          <w:rFonts w:eastAsia="Calibri" w:cs="Arial"/>
          <w:sz w:val="24"/>
          <w:szCs w:val="24"/>
          <w:lang w:eastAsia="pt-BR"/>
        </w:rPr>
        <w:t>.</w:t>
      </w:r>
      <w:r w:rsidR="006C655E">
        <w:rPr>
          <w:rFonts w:eastAsia="Calibri" w:cs="Arial"/>
          <w:sz w:val="24"/>
          <w:szCs w:val="24"/>
          <w:lang w:eastAsia="pt-BR"/>
        </w:rPr>
        <w:t xml:space="preserve"> </w:t>
      </w:r>
      <w:r w:rsidR="00A40A02" w:rsidRPr="00D76A56">
        <w:rPr>
          <w:rFonts w:eastAsia="Calibri" w:cs="Arial"/>
          <w:sz w:val="24"/>
          <w:szCs w:val="24"/>
          <w:lang w:eastAsia="pt-BR"/>
        </w:rPr>
        <w:t>Essa diversidade genética reforça o potencial de utilização desses materiais em programas de conservação e melhoramento.</w:t>
      </w:r>
    </w:p>
    <w:p w14:paraId="3608AAD4" w14:textId="5721D9C6" w:rsidR="00960847" w:rsidRPr="00CF4107" w:rsidRDefault="00960847" w:rsidP="00960847">
      <w:pPr>
        <w:pStyle w:val="Legenda"/>
        <w:keepNext/>
        <w:spacing w:before="0" w:after="120"/>
        <w:ind w:left="0" w:hanging="142"/>
        <w:jc w:val="center"/>
        <w:rPr>
          <w:i w:val="0"/>
          <w:iCs w:val="0"/>
          <w:szCs w:val="20"/>
          <w:lang w:val="pt-BR"/>
        </w:rPr>
      </w:pPr>
      <w:r w:rsidRPr="00CF4107">
        <w:rPr>
          <w:i w:val="0"/>
          <w:iCs w:val="0"/>
          <w:szCs w:val="20"/>
          <w:lang w:val="pt-BR"/>
        </w:rPr>
        <w:t xml:space="preserve">Tabela </w:t>
      </w:r>
      <w:r>
        <w:rPr>
          <w:i w:val="0"/>
          <w:iCs w:val="0"/>
          <w:szCs w:val="20"/>
        </w:rPr>
        <w:fldChar w:fldCharType="begin"/>
      </w:r>
      <w:r w:rsidRPr="00CF4107">
        <w:rPr>
          <w:i w:val="0"/>
          <w:iCs w:val="0"/>
          <w:szCs w:val="20"/>
          <w:lang w:val="pt-BR"/>
        </w:rPr>
        <w:instrText xml:space="preserve"> SEQ Tabela \* ARABIC </w:instrText>
      </w:r>
      <w:r>
        <w:rPr>
          <w:i w:val="0"/>
          <w:iCs w:val="0"/>
          <w:szCs w:val="20"/>
        </w:rPr>
        <w:fldChar w:fldCharType="separate"/>
      </w:r>
      <w:r w:rsidRPr="00CF4107">
        <w:rPr>
          <w:i w:val="0"/>
          <w:iCs w:val="0"/>
          <w:noProof/>
          <w:szCs w:val="20"/>
          <w:lang w:val="pt-BR"/>
        </w:rPr>
        <w:t>1</w:t>
      </w:r>
      <w:r>
        <w:rPr>
          <w:i w:val="0"/>
          <w:iCs w:val="0"/>
          <w:szCs w:val="20"/>
        </w:rPr>
        <w:fldChar w:fldCharType="end"/>
      </w:r>
      <w:r w:rsidRPr="00CF4107">
        <w:rPr>
          <w:i w:val="0"/>
          <w:iCs w:val="0"/>
          <w:szCs w:val="20"/>
          <w:lang w:val="pt-BR"/>
        </w:rPr>
        <w:t xml:space="preserve"> - Resumo da análise de variância para condutividade elétrica e germinação em genótipos crioulos de feijão comum (</w:t>
      </w:r>
      <w:proofErr w:type="spellStart"/>
      <w:r w:rsidRPr="00CF4107">
        <w:rPr>
          <w:i w:val="0"/>
          <w:iCs w:val="0"/>
          <w:szCs w:val="20"/>
          <w:lang w:val="pt-BR"/>
        </w:rPr>
        <w:t>Phaseolus</w:t>
      </w:r>
      <w:proofErr w:type="spellEnd"/>
      <w:r w:rsidRPr="00CF4107">
        <w:rPr>
          <w:i w:val="0"/>
          <w:iCs w:val="0"/>
          <w:szCs w:val="20"/>
          <w:lang w:val="pt-BR"/>
        </w:rPr>
        <w:t xml:space="preserve"> </w:t>
      </w:r>
      <w:proofErr w:type="spellStart"/>
      <w:r w:rsidRPr="00CF4107">
        <w:rPr>
          <w:i w:val="0"/>
          <w:iCs w:val="0"/>
          <w:szCs w:val="20"/>
          <w:lang w:val="pt-BR"/>
        </w:rPr>
        <w:t>vulgaris</w:t>
      </w:r>
      <w:proofErr w:type="spellEnd"/>
      <w:r w:rsidRPr="00CF4107">
        <w:rPr>
          <w:i w:val="0"/>
          <w:iCs w:val="0"/>
          <w:szCs w:val="20"/>
          <w:lang w:val="pt-BR"/>
        </w:rPr>
        <w:t xml:space="preserve"> L.)</w:t>
      </w:r>
    </w:p>
    <w:tbl>
      <w:tblPr>
        <w:tblStyle w:val="Tabelacomgrade"/>
        <w:tblW w:w="0" w:type="auto"/>
        <w:tblInd w:w="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9"/>
        <w:gridCol w:w="1772"/>
        <w:gridCol w:w="1781"/>
        <w:gridCol w:w="1773"/>
      </w:tblGrid>
      <w:tr w:rsidR="00960847" w:rsidRPr="00A03E86" w14:paraId="1252DDDF" w14:textId="77777777" w:rsidTr="00492282">
        <w:tc>
          <w:tcPr>
            <w:tcW w:w="1779" w:type="dxa"/>
            <w:tcBorders>
              <w:top w:val="single" w:sz="4" w:space="0" w:color="auto"/>
              <w:bottom w:val="single" w:sz="4" w:space="0" w:color="auto"/>
            </w:tcBorders>
          </w:tcPr>
          <w:p w14:paraId="058E4582" w14:textId="77777777" w:rsidR="00960847" w:rsidRPr="00A03E86" w:rsidRDefault="00960847" w:rsidP="00492282">
            <w:pPr>
              <w:widowControl w:val="0"/>
              <w:ind w:right="153"/>
              <w:rPr>
                <w:sz w:val="24"/>
                <w:szCs w:val="24"/>
              </w:rPr>
            </w:pPr>
            <w:r w:rsidRPr="00A03E86">
              <w:rPr>
                <w:sz w:val="24"/>
                <w:szCs w:val="24"/>
              </w:rPr>
              <w:t>FV</w:t>
            </w:r>
          </w:p>
        </w:tc>
        <w:tc>
          <w:tcPr>
            <w:tcW w:w="1772" w:type="dxa"/>
            <w:tcBorders>
              <w:top w:val="single" w:sz="4" w:space="0" w:color="auto"/>
              <w:bottom w:val="single" w:sz="4" w:space="0" w:color="auto"/>
            </w:tcBorders>
            <w:vAlign w:val="center"/>
          </w:tcPr>
          <w:p w14:paraId="3E0D526F" w14:textId="77777777" w:rsidR="00960847" w:rsidRPr="00A03E86" w:rsidRDefault="00960847" w:rsidP="00492282">
            <w:pPr>
              <w:widowControl w:val="0"/>
              <w:ind w:right="153"/>
              <w:jc w:val="center"/>
              <w:rPr>
                <w:sz w:val="24"/>
                <w:szCs w:val="24"/>
              </w:rPr>
            </w:pPr>
          </w:p>
        </w:tc>
        <w:tc>
          <w:tcPr>
            <w:tcW w:w="3554" w:type="dxa"/>
            <w:gridSpan w:val="2"/>
            <w:tcBorders>
              <w:top w:val="single" w:sz="4" w:space="0" w:color="auto"/>
              <w:bottom w:val="single" w:sz="4" w:space="0" w:color="auto"/>
            </w:tcBorders>
            <w:vAlign w:val="center"/>
          </w:tcPr>
          <w:p w14:paraId="20204DBC" w14:textId="77777777" w:rsidR="00960847" w:rsidRPr="00A03E86" w:rsidRDefault="00960847" w:rsidP="00492282">
            <w:pPr>
              <w:widowControl w:val="0"/>
              <w:ind w:right="153"/>
              <w:jc w:val="center"/>
              <w:rPr>
                <w:sz w:val="24"/>
                <w:szCs w:val="24"/>
              </w:rPr>
            </w:pPr>
            <w:r w:rsidRPr="00A03E86">
              <w:rPr>
                <w:sz w:val="24"/>
                <w:szCs w:val="24"/>
              </w:rPr>
              <w:t>QM</w:t>
            </w:r>
          </w:p>
        </w:tc>
      </w:tr>
      <w:tr w:rsidR="00960847" w:rsidRPr="00A03E86" w14:paraId="02FDD1F4" w14:textId="77777777" w:rsidTr="00492282">
        <w:tc>
          <w:tcPr>
            <w:tcW w:w="1779" w:type="dxa"/>
            <w:tcBorders>
              <w:top w:val="single" w:sz="4" w:space="0" w:color="auto"/>
              <w:bottom w:val="single" w:sz="4" w:space="0" w:color="auto"/>
            </w:tcBorders>
          </w:tcPr>
          <w:p w14:paraId="10166CD0" w14:textId="77777777" w:rsidR="00960847" w:rsidRPr="00A03E86" w:rsidRDefault="00960847" w:rsidP="00492282">
            <w:pPr>
              <w:widowControl w:val="0"/>
              <w:ind w:right="153"/>
              <w:rPr>
                <w:sz w:val="24"/>
                <w:szCs w:val="24"/>
              </w:rPr>
            </w:pPr>
          </w:p>
        </w:tc>
        <w:tc>
          <w:tcPr>
            <w:tcW w:w="1772" w:type="dxa"/>
            <w:tcBorders>
              <w:top w:val="single" w:sz="4" w:space="0" w:color="auto"/>
              <w:bottom w:val="single" w:sz="4" w:space="0" w:color="auto"/>
            </w:tcBorders>
          </w:tcPr>
          <w:p w14:paraId="47590EE6" w14:textId="77777777" w:rsidR="00960847" w:rsidRPr="00A03E86" w:rsidRDefault="00960847" w:rsidP="00492282">
            <w:pPr>
              <w:widowControl w:val="0"/>
              <w:ind w:right="153"/>
              <w:rPr>
                <w:sz w:val="24"/>
                <w:szCs w:val="24"/>
              </w:rPr>
            </w:pPr>
            <w:r w:rsidRPr="00A03E86">
              <w:rPr>
                <w:sz w:val="24"/>
                <w:szCs w:val="24"/>
              </w:rPr>
              <w:t>GL</w:t>
            </w:r>
          </w:p>
        </w:tc>
        <w:tc>
          <w:tcPr>
            <w:tcW w:w="1781" w:type="dxa"/>
            <w:tcBorders>
              <w:top w:val="single" w:sz="4" w:space="0" w:color="auto"/>
              <w:bottom w:val="single" w:sz="4" w:space="0" w:color="auto"/>
            </w:tcBorders>
          </w:tcPr>
          <w:p w14:paraId="3E9D7541" w14:textId="77777777" w:rsidR="00960847" w:rsidRPr="00A03E86" w:rsidRDefault="00960847" w:rsidP="00492282">
            <w:pPr>
              <w:widowControl w:val="0"/>
              <w:ind w:right="153"/>
              <w:rPr>
                <w:sz w:val="24"/>
                <w:szCs w:val="24"/>
              </w:rPr>
            </w:pPr>
            <w:r w:rsidRPr="00A03E86">
              <w:rPr>
                <w:sz w:val="24"/>
                <w:szCs w:val="24"/>
              </w:rPr>
              <w:t>CE</w:t>
            </w:r>
          </w:p>
        </w:tc>
        <w:tc>
          <w:tcPr>
            <w:tcW w:w="1773" w:type="dxa"/>
            <w:tcBorders>
              <w:top w:val="single" w:sz="4" w:space="0" w:color="auto"/>
              <w:bottom w:val="single" w:sz="4" w:space="0" w:color="auto"/>
            </w:tcBorders>
          </w:tcPr>
          <w:p w14:paraId="39A82770" w14:textId="690D9FDF" w:rsidR="00960847" w:rsidRPr="00A03E86" w:rsidRDefault="00960847" w:rsidP="00492282">
            <w:pPr>
              <w:widowControl w:val="0"/>
              <w:ind w:right="153"/>
              <w:rPr>
                <w:sz w:val="24"/>
                <w:szCs w:val="24"/>
              </w:rPr>
            </w:pPr>
            <w:r w:rsidRPr="00A03E86">
              <w:rPr>
                <w:sz w:val="24"/>
                <w:szCs w:val="24"/>
              </w:rPr>
              <w:t>G</w:t>
            </w:r>
            <w:r w:rsidR="00FD5FDA">
              <w:rPr>
                <w:sz w:val="24"/>
                <w:szCs w:val="24"/>
              </w:rPr>
              <w:t xml:space="preserve"> </w:t>
            </w:r>
            <w:r w:rsidRPr="00A03E86">
              <w:rPr>
                <w:sz w:val="24"/>
                <w:szCs w:val="24"/>
              </w:rPr>
              <w:t>(%)</w:t>
            </w:r>
          </w:p>
        </w:tc>
      </w:tr>
      <w:tr w:rsidR="00960847" w:rsidRPr="00A03E86" w14:paraId="6C0C86A3" w14:textId="77777777" w:rsidTr="00492282">
        <w:tc>
          <w:tcPr>
            <w:tcW w:w="1779" w:type="dxa"/>
            <w:tcBorders>
              <w:top w:val="single" w:sz="4" w:space="0" w:color="auto"/>
            </w:tcBorders>
          </w:tcPr>
          <w:p w14:paraId="5E6C1E15" w14:textId="77777777" w:rsidR="00960847" w:rsidRPr="00A03E86" w:rsidRDefault="00960847" w:rsidP="00492282">
            <w:pPr>
              <w:widowControl w:val="0"/>
              <w:ind w:right="153"/>
              <w:rPr>
                <w:sz w:val="24"/>
                <w:szCs w:val="24"/>
              </w:rPr>
            </w:pPr>
            <w:r w:rsidRPr="00A03E86">
              <w:rPr>
                <w:sz w:val="24"/>
                <w:szCs w:val="24"/>
              </w:rPr>
              <w:t>Genótipo</w:t>
            </w:r>
          </w:p>
        </w:tc>
        <w:tc>
          <w:tcPr>
            <w:tcW w:w="1772" w:type="dxa"/>
            <w:tcBorders>
              <w:top w:val="single" w:sz="4" w:space="0" w:color="auto"/>
            </w:tcBorders>
          </w:tcPr>
          <w:p w14:paraId="74CAFE6B" w14:textId="77777777" w:rsidR="00960847" w:rsidRPr="00A03E86" w:rsidRDefault="00960847" w:rsidP="00492282">
            <w:pPr>
              <w:widowControl w:val="0"/>
              <w:ind w:right="153"/>
              <w:rPr>
                <w:sz w:val="24"/>
                <w:szCs w:val="24"/>
              </w:rPr>
            </w:pPr>
            <w:r w:rsidRPr="00A03E86">
              <w:rPr>
                <w:sz w:val="24"/>
                <w:szCs w:val="24"/>
              </w:rPr>
              <w:t>7</w:t>
            </w:r>
          </w:p>
        </w:tc>
        <w:tc>
          <w:tcPr>
            <w:tcW w:w="1781" w:type="dxa"/>
            <w:tcBorders>
              <w:top w:val="single" w:sz="4" w:space="0" w:color="auto"/>
            </w:tcBorders>
          </w:tcPr>
          <w:p w14:paraId="2A8F4A34" w14:textId="77777777" w:rsidR="00960847" w:rsidRPr="00A03E86" w:rsidRDefault="00960847" w:rsidP="00492282">
            <w:pPr>
              <w:widowControl w:val="0"/>
              <w:ind w:right="153"/>
              <w:rPr>
                <w:sz w:val="24"/>
                <w:szCs w:val="24"/>
              </w:rPr>
            </w:pPr>
            <w:r w:rsidRPr="00A03E86">
              <w:rPr>
                <w:sz w:val="24"/>
                <w:szCs w:val="24"/>
              </w:rPr>
              <w:t>336,261**</w:t>
            </w:r>
          </w:p>
        </w:tc>
        <w:tc>
          <w:tcPr>
            <w:tcW w:w="1773" w:type="dxa"/>
            <w:tcBorders>
              <w:top w:val="single" w:sz="4" w:space="0" w:color="auto"/>
            </w:tcBorders>
          </w:tcPr>
          <w:p w14:paraId="561E8621" w14:textId="77777777" w:rsidR="00960847" w:rsidRPr="00A03E86" w:rsidRDefault="00960847" w:rsidP="00492282">
            <w:pPr>
              <w:widowControl w:val="0"/>
              <w:ind w:right="153"/>
              <w:rPr>
                <w:sz w:val="24"/>
                <w:szCs w:val="24"/>
              </w:rPr>
            </w:pPr>
            <w:r w:rsidRPr="00A03E86">
              <w:rPr>
                <w:sz w:val="24"/>
                <w:szCs w:val="24"/>
              </w:rPr>
              <w:t>54,214**</w:t>
            </w:r>
          </w:p>
        </w:tc>
      </w:tr>
      <w:tr w:rsidR="00960847" w:rsidRPr="00A03E86" w14:paraId="10136F7A" w14:textId="77777777" w:rsidTr="00492282">
        <w:tc>
          <w:tcPr>
            <w:tcW w:w="1779" w:type="dxa"/>
          </w:tcPr>
          <w:p w14:paraId="37961593" w14:textId="77777777" w:rsidR="00960847" w:rsidRPr="00A03E86" w:rsidRDefault="00960847" w:rsidP="00492282">
            <w:pPr>
              <w:widowControl w:val="0"/>
              <w:ind w:right="153"/>
              <w:rPr>
                <w:sz w:val="24"/>
                <w:szCs w:val="24"/>
              </w:rPr>
            </w:pPr>
            <w:r w:rsidRPr="00A03E86">
              <w:rPr>
                <w:sz w:val="24"/>
                <w:szCs w:val="24"/>
              </w:rPr>
              <w:t>Resíduo</w:t>
            </w:r>
          </w:p>
        </w:tc>
        <w:tc>
          <w:tcPr>
            <w:tcW w:w="1772" w:type="dxa"/>
          </w:tcPr>
          <w:p w14:paraId="13C673B5" w14:textId="77777777" w:rsidR="00960847" w:rsidRPr="00A03E86" w:rsidRDefault="00960847" w:rsidP="00492282">
            <w:pPr>
              <w:widowControl w:val="0"/>
              <w:ind w:right="153"/>
              <w:rPr>
                <w:sz w:val="24"/>
                <w:szCs w:val="24"/>
              </w:rPr>
            </w:pPr>
            <w:r w:rsidRPr="00A03E86">
              <w:rPr>
                <w:sz w:val="24"/>
                <w:szCs w:val="24"/>
              </w:rPr>
              <w:t>24</w:t>
            </w:r>
          </w:p>
        </w:tc>
        <w:tc>
          <w:tcPr>
            <w:tcW w:w="1781" w:type="dxa"/>
          </w:tcPr>
          <w:p w14:paraId="3F51AF49" w14:textId="77777777" w:rsidR="00960847" w:rsidRPr="00A03E86" w:rsidRDefault="00960847" w:rsidP="00492282">
            <w:pPr>
              <w:widowControl w:val="0"/>
              <w:ind w:right="153"/>
              <w:rPr>
                <w:sz w:val="24"/>
                <w:szCs w:val="24"/>
              </w:rPr>
            </w:pPr>
            <w:r w:rsidRPr="00A03E86">
              <w:rPr>
                <w:sz w:val="24"/>
                <w:szCs w:val="24"/>
              </w:rPr>
              <w:t>18,286</w:t>
            </w:r>
          </w:p>
        </w:tc>
        <w:tc>
          <w:tcPr>
            <w:tcW w:w="1773" w:type="dxa"/>
          </w:tcPr>
          <w:p w14:paraId="3BBE56C4" w14:textId="77777777" w:rsidR="00960847" w:rsidRPr="00A03E86" w:rsidRDefault="00960847" w:rsidP="00492282">
            <w:pPr>
              <w:widowControl w:val="0"/>
              <w:ind w:right="153"/>
              <w:rPr>
                <w:sz w:val="24"/>
                <w:szCs w:val="24"/>
              </w:rPr>
            </w:pPr>
            <w:r w:rsidRPr="00A03E86">
              <w:rPr>
                <w:sz w:val="24"/>
                <w:szCs w:val="24"/>
              </w:rPr>
              <w:t>9,5</w:t>
            </w:r>
          </w:p>
        </w:tc>
      </w:tr>
      <w:tr w:rsidR="00960847" w:rsidRPr="00A03E86" w14:paraId="2EEED8A4" w14:textId="77777777" w:rsidTr="00492282">
        <w:tc>
          <w:tcPr>
            <w:tcW w:w="1779" w:type="dxa"/>
            <w:tcBorders>
              <w:bottom w:val="single" w:sz="4" w:space="0" w:color="auto"/>
            </w:tcBorders>
          </w:tcPr>
          <w:p w14:paraId="54A85FBB" w14:textId="77777777" w:rsidR="00960847" w:rsidRPr="00A03E86" w:rsidRDefault="00960847" w:rsidP="00492282">
            <w:pPr>
              <w:widowControl w:val="0"/>
              <w:ind w:right="153"/>
              <w:rPr>
                <w:sz w:val="24"/>
                <w:szCs w:val="24"/>
              </w:rPr>
            </w:pPr>
            <w:r w:rsidRPr="00A03E86">
              <w:rPr>
                <w:sz w:val="24"/>
                <w:szCs w:val="24"/>
              </w:rPr>
              <w:t>Média</w:t>
            </w:r>
          </w:p>
        </w:tc>
        <w:tc>
          <w:tcPr>
            <w:tcW w:w="1772" w:type="dxa"/>
            <w:tcBorders>
              <w:bottom w:val="single" w:sz="4" w:space="0" w:color="auto"/>
            </w:tcBorders>
          </w:tcPr>
          <w:p w14:paraId="5A6D5C8D" w14:textId="77777777" w:rsidR="00960847" w:rsidRPr="00A03E86" w:rsidRDefault="00960847" w:rsidP="00492282">
            <w:pPr>
              <w:widowControl w:val="0"/>
              <w:ind w:right="153"/>
              <w:rPr>
                <w:sz w:val="24"/>
                <w:szCs w:val="24"/>
              </w:rPr>
            </w:pPr>
          </w:p>
        </w:tc>
        <w:tc>
          <w:tcPr>
            <w:tcW w:w="1781" w:type="dxa"/>
            <w:tcBorders>
              <w:bottom w:val="single" w:sz="4" w:space="0" w:color="auto"/>
            </w:tcBorders>
          </w:tcPr>
          <w:p w14:paraId="30848256" w14:textId="77777777" w:rsidR="00960847" w:rsidRPr="00A03E86" w:rsidRDefault="00960847" w:rsidP="00492282">
            <w:pPr>
              <w:widowControl w:val="0"/>
              <w:ind w:right="153"/>
              <w:rPr>
                <w:sz w:val="24"/>
                <w:szCs w:val="24"/>
              </w:rPr>
            </w:pPr>
            <w:r w:rsidRPr="00A03E86">
              <w:rPr>
                <w:sz w:val="24"/>
                <w:szCs w:val="24"/>
              </w:rPr>
              <w:t>39,089</w:t>
            </w:r>
          </w:p>
        </w:tc>
        <w:tc>
          <w:tcPr>
            <w:tcW w:w="1773" w:type="dxa"/>
            <w:tcBorders>
              <w:bottom w:val="single" w:sz="4" w:space="0" w:color="auto"/>
            </w:tcBorders>
          </w:tcPr>
          <w:p w14:paraId="6688F368" w14:textId="77777777" w:rsidR="00960847" w:rsidRPr="00A03E86" w:rsidRDefault="00960847" w:rsidP="00492282">
            <w:pPr>
              <w:widowControl w:val="0"/>
              <w:ind w:right="153"/>
              <w:rPr>
                <w:sz w:val="24"/>
                <w:szCs w:val="24"/>
              </w:rPr>
            </w:pPr>
            <w:r w:rsidRPr="00A03E86">
              <w:rPr>
                <w:sz w:val="24"/>
                <w:szCs w:val="24"/>
              </w:rPr>
              <w:t>94,125</w:t>
            </w:r>
          </w:p>
        </w:tc>
      </w:tr>
      <w:tr w:rsidR="00960847" w:rsidRPr="00A03E86" w14:paraId="02E471BB" w14:textId="77777777" w:rsidTr="00492282">
        <w:tc>
          <w:tcPr>
            <w:tcW w:w="1779" w:type="dxa"/>
            <w:tcBorders>
              <w:top w:val="single" w:sz="4" w:space="0" w:color="auto"/>
              <w:bottom w:val="single" w:sz="4" w:space="0" w:color="auto"/>
            </w:tcBorders>
          </w:tcPr>
          <w:p w14:paraId="1BF9C8B9" w14:textId="77777777" w:rsidR="00960847" w:rsidRPr="00A03E86" w:rsidRDefault="00960847" w:rsidP="00492282">
            <w:pPr>
              <w:widowControl w:val="0"/>
              <w:ind w:right="153"/>
              <w:rPr>
                <w:sz w:val="24"/>
                <w:szCs w:val="24"/>
              </w:rPr>
            </w:pPr>
            <w:proofErr w:type="gramStart"/>
            <w:r w:rsidRPr="00A03E86">
              <w:rPr>
                <w:sz w:val="24"/>
                <w:szCs w:val="24"/>
              </w:rPr>
              <w:t>CV(</w:t>
            </w:r>
            <w:proofErr w:type="gramEnd"/>
            <w:r w:rsidRPr="00A03E86">
              <w:rPr>
                <w:sz w:val="24"/>
                <w:szCs w:val="24"/>
              </w:rPr>
              <w:t>%)</w:t>
            </w:r>
          </w:p>
        </w:tc>
        <w:tc>
          <w:tcPr>
            <w:tcW w:w="1772" w:type="dxa"/>
            <w:tcBorders>
              <w:top w:val="single" w:sz="4" w:space="0" w:color="auto"/>
              <w:bottom w:val="single" w:sz="4" w:space="0" w:color="auto"/>
            </w:tcBorders>
          </w:tcPr>
          <w:p w14:paraId="58961D13" w14:textId="77777777" w:rsidR="00960847" w:rsidRPr="00A03E86" w:rsidRDefault="00960847" w:rsidP="00492282">
            <w:pPr>
              <w:widowControl w:val="0"/>
              <w:ind w:right="153"/>
              <w:rPr>
                <w:sz w:val="24"/>
                <w:szCs w:val="24"/>
              </w:rPr>
            </w:pPr>
          </w:p>
        </w:tc>
        <w:tc>
          <w:tcPr>
            <w:tcW w:w="1781" w:type="dxa"/>
            <w:tcBorders>
              <w:top w:val="single" w:sz="4" w:space="0" w:color="auto"/>
              <w:bottom w:val="single" w:sz="4" w:space="0" w:color="auto"/>
            </w:tcBorders>
          </w:tcPr>
          <w:p w14:paraId="11E640C4" w14:textId="77777777" w:rsidR="00960847" w:rsidRPr="00A03E86" w:rsidRDefault="00960847" w:rsidP="00492282">
            <w:pPr>
              <w:widowControl w:val="0"/>
              <w:ind w:right="153"/>
              <w:rPr>
                <w:sz w:val="24"/>
                <w:szCs w:val="24"/>
              </w:rPr>
            </w:pPr>
            <w:r w:rsidRPr="00A03E86">
              <w:rPr>
                <w:sz w:val="24"/>
                <w:szCs w:val="24"/>
              </w:rPr>
              <w:t>10,939</w:t>
            </w:r>
          </w:p>
        </w:tc>
        <w:tc>
          <w:tcPr>
            <w:tcW w:w="1773" w:type="dxa"/>
            <w:tcBorders>
              <w:top w:val="single" w:sz="4" w:space="0" w:color="auto"/>
              <w:bottom w:val="single" w:sz="4" w:space="0" w:color="auto"/>
            </w:tcBorders>
          </w:tcPr>
          <w:p w14:paraId="494F5108" w14:textId="77777777" w:rsidR="00960847" w:rsidRPr="00A03E86" w:rsidRDefault="00960847" w:rsidP="00492282">
            <w:pPr>
              <w:keepNext/>
              <w:widowControl w:val="0"/>
              <w:ind w:right="153"/>
              <w:rPr>
                <w:sz w:val="24"/>
                <w:szCs w:val="24"/>
              </w:rPr>
            </w:pPr>
            <w:r w:rsidRPr="00A03E86">
              <w:rPr>
                <w:sz w:val="24"/>
                <w:szCs w:val="24"/>
              </w:rPr>
              <w:t>3,274</w:t>
            </w:r>
          </w:p>
        </w:tc>
      </w:tr>
    </w:tbl>
    <w:p w14:paraId="3A5A7711" w14:textId="74EF17AC" w:rsidR="00960847" w:rsidRPr="00CF59B9" w:rsidRDefault="00960847" w:rsidP="00CF59B9">
      <w:pPr>
        <w:pStyle w:val="Legenda"/>
        <w:spacing w:before="0" w:after="120"/>
        <w:ind w:left="0"/>
        <w:jc w:val="center"/>
        <w:rPr>
          <w:i w:val="0"/>
          <w:iCs w:val="0"/>
          <w:szCs w:val="20"/>
          <w:lang w:val="pt-BR"/>
        </w:rPr>
      </w:pPr>
      <w:r w:rsidRPr="00CF4107">
        <w:rPr>
          <w:i w:val="0"/>
          <w:iCs w:val="0"/>
          <w:szCs w:val="20"/>
          <w:lang w:val="pt-BR"/>
        </w:rPr>
        <w:t>Nota: F.V.: Fonte de variação; G.L.: Grau de liberdade; C.V.: Coeficiente de variação; C.E.: Condutividade elétrica; G</w:t>
      </w:r>
      <w:r w:rsidR="00FD5FDA">
        <w:rPr>
          <w:i w:val="0"/>
          <w:iCs w:val="0"/>
          <w:szCs w:val="20"/>
          <w:lang w:val="pt-BR"/>
        </w:rPr>
        <w:t xml:space="preserve"> </w:t>
      </w:r>
      <w:r w:rsidRPr="00CF4107">
        <w:rPr>
          <w:i w:val="0"/>
          <w:iCs w:val="0"/>
          <w:szCs w:val="20"/>
          <w:lang w:val="pt-BR"/>
        </w:rPr>
        <w:t>(%): Porcentagem de germinação; **: significativo a 1% de probabilidade no teste F. Fonte: Elaborado pela autora</w:t>
      </w:r>
    </w:p>
    <w:p w14:paraId="2045D986" w14:textId="09CD5286" w:rsidR="0077512A" w:rsidRDefault="00CF4107" w:rsidP="00960847">
      <w:pPr>
        <w:widowControl w:val="0"/>
        <w:spacing w:after="120" w:line="259" w:lineRule="auto"/>
        <w:ind w:right="137"/>
        <w:rPr>
          <w:sz w:val="24"/>
          <w:szCs w:val="24"/>
        </w:rPr>
      </w:pPr>
      <w:r w:rsidRPr="00D76A56">
        <w:rPr>
          <w:rFonts w:eastAsia="Calibri" w:cs="Arial"/>
          <w:sz w:val="24"/>
          <w:szCs w:val="24"/>
          <w:lang w:eastAsia="pt-BR"/>
        </w:rPr>
        <w:tab/>
      </w:r>
      <w:r w:rsidR="00A40A02" w:rsidRPr="00D76A56">
        <w:rPr>
          <w:rFonts w:eastAsia="Calibri" w:cs="Arial"/>
          <w:sz w:val="24"/>
          <w:szCs w:val="24"/>
          <w:lang w:eastAsia="pt-BR"/>
        </w:rPr>
        <w:t>E</w:t>
      </w:r>
      <w:r w:rsidR="00A40A02" w:rsidRPr="00950D59">
        <w:rPr>
          <w:sz w:val="24"/>
          <w:szCs w:val="24"/>
        </w:rPr>
        <w:t xml:space="preserve">m relação à precisão experimental, os coeficientes de variação para condutividade elétrica (10,93%) e germinação (3,27%) podem ser considerados baixos, indicando alta confiabilidade dos dados. Resultados semelhantes foram observados por </w:t>
      </w:r>
      <w:r w:rsidR="00CD780A" w:rsidRPr="00950D59">
        <w:rPr>
          <w:sz w:val="24"/>
          <w:szCs w:val="24"/>
        </w:rPr>
        <w:fldChar w:fldCharType="begin"/>
      </w:r>
      <w:r w:rsidR="0015642A" w:rsidRPr="00950D59">
        <w:rPr>
          <w:sz w:val="24"/>
          <w:szCs w:val="24"/>
        </w:rPr>
        <w:instrText xml:space="preserve"> ADDIN ZOTERO_ITEM CSL_CITATION {"citationID":"6bDrfz5x","properties":{"formattedCitation":"(Costa et al., 2024b)","plainCitation":"(Costa et al., 2024b)","noteIndex":0},"citationItems":[{"id":313,"uris":["http://zotero.org/users/14178593/items/XJP3NQHM"],"itemData":{"id":313,"type":"article-journal","container-title":"Caderno Pedagógico","DOI":"10.54033/cadpedv21n10-050","ISSN":"1983-0882","issue":"10","language":"pt","page":"e8659-e8659","source":"ojs.studiespublicacoes.com.br","title":"Melhoramento genético do feijão comum: origem, diversidade e qualidade das sementes","title-short":"Melhoramento genético do feijão comum","volume":"21","author":[{"family":"Costa","given":"Gabriel Aubry Porto"},{"family":"Souza","given":"Luís Fernando dos Santos"},{"family":"Ramalho","given":"Priscilla Anunciada Alves Moreira"},{"family":"Araújo","given":"Sarah Carolina Alves"},{"family":"Barbosa","given":"Rayssa Karolyna Farias"},{"family":"Costa","given":"Antônio Félix","dropping-particle":"da"},{"family":"Filho","given":"José Luiz Sandes de Carvalho"},{"family":"Carvalho","given":"Rejane Rodrigues da Costa","dropping-particle":"e"}],"issued":{"date-parts":[["2024",10,4]]}}}],"schema":"https://github.com/citation-style-language/schema/raw/master/csl-citation.json"} </w:instrText>
      </w:r>
      <w:r w:rsidR="00CD780A" w:rsidRPr="00950D59">
        <w:rPr>
          <w:sz w:val="24"/>
          <w:szCs w:val="24"/>
        </w:rPr>
        <w:fldChar w:fldCharType="separate"/>
      </w:r>
      <w:r w:rsidR="0015642A" w:rsidRPr="00950D59">
        <w:rPr>
          <w:sz w:val="24"/>
          <w:szCs w:val="24"/>
        </w:rPr>
        <w:t xml:space="preserve">Costa et al. </w:t>
      </w:r>
      <w:r w:rsidR="006306D6" w:rsidRPr="00950D59">
        <w:rPr>
          <w:sz w:val="24"/>
          <w:szCs w:val="24"/>
        </w:rPr>
        <w:t>(</w:t>
      </w:r>
      <w:r w:rsidR="0015642A" w:rsidRPr="00950D59">
        <w:rPr>
          <w:sz w:val="24"/>
          <w:szCs w:val="24"/>
        </w:rPr>
        <w:t>2024</w:t>
      </w:r>
      <w:r w:rsidR="006306D6" w:rsidRPr="00950D59">
        <w:rPr>
          <w:sz w:val="24"/>
          <w:szCs w:val="24"/>
        </w:rPr>
        <w:t>a</w:t>
      </w:r>
      <w:r w:rsidR="0015642A" w:rsidRPr="00950D59">
        <w:rPr>
          <w:sz w:val="24"/>
          <w:szCs w:val="24"/>
        </w:rPr>
        <w:t>)</w:t>
      </w:r>
      <w:r w:rsidR="00CD780A" w:rsidRPr="00950D59">
        <w:rPr>
          <w:sz w:val="24"/>
          <w:szCs w:val="24"/>
        </w:rPr>
        <w:fldChar w:fldCharType="end"/>
      </w:r>
      <w:r w:rsidR="00CD780A" w:rsidRPr="00950D59">
        <w:rPr>
          <w:sz w:val="24"/>
          <w:szCs w:val="24"/>
        </w:rPr>
        <w:t xml:space="preserve"> </w:t>
      </w:r>
      <w:r w:rsidR="00A40A02" w:rsidRPr="00950D59">
        <w:rPr>
          <w:sz w:val="24"/>
          <w:szCs w:val="24"/>
        </w:rPr>
        <w:t xml:space="preserve">e </w:t>
      </w:r>
      <w:r w:rsidR="006306D6" w:rsidRPr="00950D59">
        <w:rPr>
          <w:sz w:val="24"/>
          <w:szCs w:val="24"/>
        </w:rPr>
        <w:fldChar w:fldCharType="begin"/>
      </w:r>
      <w:r w:rsidR="004423E6" w:rsidRPr="00950D59">
        <w:rPr>
          <w:sz w:val="24"/>
          <w:szCs w:val="24"/>
        </w:rPr>
        <w:instrText xml:space="preserve"> ADDIN ZOTERO_ITEM CSL_CITATION {"citationID":"fEb81kGs","properties":{"formattedCitation":"(Silveira et al., 2019)","plainCitation":"(Silveira et al., 2019)","noteIndex":0},"citationItems":[{"id":348,"uris":["http://zotero.org/users/14178593/items/76XSNSR8"],"itemData":{"id":348,"type":"article-journal","abstract":"O feijão representa 50% do volume de grãos consumidos no mundo e este é a principal fonte de proteína usada na alimentação humana em diversos países da América Latina, da África Oriental e da África do Sul. O presente estudo foi realizado com o objetivo de estimar a diversidade genética de nove acessos de feijão (oito acessos crioulos e uma cultivar comercial) por meio da caracterização morfológica e agronômica em condições de campo na região Noroeste do Rio Grande do Sul. Foram avaliados treze caracteres de plantas e sementes. Os acessos de feijão crioulo apresentaram pouca divergência significativa, exceto o acesso Vermelho que se destacou como o de maior divergência genética a partir dos caracteres avaliados. As variáveis com maior contribuição para a separação dos acessos foram peso de mil sementes, largura e comprimento das sementes e número de dias da emergência a floração. Os caracteres relacionados à morfologia das sementes apresentam maior contribuição relativa na formação dos grupos. A maturação fisiológica não é um bom indicador da distância genética entre os acessos de feijão para as condições de condução do experimento.","container-title":"Pesquisa Agropecuária Gaúcha","DOI":"10.36812/pag.2019251/2133-146","ISSN":"2595-7686, 0104-9070","issue":"1/2","journalAbbreviation":"PESQ. AGROP. GAÚCHA","page":"133-146","source":"DOI.org (Crossref)","title":"Diversidade genética de acessos de feijão crioulo na região Noroeste do Rio Grande do Sul","volume":"25","author":[{"family":"Silveira","given":"Diógenes Cecchin"},{"family":"Machado","given":"Juliana Medianeira"},{"family":"Faccioli","given":"Mogar Waihrich Feijó"},{"family":"Tolfo","given":"Adriano Mantovani"},{"family":"Eich","given":"Caroline"}],"issued":{"date-parts":[["2019",10,1]]}}}],"schema":"https://github.com/citation-style-language/schema/raw/master/csl-citation.json"} </w:instrText>
      </w:r>
      <w:r w:rsidR="006306D6" w:rsidRPr="00950D59">
        <w:rPr>
          <w:sz w:val="24"/>
          <w:szCs w:val="24"/>
        </w:rPr>
        <w:fldChar w:fldCharType="separate"/>
      </w:r>
      <w:r w:rsidR="004423E6" w:rsidRPr="00950D59">
        <w:rPr>
          <w:sz w:val="24"/>
          <w:szCs w:val="24"/>
        </w:rPr>
        <w:t>Silveira et al. (2019)</w:t>
      </w:r>
      <w:r w:rsidR="006306D6" w:rsidRPr="00950D59">
        <w:rPr>
          <w:sz w:val="24"/>
          <w:szCs w:val="24"/>
        </w:rPr>
        <w:fldChar w:fldCharType="end"/>
      </w:r>
      <w:r w:rsidR="00A40A02" w:rsidRPr="00950D59">
        <w:rPr>
          <w:sz w:val="24"/>
          <w:szCs w:val="24"/>
        </w:rPr>
        <w:t>, o que confirma a adequação da metodologia utilizada e reforça a consistência das diferenças detectadas entre os acessos.</w:t>
      </w:r>
    </w:p>
    <w:p w14:paraId="0F188B92" w14:textId="39CF103D" w:rsidR="00CF4107" w:rsidRPr="00CF59B9" w:rsidRDefault="0077512A" w:rsidP="00CF59B9">
      <w:pPr>
        <w:widowControl w:val="0"/>
        <w:spacing w:after="120" w:line="259" w:lineRule="auto"/>
        <w:ind w:right="134" w:firstLine="579"/>
        <w:rPr>
          <w:sz w:val="24"/>
          <w:szCs w:val="24"/>
        </w:rPr>
      </w:pPr>
      <w:r w:rsidRPr="00D76A56">
        <w:rPr>
          <w:sz w:val="24"/>
          <w:szCs w:val="24"/>
        </w:rPr>
        <w:t>O agrupamento das médias pelo teste de Scott-</w:t>
      </w:r>
      <w:proofErr w:type="spellStart"/>
      <w:r w:rsidRPr="00D76A56">
        <w:rPr>
          <w:sz w:val="24"/>
          <w:szCs w:val="24"/>
        </w:rPr>
        <w:t>Knott</w:t>
      </w:r>
      <w:proofErr w:type="spellEnd"/>
      <w:r w:rsidRPr="00D76A56">
        <w:rPr>
          <w:sz w:val="24"/>
          <w:szCs w:val="24"/>
        </w:rPr>
        <w:t xml:space="preserve"> (Tabela 2) possibilitou identificar contrastes relevantes dentre os genótipos. </w:t>
      </w:r>
      <w:r w:rsidR="006D224C" w:rsidRPr="003E4A6B">
        <w:rPr>
          <w:sz w:val="24"/>
          <w:szCs w:val="24"/>
        </w:rPr>
        <w:t xml:space="preserve">A elevada condutividade elétrica observada nos genótipos do grupo A sugere maior suscetibilidade à deterioração e redução de vigor, uma vez que esse teste está relacionado à integridade das membranas celulares e à intensidade do lixiviado liberado pelas sementes </w:t>
      </w:r>
      <w:r w:rsidR="00FD1A50" w:rsidRPr="00950D59">
        <w:rPr>
          <w:sz w:val="24"/>
          <w:szCs w:val="24"/>
        </w:rPr>
        <w:fldChar w:fldCharType="begin"/>
      </w:r>
      <w:r w:rsidR="00FD1A50" w:rsidRPr="00950D59">
        <w:rPr>
          <w:sz w:val="24"/>
          <w:szCs w:val="24"/>
        </w:rPr>
        <w:instrText xml:space="preserve"> ADDIN ZOTERO_ITEM CSL_CITATION {"citationID":"0X4k1GKc","properties":{"formattedCitation":"(Marcos-Filho, 2015)","plainCitation":"(Marcos-Filho, 2015)","noteIndex":0},"citationItems":[{"id":325,"uris":["http://zotero.org/users/14178593/items/MCQ6GCFH"],"itemData":{"id":325,"type":"book","ISBN":"978-85-64895-03-4","language":"pt-BR","publisher":"Abrates","source":"Câmara Brasileira do Livro ISBN","title":"Fisiologia de sementes de plantas cultivadas","author":[{"family":"Marcos-Filho","given":"Júlio"}],"issued":{"date-parts":[["2015",4,14]]}}}],"schema":"https://github.com/citation-style-language/schema/raw/master/csl-citation.json"} </w:instrText>
      </w:r>
      <w:r w:rsidR="00FD1A50" w:rsidRPr="00950D59">
        <w:rPr>
          <w:sz w:val="24"/>
          <w:szCs w:val="24"/>
        </w:rPr>
        <w:fldChar w:fldCharType="separate"/>
      </w:r>
      <w:r w:rsidR="00FD1A50" w:rsidRPr="00950D59">
        <w:rPr>
          <w:sz w:val="24"/>
          <w:szCs w:val="24"/>
        </w:rPr>
        <w:t>(Marcos-Filho, 2015)</w:t>
      </w:r>
      <w:r w:rsidR="00FD1A50" w:rsidRPr="00950D59">
        <w:rPr>
          <w:sz w:val="24"/>
          <w:szCs w:val="24"/>
        </w:rPr>
        <w:fldChar w:fldCharType="end"/>
      </w:r>
      <w:r w:rsidR="00FD1A50">
        <w:rPr>
          <w:sz w:val="24"/>
          <w:szCs w:val="24"/>
        </w:rPr>
        <w:t xml:space="preserve">. </w:t>
      </w:r>
      <w:r w:rsidR="006D224C" w:rsidRPr="003E4A6B">
        <w:rPr>
          <w:sz w:val="24"/>
          <w:szCs w:val="24"/>
        </w:rPr>
        <w:t>Em geral, altos valores de condutividade elétrica estão associados a menor capacidade de armazenamento e a desempenho inferior em condições adversas.</w:t>
      </w:r>
    </w:p>
    <w:p w14:paraId="3BAF25B9" w14:textId="77777777" w:rsidR="00CF4107" w:rsidRPr="00CF4107" w:rsidRDefault="00CF4107" w:rsidP="005643CF">
      <w:pPr>
        <w:pStyle w:val="Legenda"/>
        <w:keepNext/>
        <w:spacing w:before="0" w:after="120"/>
        <w:ind w:left="0"/>
        <w:jc w:val="center"/>
        <w:rPr>
          <w:i w:val="0"/>
          <w:iCs w:val="0"/>
          <w:szCs w:val="20"/>
          <w:lang w:val="pt-BR"/>
        </w:rPr>
      </w:pPr>
      <w:r w:rsidRPr="00CF4107">
        <w:rPr>
          <w:i w:val="0"/>
          <w:iCs w:val="0"/>
          <w:szCs w:val="20"/>
          <w:lang w:val="pt-BR"/>
        </w:rPr>
        <w:t xml:space="preserve">Tabela </w:t>
      </w:r>
      <w:r w:rsidRPr="006305BB">
        <w:rPr>
          <w:i w:val="0"/>
          <w:iCs w:val="0"/>
          <w:szCs w:val="20"/>
        </w:rPr>
        <w:fldChar w:fldCharType="begin"/>
      </w:r>
      <w:r w:rsidRPr="00CF4107">
        <w:rPr>
          <w:i w:val="0"/>
          <w:iCs w:val="0"/>
          <w:szCs w:val="20"/>
          <w:lang w:val="pt-BR"/>
        </w:rPr>
        <w:instrText xml:space="preserve"> SEQ Tabela \* ARABIC </w:instrText>
      </w:r>
      <w:r w:rsidRPr="006305BB">
        <w:rPr>
          <w:i w:val="0"/>
          <w:iCs w:val="0"/>
          <w:szCs w:val="20"/>
        </w:rPr>
        <w:fldChar w:fldCharType="separate"/>
      </w:r>
      <w:r w:rsidRPr="00CF4107">
        <w:rPr>
          <w:i w:val="0"/>
          <w:iCs w:val="0"/>
          <w:szCs w:val="20"/>
          <w:lang w:val="pt-BR"/>
        </w:rPr>
        <w:t>2</w:t>
      </w:r>
      <w:r w:rsidRPr="006305BB">
        <w:rPr>
          <w:i w:val="0"/>
          <w:iCs w:val="0"/>
          <w:szCs w:val="20"/>
        </w:rPr>
        <w:fldChar w:fldCharType="end"/>
      </w:r>
      <w:r w:rsidRPr="00CF4107">
        <w:rPr>
          <w:i w:val="0"/>
          <w:iCs w:val="0"/>
          <w:szCs w:val="20"/>
          <w:lang w:val="pt-BR"/>
        </w:rPr>
        <w:t xml:space="preserve"> - Análise de agrupamento de médias Scott-</w:t>
      </w:r>
      <w:proofErr w:type="spellStart"/>
      <w:r w:rsidRPr="00CF4107">
        <w:rPr>
          <w:i w:val="0"/>
          <w:iCs w:val="0"/>
          <w:szCs w:val="20"/>
          <w:lang w:val="pt-BR"/>
        </w:rPr>
        <w:t>Knott</w:t>
      </w:r>
      <w:proofErr w:type="spellEnd"/>
      <w:r w:rsidRPr="00CF4107">
        <w:rPr>
          <w:i w:val="0"/>
          <w:iCs w:val="0"/>
          <w:szCs w:val="20"/>
          <w:lang w:val="pt-BR"/>
        </w:rPr>
        <w:t xml:space="preserve"> dos 8 genótipos de feijão em relação a Condutividade Elétrica e Germinação</w:t>
      </w:r>
    </w:p>
    <w:tbl>
      <w:tblPr>
        <w:tblStyle w:val="Tabelacomgrade"/>
        <w:tblW w:w="0" w:type="auto"/>
        <w:tblInd w:w="1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1727"/>
        <w:gridCol w:w="2078"/>
      </w:tblGrid>
      <w:tr w:rsidR="00CF4107" w14:paraId="2849C822" w14:textId="77777777" w:rsidTr="00632912">
        <w:tc>
          <w:tcPr>
            <w:tcW w:w="2428" w:type="dxa"/>
            <w:tcBorders>
              <w:top w:val="single" w:sz="4" w:space="0" w:color="auto"/>
              <w:bottom w:val="single" w:sz="4" w:space="0" w:color="auto"/>
            </w:tcBorders>
            <w:vAlign w:val="center"/>
          </w:tcPr>
          <w:p w14:paraId="49470133" w14:textId="77777777" w:rsidR="00CF4107" w:rsidRPr="006305BB" w:rsidRDefault="00CF4107" w:rsidP="005643CF">
            <w:pPr>
              <w:widowControl w:val="0"/>
              <w:spacing w:line="257" w:lineRule="auto"/>
              <w:ind w:right="153"/>
              <w:jc w:val="center"/>
              <w:rPr>
                <w:sz w:val="24"/>
                <w:szCs w:val="24"/>
              </w:rPr>
            </w:pPr>
            <w:r w:rsidRPr="006305BB">
              <w:rPr>
                <w:sz w:val="24"/>
                <w:szCs w:val="24"/>
              </w:rPr>
              <w:t>Genótipo</w:t>
            </w:r>
          </w:p>
        </w:tc>
        <w:tc>
          <w:tcPr>
            <w:tcW w:w="1727" w:type="dxa"/>
            <w:tcBorders>
              <w:top w:val="single" w:sz="4" w:space="0" w:color="auto"/>
              <w:bottom w:val="single" w:sz="4" w:space="0" w:color="auto"/>
            </w:tcBorders>
            <w:vAlign w:val="center"/>
          </w:tcPr>
          <w:p w14:paraId="4405D6F2" w14:textId="77777777" w:rsidR="00CF4107" w:rsidRPr="006305BB" w:rsidRDefault="00CF4107" w:rsidP="005643CF">
            <w:pPr>
              <w:widowControl w:val="0"/>
              <w:spacing w:line="257" w:lineRule="auto"/>
              <w:ind w:right="153"/>
              <w:jc w:val="center"/>
              <w:rPr>
                <w:sz w:val="24"/>
                <w:szCs w:val="24"/>
              </w:rPr>
            </w:pPr>
            <w:proofErr w:type="spellStart"/>
            <w:r w:rsidRPr="006305BB">
              <w:rPr>
                <w:sz w:val="24"/>
                <w:szCs w:val="24"/>
              </w:rPr>
              <w:t>Ce</w:t>
            </w:r>
            <w:proofErr w:type="spellEnd"/>
          </w:p>
        </w:tc>
        <w:tc>
          <w:tcPr>
            <w:tcW w:w="2078" w:type="dxa"/>
            <w:tcBorders>
              <w:top w:val="single" w:sz="4" w:space="0" w:color="auto"/>
              <w:bottom w:val="single" w:sz="4" w:space="0" w:color="auto"/>
            </w:tcBorders>
            <w:vAlign w:val="center"/>
          </w:tcPr>
          <w:p w14:paraId="2F13DE74" w14:textId="77777777" w:rsidR="00CF4107" w:rsidRPr="006305BB" w:rsidRDefault="00CF4107" w:rsidP="005643CF">
            <w:pPr>
              <w:widowControl w:val="0"/>
              <w:spacing w:line="257" w:lineRule="auto"/>
              <w:ind w:right="153"/>
              <w:jc w:val="center"/>
              <w:rPr>
                <w:sz w:val="24"/>
                <w:szCs w:val="24"/>
              </w:rPr>
            </w:pPr>
            <w:r w:rsidRPr="006305BB">
              <w:rPr>
                <w:sz w:val="24"/>
                <w:szCs w:val="24"/>
              </w:rPr>
              <w:t>Germinação</w:t>
            </w:r>
          </w:p>
        </w:tc>
      </w:tr>
      <w:tr w:rsidR="00CF4107" w14:paraId="14AF8B51" w14:textId="77777777" w:rsidTr="00632912">
        <w:tc>
          <w:tcPr>
            <w:tcW w:w="2428" w:type="dxa"/>
            <w:tcBorders>
              <w:top w:val="single" w:sz="4" w:space="0" w:color="auto"/>
            </w:tcBorders>
            <w:vAlign w:val="center"/>
          </w:tcPr>
          <w:p w14:paraId="318F7879" w14:textId="77777777" w:rsidR="00CF4107" w:rsidRPr="006305BB" w:rsidRDefault="00CF4107" w:rsidP="005643CF">
            <w:pPr>
              <w:widowControl w:val="0"/>
              <w:spacing w:line="257" w:lineRule="auto"/>
              <w:ind w:right="153"/>
              <w:jc w:val="center"/>
              <w:rPr>
                <w:sz w:val="24"/>
                <w:szCs w:val="24"/>
              </w:rPr>
            </w:pPr>
            <w:r w:rsidRPr="006305BB">
              <w:rPr>
                <w:sz w:val="24"/>
                <w:szCs w:val="24"/>
              </w:rPr>
              <w:t>Vagem Roxa</w:t>
            </w:r>
          </w:p>
        </w:tc>
        <w:tc>
          <w:tcPr>
            <w:tcW w:w="1727" w:type="dxa"/>
            <w:tcBorders>
              <w:top w:val="single" w:sz="4" w:space="0" w:color="auto"/>
            </w:tcBorders>
            <w:vAlign w:val="center"/>
          </w:tcPr>
          <w:p w14:paraId="680D95AB" w14:textId="24006E4E" w:rsidR="00CF4107" w:rsidRPr="006305BB" w:rsidRDefault="00CF4107" w:rsidP="005643CF">
            <w:pPr>
              <w:widowControl w:val="0"/>
              <w:spacing w:line="257" w:lineRule="auto"/>
              <w:ind w:right="153"/>
              <w:jc w:val="center"/>
              <w:rPr>
                <w:sz w:val="24"/>
                <w:szCs w:val="24"/>
              </w:rPr>
            </w:pPr>
            <w:r w:rsidRPr="006305BB">
              <w:rPr>
                <w:sz w:val="24"/>
                <w:szCs w:val="24"/>
              </w:rPr>
              <w:t>45,138</w:t>
            </w:r>
            <w:r w:rsidR="005643CF">
              <w:rPr>
                <w:sz w:val="24"/>
                <w:szCs w:val="24"/>
              </w:rPr>
              <w:t xml:space="preserve"> </w:t>
            </w:r>
            <w:r w:rsidRPr="006305BB">
              <w:rPr>
                <w:sz w:val="24"/>
                <w:szCs w:val="24"/>
              </w:rPr>
              <w:t>a</w:t>
            </w:r>
          </w:p>
        </w:tc>
        <w:tc>
          <w:tcPr>
            <w:tcW w:w="2078" w:type="dxa"/>
            <w:tcBorders>
              <w:top w:val="single" w:sz="4" w:space="0" w:color="auto"/>
            </w:tcBorders>
            <w:vAlign w:val="center"/>
          </w:tcPr>
          <w:p w14:paraId="6C33A78C" w14:textId="43C592AE" w:rsidR="00CF4107" w:rsidRPr="006305BB" w:rsidRDefault="00CF4107" w:rsidP="005643CF">
            <w:pPr>
              <w:widowControl w:val="0"/>
              <w:spacing w:line="257" w:lineRule="auto"/>
              <w:ind w:right="153"/>
              <w:jc w:val="center"/>
              <w:rPr>
                <w:sz w:val="24"/>
                <w:szCs w:val="24"/>
              </w:rPr>
            </w:pPr>
            <w:r w:rsidRPr="006305BB">
              <w:rPr>
                <w:sz w:val="24"/>
                <w:szCs w:val="24"/>
              </w:rPr>
              <w:t>94</w:t>
            </w:r>
            <w:r w:rsidR="005643CF">
              <w:rPr>
                <w:sz w:val="24"/>
                <w:szCs w:val="24"/>
              </w:rPr>
              <w:t xml:space="preserve"> </w:t>
            </w:r>
            <w:r w:rsidRPr="006305BB">
              <w:rPr>
                <w:sz w:val="24"/>
                <w:szCs w:val="24"/>
              </w:rPr>
              <w:t>b</w:t>
            </w:r>
          </w:p>
        </w:tc>
      </w:tr>
      <w:tr w:rsidR="00CF4107" w14:paraId="41D79B6F" w14:textId="77777777" w:rsidTr="00632912">
        <w:tc>
          <w:tcPr>
            <w:tcW w:w="2428" w:type="dxa"/>
            <w:vAlign w:val="center"/>
          </w:tcPr>
          <w:p w14:paraId="2D8053CE" w14:textId="77777777" w:rsidR="00CF4107" w:rsidRPr="006305BB" w:rsidRDefault="00CF4107" w:rsidP="005643CF">
            <w:pPr>
              <w:widowControl w:val="0"/>
              <w:spacing w:line="257" w:lineRule="auto"/>
              <w:ind w:right="153"/>
              <w:jc w:val="center"/>
              <w:rPr>
                <w:sz w:val="24"/>
                <w:szCs w:val="24"/>
              </w:rPr>
            </w:pPr>
            <w:r w:rsidRPr="006305BB">
              <w:rPr>
                <w:sz w:val="24"/>
                <w:szCs w:val="24"/>
              </w:rPr>
              <w:lastRenderedPageBreak/>
              <w:t>São João</w:t>
            </w:r>
          </w:p>
        </w:tc>
        <w:tc>
          <w:tcPr>
            <w:tcW w:w="1727" w:type="dxa"/>
            <w:vAlign w:val="center"/>
          </w:tcPr>
          <w:p w14:paraId="2F1BD436" w14:textId="3F947DED" w:rsidR="00CF4107" w:rsidRPr="006305BB" w:rsidRDefault="00CF4107" w:rsidP="005643CF">
            <w:pPr>
              <w:widowControl w:val="0"/>
              <w:spacing w:line="257" w:lineRule="auto"/>
              <w:ind w:right="153"/>
              <w:jc w:val="center"/>
              <w:rPr>
                <w:sz w:val="24"/>
                <w:szCs w:val="24"/>
              </w:rPr>
            </w:pPr>
            <w:r w:rsidRPr="006305BB">
              <w:rPr>
                <w:sz w:val="24"/>
                <w:szCs w:val="24"/>
              </w:rPr>
              <w:t>51,171</w:t>
            </w:r>
            <w:r w:rsidR="005643CF">
              <w:rPr>
                <w:sz w:val="24"/>
                <w:szCs w:val="24"/>
              </w:rPr>
              <w:t xml:space="preserve"> </w:t>
            </w:r>
            <w:r w:rsidRPr="006305BB">
              <w:rPr>
                <w:sz w:val="24"/>
                <w:szCs w:val="24"/>
              </w:rPr>
              <w:t>a</w:t>
            </w:r>
          </w:p>
        </w:tc>
        <w:tc>
          <w:tcPr>
            <w:tcW w:w="2078" w:type="dxa"/>
            <w:vAlign w:val="center"/>
          </w:tcPr>
          <w:p w14:paraId="59A8F54E" w14:textId="0ADC62C3" w:rsidR="00CF4107" w:rsidRPr="006305BB" w:rsidRDefault="00CF4107" w:rsidP="005643CF">
            <w:pPr>
              <w:widowControl w:val="0"/>
              <w:spacing w:line="257" w:lineRule="auto"/>
              <w:ind w:right="153"/>
              <w:jc w:val="center"/>
              <w:rPr>
                <w:sz w:val="24"/>
                <w:szCs w:val="24"/>
              </w:rPr>
            </w:pPr>
            <w:r w:rsidRPr="006305BB">
              <w:rPr>
                <w:sz w:val="24"/>
                <w:szCs w:val="24"/>
              </w:rPr>
              <w:t>99</w:t>
            </w:r>
            <w:r w:rsidR="005643CF">
              <w:rPr>
                <w:sz w:val="24"/>
                <w:szCs w:val="24"/>
              </w:rPr>
              <w:t xml:space="preserve"> </w:t>
            </w:r>
            <w:r w:rsidRPr="006305BB">
              <w:rPr>
                <w:sz w:val="24"/>
                <w:szCs w:val="24"/>
              </w:rPr>
              <w:t>a</w:t>
            </w:r>
          </w:p>
        </w:tc>
      </w:tr>
      <w:tr w:rsidR="00CF4107" w14:paraId="6CC29881" w14:textId="77777777" w:rsidTr="00632912">
        <w:tc>
          <w:tcPr>
            <w:tcW w:w="2428" w:type="dxa"/>
            <w:vAlign w:val="center"/>
          </w:tcPr>
          <w:p w14:paraId="0772D2F6" w14:textId="77777777" w:rsidR="00CF4107" w:rsidRPr="006305BB" w:rsidRDefault="00CF4107" w:rsidP="005643CF">
            <w:pPr>
              <w:widowControl w:val="0"/>
              <w:spacing w:line="257" w:lineRule="auto"/>
              <w:ind w:right="153"/>
              <w:jc w:val="center"/>
              <w:rPr>
                <w:sz w:val="24"/>
                <w:szCs w:val="24"/>
              </w:rPr>
            </w:pPr>
            <w:r w:rsidRPr="006305BB">
              <w:rPr>
                <w:sz w:val="24"/>
                <w:szCs w:val="24"/>
              </w:rPr>
              <w:t>Mouro Criolo</w:t>
            </w:r>
          </w:p>
        </w:tc>
        <w:tc>
          <w:tcPr>
            <w:tcW w:w="1727" w:type="dxa"/>
            <w:vAlign w:val="center"/>
          </w:tcPr>
          <w:p w14:paraId="5B13CE7A" w14:textId="3EAFD3E6" w:rsidR="00CF4107" w:rsidRPr="006305BB" w:rsidRDefault="00CF4107" w:rsidP="005643CF">
            <w:pPr>
              <w:widowControl w:val="0"/>
              <w:spacing w:line="257" w:lineRule="auto"/>
              <w:ind w:right="153"/>
              <w:jc w:val="center"/>
              <w:rPr>
                <w:sz w:val="24"/>
                <w:szCs w:val="24"/>
              </w:rPr>
            </w:pPr>
            <w:r w:rsidRPr="006305BB">
              <w:rPr>
                <w:sz w:val="24"/>
                <w:szCs w:val="24"/>
              </w:rPr>
              <w:t>42,878</w:t>
            </w:r>
            <w:r w:rsidR="005643CF">
              <w:rPr>
                <w:sz w:val="24"/>
                <w:szCs w:val="24"/>
              </w:rPr>
              <w:t xml:space="preserve"> </w:t>
            </w:r>
            <w:r w:rsidR="00712094">
              <w:rPr>
                <w:sz w:val="24"/>
                <w:szCs w:val="24"/>
              </w:rPr>
              <w:t>a</w:t>
            </w:r>
          </w:p>
        </w:tc>
        <w:tc>
          <w:tcPr>
            <w:tcW w:w="2078" w:type="dxa"/>
            <w:vAlign w:val="center"/>
          </w:tcPr>
          <w:p w14:paraId="21E5177B" w14:textId="553FC7AF" w:rsidR="00CF4107" w:rsidRPr="006305BB" w:rsidRDefault="00CF4107" w:rsidP="005643CF">
            <w:pPr>
              <w:widowControl w:val="0"/>
              <w:spacing w:line="257" w:lineRule="auto"/>
              <w:ind w:right="153"/>
              <w:jc w:val="center"/>
              <w:rPr>
                <w:sz w:val="24"/>
                <w:szCs w:val="24"/>
              </w:rPr>
            </w:pPr>
            <w:r w:rsidRPr="006305BB">
              <w:rPr>
                <w:sz w:val="24"/>
                <w:szCs w:val="24"/>
              </w:rPr>
              <w:t>90</w:t>
            </w:r>
            <w:r w:rsidR="005643CF">
              <w:rPr>
                <w:sz w:val="24"/>
                <w:szCs w:val="24"/>
              </w:rPr>
              <w:t xml:space="preserve"> </w:t>
            </w:r>
            <w:r w:rsidRPr="006305BB">
              <w:rPr>
                <w:sz w:val="24"/>
                <w:szCs w:val="24"/>
              </w:rPr>
              <w:t>b</w:t>
            </w:r>
          </w:p>
        </w:tc>
      </w:tr>
      <w:tr w:rsidR="00CF4107" w14:paraId="1EB18622" w14:textId="77777777" w:rsidTr="00632912">
        <w:tc>
          <w:tcPr>
            <w:tcW w:w="2428" w:type="dxa"/>
            <w:vAlign w:val="center"/>
          </w:tcPr>
          <w:p w14:paraId="0061905E" w14:textId="77777777" w:rsidR="00CF4107" w:rsidRPr="006305BB" w:rsidRDefault="00CF4107" w:rsidP="005643CF">
            <w:pPr>
              <w:widowControl w:val="0"/>
              <w:spacing w:line="257" w:lineRule="auto"/>
              <w:ind w:right="153"/>
              <w:jc w:val="center"/>
              <w:rPr>
                <w:sz w:val="24"/>
                <w:szCs w:val="24"/>
              </w:rPr>
            </w:pPr>
            <w:r w:rsidRPr="006305BB">
              <w:rPr>
                <w:sz w:val="24"/>
                <w:szCs w:val="24"/>
              </w:rPr>
              <w:t>Macanudo</w:t>
            </w:r>
          </w:p>
        </w:tc>
        <w:tc>
          <w:tcPr>
            <w:tcW w:w="1727" w:type="dxa"/>
            <w:vAlign w:val="center"/>
          </w:tcPr>
          <w:p w14:paraId="39EC113C" w14:textId="7A61007C" w:rsidR="00CF4107" w:rsidRPr="006305BB" w:rsidRDefault="00CF4107" w:rsidP="005643CF">
            <w:pPr>
              <w:widowControl w:val="0"/>
              <w:spacing w:line="257" w:lineRule="auto"/>
              <w:ind w:right="153"/>
              <w:jc w:val="center"/>
              <w:rPr>
                <w:sz w:val="24"/>
                <w:szCs w:val="24"/>
              </w:rPr>
            </w:pPr>
            <w:r w:rsidRPr="006305BB">
              <w:rPr>
                <w:sz w:val="24"/>
                <w:szCs w:val="24"/>
              </w:rPr>
              <w:t>40,354</w:t>
            </w:r>
            <w:r w:rsidR="005643CF">
              <w:rPr>
                <w:sz w:val="24"/>
                <w:szCs w:val="24"/>
              </w:rPr>
              <w:t xml:space="preserve"> </w:t>
            </w:r>
            <w:r w:rsidR="00712094">
              <w:rPr>
                <w:sz w:val="24"/>
                <w:szCs w:val="24"/>
              </w:rPr>
              <w:t>a</w:t>
            </w:r>
          </w:p>
        </w:tc>
        <w:tc>
          <w:tcPr>
            <w:tcW w:w="2078" w:type="dxa"/>
            <w:vAlign w:val="center"/>
          </w:tcPr>
          <w:p w14:paraId="305DEF49" w14:textId="2D45439E" w:rsidR="00CF4107" w:rsidRPr="006305BB" w:rsidRDefault="00CF4107" w:rsidP="005643CF">
            <w:pPr>
              <w:widowControl w:val="0"/>
              <w:spacing w:line="257" w:lineRule="auto"/>
              <w:ind w:right="153"/>
              <w:jc w:val="center"/>
              <w:rPr>
                <w:sz w:val="24"/>
                <w:szCs w:val="24"/>
              </w:rPr>
            </w:pPr>
            <w:r w:rsidRPr="006305BB">
              <w:rPr>
                <w:sz w:val="24"/>
                <w:szCs w:val="24"/>
              </w:rPr>
              <w:t>94</w:t>
            </w:r>
            <w:r w:rsidR="005643CF">
              <w:rPr>
                <w:sz w:val="24"/>
                <w:szCs w:val="24"/>
              </w:rPr>
              <w:t xml:space="preserve"> </w:t>
            </w:r>
            <w:r w:rsidRPr="006305BB">
              <w:rPr>
                <w:sz w:val="24"/>
                <w:szCs w:val="24"/>
              </w:rPr>
              <w:t>b</w:t>
            </w:r>
          </w:p>
        </w:tc>
      </w:tr>
      <w:tr w:rsidR="00CF4107" w14:paraId="1860FE6C" w14:textId="77777777" w:rsidTr="00632912">
        <w:tc>
          <w:tcPr>
            <w:tcW w:w="2428" w:type="dxa"/>
            <w:vAlign w:val="center"/>
          </w:tcPr>
          <w:p w14:paraId="1B738C30" w14:textId="77777777" w:rsidR="00CF4107" w:rsidRPr="006305BB" w:rsidRDefault="00CF4107" w:rsidP="005643CF">
            <w:pPr>
              <w:widowControl w:val="0"/>
              <w:spacing w:line="257" w:lineRule="auto"/>
              <w:ind w:right="153"/>
              <w:jc w:val="center"/>
              <w:rPr>
                <w:sz w:val="24"/>
                <w:szCs w:val="24"/>
              </w:rPr>
            </w:pPr>
            <w:r w:rsidRPr="006305BB">
              <w:rPr>
                <w:sz w:val="24"/>
                <w:szCs w:val="24"/>
              </w:rPr>
              <w:t>Feijão Branco</w:t>
            </w:r>
          </w:p>
        </w:tc>
        <w:tc>
          <w:tcPr>
            <w:tcW w:w="1727" w:type="dxa"/>
            <w:vAlign w:val="center"/>
          </w:tcPr>
          <w:p w14:paraId="3AD5CC01" w14:textId="765C7E65" w:rsidR="00CF4107" w:rsidRPr="006305BB" w:rsidRDefault="00CF4107" w:rsidP="005643CF">
            <w:pPr>
              <w:widowControl w:val="0"/>
              <w:spacing w:line="257" w:lineRule="auto"/>
              <w:ind w:right="153"/>
              <w:jc w:val="center"/>
              <w:rPr>
                <w:sz w:val="24"/>
                <w:szCs w:val="24"/>
              </w:rPr>
            </w:pPr>
            <w:r w:rsidRPr="006305BB">
              <w:rPr>
                <w:sz w:val="24"/>
                <w:szCs w:val="24"/>
              </w:rPr>
              <w:t>28,976</w:t>
            </w:r>
            <w:r w:rsidR="005643CF">
              <w:rPr>
                <w:sz w:val="24"/>
                <w:szCs w:val="24"/>
              </w:rPr>
              <w:t xml:space="preserve"> </w:t>
            </w:r>
            <w:r w:rsidRPr="006305BB">
              <w:rPr>
                <w:sz w:val="24"/>
                <w:szCs w:val="24"/>
              </w:rPr>
              <w:t>b</w:t>
            </w:r>
          </w:p>
        </w:tc>
        <w:tc>
          <w:tcPr>
            <w:tcW w:w="2078" w:type="dxa"/>
            <w:vAlign w:val="center"/>
          </w:tcPr>
          <w:p w14:paraId="37000F8A" w14:textId="40C05337" w:rsidR="00CF4107" w:rsidRPr="006305BB" w:rsidRDefault="00CF4107" w:rsidP="005643CF">
            <w:pPr>
              <w:widowControl w:val="0"/>
              <w:spacing w:line="257" w:lineRule="auto"/>
              <w:ind w:right="153"/>
              <w:jc w:val="center"/>
              <w:rPr>
                <w:sz w:val="24"/>
                <w:szCs w:val="24"/>
              </w:rPr>
            </w:pPr>
            <w:r w:rsidRPr="006305BB">
              <w:rPr>
                <w:sz w:val="24"/>
                <w:szCs w:val="24"/>
              </w:rPr>
              <w:t>100</w:t>
            </w:r>
            <w:r w:rsidR="005643CF">
              <w:rPr>
                <w:sz w:val="24"/>
                <w:szCs w:val="24"/>
              </w:rPr>
              <w:t xml:space="preserve"> </w:t>
            </w:r>
            <w:r w:rsidRPr="006305BB">
              <w:rPr>
                <w:sz w:val="24"/>
                <w:szCs w:val="24"/>
              </w:rPr>
              <w:t>a</w:t>
            </w:r>
          </w:p>
        </w:tc>
      </w:tr>
      <w:tr w:rsidR="00CF4107" w14:paraId="710215F5" w14:textId="77777777" w:rsidTr="00632912">
        <w:tc>
          <w:tcPr>
            <w:tcW w:w="2428" w:type="dxa"/>
            <w:vAlign w:val="center"/>
          </w:tcPr>
          <w:p w14:paraId="5C0D2E2E" w14:textId="77777777" w:rsidR="00CF4107" w:rsidRPr="006305BB" w:rsidRDefault="00CF4107" w:rsidP="005643CF">
            <w:pPr>
              <w:widowControl w:val="0"/>
              <w:spacing w:line="257" w:lineRule="auto"/>
              <w:ind w:right="153"/>
              <w:jc w:val="center"/>
              <w:rPr>
                <w:sz w:val="24"/>
                <w:szCs w:val="24"/>
              </w:rPr>
            </w:pPr>
            <w:r w:rsidRPr="006305BB">
              <w:rPr>
                <w:sz w:val="24"/>
                <w:szCs w:val="24"/>
              </w:rPr>
              <w:t>Carioca Paraguaio</w:t>
            </w:r>
          </w:p>
        </w:tc>
        <w:tc>
          <w:tcPr>
            <w:tcW w:w="1727" w:type="dxa"/>
            <w:vAlign w:val="center"/>
          </w:tcPr>
          <w:p w14:paraId="00B1765A" w14:textId="5569D184" w:rsidR="00CF4107" w:rsidRPr="006305BB" w:rsidRDefault="00CF4107" w:rsidP="005643CF">
            <w:pPr>
              <w:widowControl w:val="0"/>
              <w:spacing w:line="257" w:lineRule="auto"/>
              <w:ind w:right="153"/>
              <w:jc w:val="center"/>
              <w:rPr>
                <w:sz w:val="24"/>
                <w:szCs w:val="24"/>
              </w:rPr>
            </w:pPr>
            <w:r w:rsidRPr="006305BB">
              <w:rPr>
                <w:sz w:val="24"/>
                <w:szCs w:val="24"/>
              </w:rPr>
              <w:t>22,825</w:t>
            </w:r>
            <w:r w:rsidR="005643CF">
              <w:rPr>
                <w:sz w:val="24"/>
                <w:szCs w:val="24"/>
              </w:rPr>
              <w:t xml:space="preserve"> </w:t>
            </w:r>
            <w:r w:rsidRPr="006305BB">
              <w:rPr>
                <w:sz w:val="24"/>
                <w:szCs w:val="24"/>
              </w:rPr>
              <w:t>b</w:t>
            </w:r>
          </w:p>
        </w:tc>
        <w:tc>
          <w:tcPr>
            <w:tcW w:w="2078" w:type="dxa"/>
            <w:vAlign w:val="center"/>
          </w:tcPr>
          <w:p w14:paraId="331613CB" w14:textId="7218E970" w:rsidR="00CF4107" w:rsidRPr="006305BB" w:rsidRDefault="00CF4107" w:rsidP="005643CF">
            <w:pPr>
              <w:widowControl w:val="0"/>
              <w:spacing w:line="257" w:lineRule="auto"/>
              <w:ind w:right="153"/>
              <w:jc w:val="center"/>
              <w:rPr>
                <w:sz w:val="24"/>
                <w:szCs w:val="24"/>
              </w:rPr>
            </w:pPr>
            <w:r w:rsidRPr="006305BB">
              <w:rPr>
                <w:sz w:val="24"/>
                <w:szCs w:val="24"/>
              </w:rPr>
              <w:t>90</w:t>
            </w:r>
            <w:r w:rsidR="005643CF">
              <w:rPr>
                <w:sz w:val="24"/>
                <w:szCs w:val="24"/>
              </w:rPr>
              <w:t xml:space="preserve"> </w:t>
            </w:r>
            <w:r w:rsidRPr="006305BB">
              <w:rPr>
                <w:sz w:val="24"/>
                <w:szCs w:val="24"/>
              </w:rPr>
              <w:t>b</w:t>
            </w:r>
          </w:p>
        </w:tc>
      </w:tr>
      <w:tr w:rsidR="00CF4107" w14:paraId="507529A9" w14:textId="77777777" w:rsidTr="00632912">
        <w:tc>
          <w:tcPr>
            <w:tcW w:w="2428" w:type="dxa"/>
            <w:vAlign w:val="center"/>
          </w:tcPr>
          <w:p w14:paraId="78113AB8" w14:textId="77777777" w:rsidR="00CF4107" w:rsidRPr="006305BB" w:rsidRDefault="00CF4107" w:rsidP="005643CF">
            <w:pPr>
              <w:widowControl w:val="0"/>
              <w:spacing w:line="257" w:lineRule="auto"/>
              <w:ind w:right="153"/>
              <w:jc w:val="center"/>
              <w:rPr>
                <w:sz w:val="24"/>
                <w:szCs w:val="24"/>
              </w:rPr>
            </w:pPr>
            <w:proofErr w:type="spellStart"/>
            <w:r w:rsidRPr="006305BB">
              <w:rPr>
                <w:sz w:val="24"/>
                <w:szCs w:val="24"/>
              </w:rPr>
              <w:t>Quixabinha</w:t>
            </w:r>
            <w:proofErr w:type="spellEnd"/>
          </w:p>
        </w:tc>
        <w:tc>
          <w:tcPr>
            <w:tcW w:w="1727" w:type="dxa"/>
            <w:vAlign w:val="center"/>
          </w:tcPr>
          <w:p w14:paraId="48069DDA" w14:textId="57979349" w:rsidR="00CF4107" w:rsidRPr="006305BB" w:rsidRDefault="00CF4107" w:rsidP="005643CF">
            <w:pPr>
              <w:widowControl w:val="0"/>
              <w:spacing w:line="257" w:lineRule="auto"/>
              <w:ind w:right="153"/>
              <w:jc w:val="center"/>
              <w:rPr>
                <w:sz w:val="24"/>
                <w:szCs w:val="24"/>
              </w:rPr>
            </w:pPr>
            <w:r w:rsidRPr="006305BB">
              <w:rPr>
                <w:sz w:val="24"/>
                <w:szCs w:val="24"/>
              </w:rPr>
              <w:t>50,523</w:t>
            </w:r>
            <w:r w:rsidR="005643CF">
              <w:rPr>
                <w:sz w:val="24"/>
                <w:szCs w:val="24"/>
              </w:rPr>
              <w:t xml:space="preserve"> </w:t>
            </w:r>
            <w:r w:rsidR="00712094">
              <w:rPr>
                <w:sz w:val="24"/>
                <w:szCs w:val="24"/>
              </w:rPr>
              <w:t>a</w:t>
            </w:r>
          </w:p>
        </w:tc>
        <w:tc>
          <w:tcPr>
            <w:tcW w:w="2078" w:type="dxa"/>
            <w:vAlign w:val="center"/>
          </w:tcPr>
          <w:p w14:paraId="40E29B86" w14:textId="6EE569CE" w:rsidR="00CF4107" w:rsidRPr="006305BB" w:rsidRDefault="00CF4107" w:rsidP="005643CF">
            <w:pPr>
              <w:widowControl w:val="0"/>
              <w:spacing w:line="257" w:lineRule="auto"/>
              <w:ind w:right="153"/>
              <w:jc w:val="center"/>
              <w:rPr>
                <w:sz w:val="24"/>
                <w:szCs w:val="24"/>
              </w:rPr>
            </w:pPr>
            <w:r w:rsidRPr="006305BB">
              <w:rPr>
                <w:sz w:val="24"/>
                <w:szCs w:val="24"/>
              </w:rPr>
              <w:t>93</w:t>
            </w:r>
            <w:r w:rsidR="005643CF">
              <w:rPr>
                <w:sz w:val="24"/>
                <w:szCs w:val="24"/>
              </w:rPr>
              <w:t xml:space="preserve"> </w:t>
            </w:r>
            <w:r w:rsidRPr="006305BB">
              <w:rPr>
                <w:sz w:val="24"/>
                <w:szCs w:val="24"/>
              </w:rPr>
              <w:t>b</w:t>
            </w:r>
          </w:p>
        </w:tc>
      </w:tr>
      <w:tr w:rsidR="00CF4107" w14:paraId="0A6D1A80" w14:textId="77777777" w:rsidTr="00632912">
        <w:tc>
          <w:tcPr>
            <w:tcW w:w="2428" w:type="dxa"/>
            <w:tcBorders>
              <w:bottom w:val="single" w:sz="4" w:space="0" w:color="auto"/>
            </w:tcBorders>
            <w:vAlign w:val="center"/>
          </w:tcPr>
          <w:p w14:paraId="39CC2B43" w14:textId="77777777" w:rsidR="00CF4107" w:rsidRPr="006305BB" w:rsidRDefault="00CF4107" w:rsidP="005643CF">
            <w:pPr>
              <w:widowControl w:val="0"/>
              <w:spacing w:line="257" w:lineRule="auto"/>
              <w:ind w:right="153"/>
              <w:jc w:val="center"/>
              <w:rPr>
                <w:sz w:val="24"/>
                <w:szCs w:val="24"/>
              </w:rPr>
            </w:pPr>
            <w:r w:rsidRPr="006305BB">
              <w:rPr>
                <w:sz w:val="24"/>
                <w:szCs w:val="24"/>
              </w:rPr>
              <w:t>Canaã</w:t>
            </w:r>
          </w:p>
        </w:tc>
        <w:tc>
          <w:tcPr>
            <w:tcW w:w="1727" w:type="dxa"/>
            <w:tcBorders>
              <w:bottom w:val="single" w:sz="4" w:space="0" w:color="auto"/>
            </w:tcBorders>
            <w:vAlign w:val="center"/>
          </w:tcPr>
          <w:p w14:paraId="68A46E46" w14:textId="6CFA4BA8" w:rsidR="00CF4107" w:rsidRPr="006305BB" w:rsidRDefault="00CF4107" w:rsidP="005643CF">
            <w:pPr>
              <w:widowControl w:val="0"/>
              <w:spacing w:line="257" w:lineRule="auto"/>
              <w:ind w:right="153"/>
              <w:jc w:val="center"/>
              <w:rPr>
                <w:sz w:val="24"/>
                <w:szCs w:val="24"/>
              </w:rPr>
            </w:pPr>
            <w:r w:rsidRPr="006305BB">
              <w:rPr>
                <w:sz w:val="24"/>
                <w:szCs w:val="24"/>
              </w:rPr>
              <w:t>37,035</w:t>
            </w:r>
            <w:r w:rsidR="005643CF">
              <w:rPr>
                <w:sz w:val="24"/>
                <w:szCs w:val="24"/>
              </w:rPr>
              <w:t xml:space="preserve"> </w:t>
            </w:r>
            <w:r w:rsidRPr="006305BB">
              <w:rPr>
                <w:sz w:val="24"/>
                <w:szCs w:val="24"/>
              </w:rPr>
              <w:t>a</w:t>
            </w:r>
          </w:p>
        </w:tc>
        <w:tc>
          <w:tcPr>
            <w:tcW w:w="2078" w:type="dxa"/>
            <w:tcBorders>
              <w:bottom w:val="single" w:sz="4" w:space="0" w:color="auto"/>
            </w:tcBorders>
            <w:vAlign w:val="center"/>
          </w:tcPr>
          <w:p w14:paraId="07275178" w14:textId="59355AB3" w:rsidR="00CF4107" w:rsidRPr="006305BB" w:rsidRDefault="00CF4107" w:rsidP="005643CF">
            <w:pPr>
              <w:keepNext/>
              <w:widowControl w:val="0"/>
              <w:spacing w:line="257" w:lineRule="auto"/>
              <w:ind w:right="153"/>
              <w:jc w:val="center"/>
              <w:rPr>
                <w:sz w:val="24"/>
                <w:szCs w:val="24"/>
              </w:rPr>
            </w:pPr>
            <w:r w:rsidRPr="006305BB">
              <w:rPr>
                <w:sz w:val="24"/>
                <w:szCs w:val="24"/>
              </w:rPr>
              <w:t>93</w:t>
            </w:r>
            <w:r w:rsidR="005643CF">
              <w:rPr>
                <w:sz w:val="24"/>
                <w:szCs w:val="24"/>
              </w:rPr>
              <w:t xml:space="preserve"> </w:t>
            </w:r>
            <w:r w:rsidRPr="006305BB">
              <w:rPr>
                <w:sz w:val="24"/>
                <w:szCs w:val="24"/>
              </w:rPr>
              <w:t>b</w:t>
            </w:r>
          </w:p>
        </w:tc>
      </w:tr>
    </w:tbl>
    <w:p w14:paraId="75C95B57" w14:textId="7648D4BB" w:rsidR="00712094" w:rsidRPr="00CF59B9" w:rsidRDefault="00CF4107" w:rsidP="00CF59B9">
      <w:pPr>
        <w:pStyle w:val="Legenda"/>
        <w:keepNext/>
        <w:spacing w:before="0" w:after="120"/>
        <w:ind w:left="0"/>
        <w:jc w:val="center"/>
        <w:rPr>
          <w:i w:val="0"/>
          <w:iCs w:val="0"/>
          <w:szCs w:val="20"/>
          <w:lang w:val="pt-BR"/>
        </w:rPr>
      </w:pPr>
      <w:r w:rsidRPr="00CF4107">
        <w:rPr>
          <w:i w:val="0"/>
          <w:iCs w:val="0"/>
          <w:szCs w:val="20"/>
          <w:lang w:val="pt-BR"/>
        </w:rPr>
        <w:t>Nota: Médias seguidas pela mesma letra na coluna, não diferem entre si pelo teste de Scott-</w:t>
      </w:r>
      <w:proofErr w:type="spellStart"/>
      <w:r w:rsidRPr="00CF4107">
        <w:rPr>
          <w:i w:val="0"/>
          <w:iCs w:val="0"/>
          <w:szCs w:val="20"/>
          <w:lang w:val="pt-BR"/>
        </w:rPr>
        <w:t>knott</w:t>
      </w:r>
      <w:proofErr w:type="spellEnd"/>
      <w:r w:rsidRPr="00CF4107">
        <w:rPr>
          <w:i w:val="0"/>
          <w:iCs w:val="0"/>
          <w:szCs w:val="20"/>
          <w:lang w:val="pt-BR"/>
        </w:rPr>
        <w:t xml:space="preserve"> a p&gt;0,05. Fonte: Elaborado pela autora</w:t>
      </w:r>
    </w:p>
    <w:p w14:paraId="73F257BD" w14:textId="14B42261" w:rsidR="003B6408" w:rsidRPr="00ED0763" w:rsidRDefault="003307E2" w:rsidP="00147B68">
      <w:pPr>
        <w:widowControl w:val="0"/>
        <w:spacing w:after="120" w:line="259" w:lineRule="auto"/>
        <w:ind w:left="141" w:right="152" w:firstLine="708"/>
        <w:rPr>
          <w:sz w:val="24"/>
          <w:szCs w:val="24"/>
        </w:rPr>
      </w:pPr>
      <w:r w:rsidRPr="00ED0763">
        <w:rPr>
          <w:sz w:val="24"/>
          <w:szCs w:val="24"/>
        </w:rPr>
        <w:t xml:space="preserve">Entretanto, alguns acessos, como </w:t>
      </w:r>
      <w:r w:rsidRPr="00FD1A50">
        <w:rPr>
          <w:sz w:val="24"/>
          <w:szCs w:val="24"/>
        </w:rPr>
        <w:t>São João</w:t>
      </w:r>
      <w:r w:rsidRPr="00ED0763">
        <w:rPr>
          <w:sz w:val="24"/>
          <w:szCs w:val="24"/>
        </w:rPr>
        <w:t xml:space="preserve"> e </w:t>
      </w:r>
      <w:r w:rsidRPr="00FD1A50">
        <w:rPr>
          <w:sz w:val="24"/>
          <w:szCs w:val="24"/>
        </w:rPr>
        <w:t>Feijão Branco</w:t>
      </w:r>
      <w:r w:rsidRPr="00ED0763">
        <w:rPr>
          <w:sz w:val="24"/>
          <w:szCs w:val="24"/>
        </w:rPr>
        <w:t xml:space="preserve">, apresentaram germinação superior a 99%, evidenciando que a condutividade elétrica e a germinação não são variáveis completamente redundantes. Enquanto a primeira indica a integridade celular e o vigor, a segunda reflete diretamente a capacidade de estabelecimento inicial das plântulas </w:t>
      </w:r>
      <w:r w:rsidR="00205C43" w:rsidRPr="00950D59">
        <w:rPr>
          <w:sz w:val="24"/>
          <w:szCs w:val="24"/>
        </w:rPr>
        <w:fldChar w:fldCharType="begin"/>
      </w:r>
      <w:r w:rsidR="00205C43" w:rsidRPr="00950D59">
        <w:rPr>
          <w:sz w:val="24"/>
          <w:szCs w:val="24"/>
        </w:rPr>
        <w:instrText xml:space="preserve"> ADDIN ZOTERO_ITEM CSL_CITATION {"citationID":"MwjvirTL","properties":{"formattedCitation":"(Krzyzanowski, 2020; Marcos-Filho, 2015)","plainCitation":"(Krzyzanowski, 2020; Marcos-Filho, 2015)","noteIndex":0},"citationItems":[{"id":341,"uris":["http://zotero.org/users/14178593/items/NMPJ3GZA"],"itemData":{"id":341,"type":"book","ISBN":"978-65-992000-0-7","language":"pt-BR","publisher":"Associação Brasileira de Tecnologia de Sementes - ABRATES","source":"Câmara Brasileira do Livro ISBN","title":"Vigor de sementes: conceitos e testes","title-short":"Vigor de sementes","author":[{"family":"Krzyzanowski","given":"Francisco Carlos"}],"contributor":[{"family":"Vieira","given":"Roberval Daiton"},{"family":"França-Neto","given":"José de Barros"},{"family":"Marcos-Filho","given":"Julio"}],"issued":{"date-parts":[["2020",8,13]]}}},{"id":325,"uris":["http://zotero.org/users/14178593/items/MCQ6GCFH"],"itemData":{"id":325,"type":"book","ISBN":"978-85-64895-03-4","language":"pt-BR","publisher":"Abrates","source":"Câmara Brasileira do Livro ISBN","title":"Fisiologia de sementes de plantas cultivadas","author":[{"family":"Marcos-Filho","given":"Júlio"}],"issued":{"date-parts":[["2015",4,14]]}}}],"schema":"https://github.com/citation-style-language/schema/raw/master/csl-citation.json"} </w:instrText>
      </w:r>
      <w:r w:rsidR="00205C43" w:rsidRPr="00950D59">
        <w:rPr>
          <w:sz w:val="24"/>
          <w:szCs w:val="24"/>
        </w:rPr>
        <w:fldChar w:fldCharType="separate"/>
      </w:r>
      <w:r w:rsidR="00205C43" w:rsidRPr="00950D59">
        <w:rPr>
          <w:sz w:val="24"/>
          <w:szCs w:val="24"/>
        </w:rPr>
        <w:t>(Krzyzanowski, 2020; Marcos-Filho, 2015)</w:t>
      </w:r>
      <w:r w:rsidR="00205C43" w:rsidRPr="00950D59">
        <w:rPr>
          <w:sz w:val="24"/>
          <w:szCs w:val="24"/>
        </w:rPr>
        <w:fldChar w:fldCharType="end"/>
      </w:r>
      <w:r w:rsidR="00205C43" w:rsidRPr="00950D59">
        <w:rPr>
          <w:sz w:val="24"/>
          <w:szCs w:val="24"/>
        </w:rPr>
        <w:t>.</w:t>
      </w:r>
      <w:r w:rsidR="00205C43">
        <w:rPr>
          <w:sz w:val="24"/>
          <w:szCs w:val="24"/>
        </w:rPr>
        <w:t xml:space="preserve"> </w:t>
      </w:r>
      <w:r w:rsidRPr="00ED0763">
        <w:rPr>
          <w:sz w:val="24"/>
          <w:szCs w:val="24"/>
        </w:rPr>
        <w:t>Assim, a utilização conjunta de diferentes testes é fundamental para uma caracterização mais abrangente da qualidade fisiológica das sementes.</w:t>
      </w:r>
    </w:p>
    <w:p w14:paraId="262D84A8" w14:textId="4F41EC30" w:rsidR="003E4A6B" w:rsidRDefault="003E4A6B" w:rsidP="004423E6">
      <w:pPr>
        <w:widowControl w:val="0"/>
        <w:spacing w:after="120" w:line="259" w:lineRule="auto"/>
        <w:ind w:left="141" w:right="152" w:firstLine="708"/>
        <w:rPr>
          <w:sz w:val="24"/>
          <w:szCs w:val="24"/>
        </w:rPr>
      </w:pPr>
      <w:r w:rsidRPr="00ED0763">
        <w:rPr>
          <w:sz w:val="24"/>
          <w:szCs w:val="24"/>
        </w:rPr>
        <w:t xml:space="preserve">A separação dos genótipos em dois grupos de germinação reforça a ampla variabilidade existente entre materiais crioulos, característica já relatada em estudos sobre recursos genéticos de feijoeiro e outras espécies cultivadas </w:t>
      </w:r>
      <w:r w:rsidR="001C7D89" w:rsidRPr="00950D59">
        <w:rPr>
          <w:sz w:val="24"/>
          <w:szCs w:val="24"/>
        </w:rPr>
        <w:fldChar w:fldCharType="begin"/>
      </w:r>
      <w:r w:rsidR="0015642A" w:rsidRPr="00950D59">
        <w:rPr>
          <w:sz w:val="24"/>
          <w:szCs w:val="24"/>
        </w:rPr>
        <w:instrText xml:space="preserve"> ADDIN ZOTERO_ITEM CSL_CITATION {"citationID":"nsJWeOBd","properties":{"formattedCitation":"(Costa et al., 2024a; Souza et al., 2023)","plainCitation":"(Costa et al., 2024a; Souza et al., 2023)","noteIndex":0},"citationItems":[{"id":342,"uris":["http://zotero.org/users/14178593/items/N9A9A9ED"],"itemData":{"id":342,"type":"article-journal","abstract":"O feijão comum (Phaseolus vulgaris L.) é uma leguminosa de grande relevância agronômica e socioeconômica. Essencial para a economia e segurança alimentar, fornecendo proteínas, carboidratos, minerais e vitaminas do complexo B. Este estudo avaliou a variabilidade morfofisiológica de dez genótipos crioulos de feijão comum obtidos do Instituto Agronômico de Pernambuco. Utilizando um delineamento de blocos ao acaso com três canteiros e 300 plantas, foram realizadas avaliações morfológicas e fisiológicas das sementes e vagens. Os resultados mostraram variações significativas nas características das sementes e vagens, incluindo largura, comprimento, altura e peso das sementes, além de comprimento, altura e número de lócus das vagens. Análises qualitativas destacaram a importância da cor e padrão do tegumento na aceitação comercial dos genótipos. A caracterização fisiológica incluiu testes de germinação e vigor das sementes, revelando variações significativas no índice de germinação e matéria seca das plântulas. A análise estatística, utilizando ANOVA e o teste de Scott-Knott, mostrou alta variabilidade fenotípica entre os genótipos. Para visualizar as relações genéticas entre os genótipos, foi gerado um dendrograma utilizando o método UPGMA com base na distância de Mahalanobis. O dendrograma mostrou dois grupos principais: um com os genótipos rosinha e carrapatinho, e outro com os demais genótipos. Esta análise é fundamental para identificar genótipos promissores e divergentes para cruzamentos, aumentando a variabilidade genética e obtendo cultivares superiores. A variabilidade genética nos genótipos crioulos de feijão comum é um recurso valioso para desenvolver cultivares adaptadas a diferentes condições ambientais e resistentes a patógenos.","container-title":"REVISTA DELOS","DOI":"10.55905/rdelosv17.n59-011","ISSN":"1988-5245","issue":"59","language":"en","page":"e1893-e1893","source":"ojs.revistadelos.com","title":"Diversidade morfofisiológica entre acessos de feijão-comum (Phaseolus vulgaris L.)","volume":"17","author":[{"family":"Costa","given":"Gabriel Aubry Porto"},{"family":"Souza","given":"Luís Fernando dos Santos"},{"family":"Ramalho","given":"Priscilla Anunciada Alves Moreira"},{"family":"Costa","given":"Antônio Félix","dropping-particle":"da"},{"family":"Benvenuto","given":"Elisabete Albuquerque dos Santos"},{"family":"Oliveira","given":"Frederico Inácio Costa","dropping-particle":"de"},{"family":"Filho","given":"José Luiz Sandes de Carvalho"},{"family":"Carvalho","given":"Rejane Rodrigues da Costa","dropping-particle":"e"}],"issued":{"date-parts":[["2024",9,20]]}}},{"id":339,"uris":["http://zotero.org/users/14178593/items/TB6N8DBT"],"itemData":{"id":339,"type":"article-journal","abstract":"Creole seeds are considered a local heritage because of their natural biological ability to adapt to different environments. Maintenance of seed vigor has been a challenge for farmers, often because of prolonged droughts and/or lack of technical assistance, making it difficult to renew seed vigor. The objective of this study was to evaluate the morphophysiological characteristics of native seeds of Phaseolus vulgaris genotypes. Seeds were provided by the custodian of the Creole community seed bank in the municipality of Piranhas, AL. The following were evaluated: weight of one thousand seeds (PMS g), water content (TA%), germination index (IG%), germination speed index (IVG), seedling length (CP cm), and seedling dry mass (MSP g). Scott Knott was used at 5% probability, and all analyses followed the Rules for Seed Analysis. For water content, the varieties ranged from 6.9% to 11.78% moisture. For PMS, the genotypes ranged from 351 to 123.5 g. In terms of germination, the bean genotypes presented 29 to 85% and one presented 100% dead seeds. The seeds were stored with the recommended water content, and the Creole genotypes showed great diversity in their sizes, a factor that impacts storage and planting planning. For varieties that presented germination values below 70%, it must be observed whether it is related to a specific factor of a crop and/or the storage conditions and time. Black presented good averages for all morphophysiological characteristics.","container-title":"REVISTA DELOS","DOI":"10.55905/rdelosv16.n48-001","ISSN":"1988-5245","issue":"48","language":"en","page":"2988-3001","source":"ojs.revistadelos.com","title":"Morphophysiology of creol seeds in genotypes of Phaseolus vulgaris L.","volume":"16","author":[{"family":"Souza","given":"Luís Fernando Santos"},{"family":"Marques","given":"Fábio José"},{"family":"Costa","given":"Kleyton Danilo da Silva"},{"family":"Carvalho","given":"Rejane Rodrigues da Costa","dropping-particle":"e"},{"family":"Souza","given":"Kátia Barbosa"},{"family":"Nascimento","given":"Thâmara Pereria","dropping-particle":"do"}],"issued":{"date-parts":[["2023",10,11]]}}}],"schema":"https://github.com/citation-style-language/schema/raw/master/csl-citation.json"} </w:instrText>
      </w:r>
      <w:r w:rsidR="001C7D89" w:rsidRPr="00950D59">
        <w:rPr>
          <w:sz w:val="24"/>
          <w:szCs w:val="24"/>
        </w:rPr>
        <w:fldChar w:fldCharType="separate"/>
      </w:r>
      <w:r w:rsidR="0015642A" w:rsidRPr="00950D59">
        <w:rPr>
          <w:sz w:val="24"/>
          <w:szCs w:val="24"/>
        </w:rPr>
        <w:t>(Costa et al., 2024a; Souza et al., 2023)</w:t>
      </w:r>
      <w:r w:rsidR="001C7D89" w:rsidRPr="00950D59">
        <w:rPr>
          <w:sz w:val="24"/>
          <w:szCs w:val="24"/>
        </w:rPr>
        <w:fldChar w:fldCharType="end"/>
      </w:r>
      <w:r w:rsidRPr="00950D59">
        <w:rPr>
          <w:sz w:val="24"/>
          <w:szCs w:val="24"/>
        </w:rPr>
        <w:t>.</w:t>
      </w:r>
      <w:r w:rsidRPr="00ED0763">
        <w:rPr>
          <w:sz w:val="24"/>
          <w:szCs w:val="24"/>
        </w:rPr>
        <w:t xml:space="preserve"> Tal variabilidade constitui um recurso estratégico para programas de melhoramento e para a agricultura familiar, uma vez que alguns acessos reúnem atributos desejáveis, como rusticidade, elevada germinação e potencial de adaptação a diferentes condições ambientais </w:t>
      </w:r>
      <w:r w:rsidR="00561804" w:rsidRPr="00950D59">
        <w:rPr>
          <w:sz w:val="24"/>
          <w:szCs w:val="24"/>
        </w:rPr>
        <w:fldChar w:fldCharType="begin"/>
      </w:r>
      <w:r w:rsidR="00561804" w:rsidRPr="00950D59">
        <w:rPr>
          <w:sz w:val="24"/>
          <w:szCs w:val="24"/>
        </w:rPr>
        <w:instrText xml:space="preserve"> ADDIN ZOTERO_ITEM CSL_CITATION {"citationID":"OEJ3WTLc","properties":{"formattedCitation":"(P\\uc0\\u225{}dua, 2018)","plainCitation":"(Pádua, 2018)","noteIndex":0},"citationItems":[{"id":344,"uris":["http://zotero.org/users/14178593/items/7YHZBEVN"],"itemData":{"id":344,"type":"article-journal","abstract":"Cultivated species, on which humankind depends for survival, have been created by farmers that have crossed and selected wild plants and developed landraces. Early in 20th century, the theory of Centers of Origin of Cultivated Plants was proposed by Vavilov. He also warned the world about the loss of plant genetic diversity due to the dominance of a small number of genetically similar crops, a fact that help starting a movement for the conservation of plant genetic resources. From this time, several strategies and institutions were established around the world to act in plant genetic resources (PGR) conservation. In Brazil, a remarkable player in PGR conservation, some institutions conserve several crop species as well as their wild relatives and other socio-economically valuable plant species. In this paper we present the status of PGR conservation in Brazil as well as initiatives and laws aiming at respecting, preserving and maintaining associated indigenous and local knowledge, in the context of the target 9 of the Global Strategy for Plant Conservation.Key words:crop conservation; GSPC target 9; indigenous and local knowledge","container-title":"Rodriguésia","DOI":"https://doi.org/10.1590/2175-7860201869406","ISSN":"0370-6583, 2175-7860","journalAbbreviation":"Rodriguésia","language":"en","note":"publisher: Instituto de Pesquisas Jardim Botânico do Rio de Janeiro","page":"1557-1565","source":"SciELO","title":"Conservation of crop genetic resources in Brazil in the context of the target 9 of the Global Strategy for Plant Conservation","volume":"69","author":[{"family":"Pádua","given":"Juliano Gomes"}],"issued":{"date-parts":[["2018"]]}}}],"schema":"https://github.com/citation-style-language/schema/raw/master/csl-citation.json"} </w:instrText>
      </w:r>
      <w:r w:rsidR="00561804" w:rsidRPr="00950D59">
        <w:rPr>
          <w:sz w:val="24"/>
          <w:szCs w:val="24"/>
        </w:rPr>
        <w:fldChar w:fldCharType="separate"/>
      </w:r>
      <w:r w:rsidR="00561804" w:rsidRPr="00950D59">
        <w:rPr>
          <w:sz w:val="24"/>
          <w:szCs w:val="24"/>
        </w:rPr>
        <w:t>(Pádua, 2018)</w:t>
      </w:r>
      <w:r w:rsidR="00561804" w:rsidRPr="00950D59">
        <w:rPr>
          <w:sz w:val="24"/>
          <w:szCs w:val="24"/>
        </w:rPr>
        <w:fldChar w:fldCharType="end"/>
      </w:r>
      <w:r w:rsidR="00561804" w:rsidRPr="00950D59">
        <w:rPr>
          <w:sz w:val="24"/>
          <w:szCs w:val="24"/>
        </w:rPr>
        <w:t>.</w:t>
      </w:r>
    </w:p>
    <w:p w14:paraId="5AD4ACC8" w14:textId="77777777" w:rsidR="00CF4107" w:rsidRDefault="00CF4107" w:rsidP="00946872">
      <w:pPr>
        <w:widowControl w:val="0"/>
        <w:spacing w:after="120" w:line="259" w:lineRule="auto"/>
        <w:ind w:right="152"/>
        <w:rPr>
          <w:b/>
          <w:sz w:val="24"/>
          <w:szCs w:val="24"/>
        </w:rPr>
      </w:pPr>
      <w:r>
        <w:rPr>
          <w:b/>
          <w:sz w:val="24"/>
          <w:szCs w:val="24"/>
        </w:rPr>
        <w:t>4. CONCLUSÃO</w:t>
      </w:r>
    </w:p>
    <w:p w14:paraId="7FD0AD46" w14:textId="554EBF6D" w:rsidR="00CF4107" w:rsidRDefault="00CF4107" w:rsidP="00147B68">
      <w:pPr>
        <w:widowControl w:val="0"/>
        <w:spacing w:after="120" w:line="259" w:lineRule="auto"/>
        <w:ind w:right="152"/>
        <w:rPr>
          <w:sz w:val="24"/>
          <w:szCs w:val="24"/>
        </w:rPr>
      </w:pPr>
      <w:r>
        <w:rPr>
          <w:sz w:val="24"/>
          <w:szCs w:val="24"/>
        </w:rPr>
        <w:tab/>
      </w:r>
      <w:r w:rsidR="005A414D">
        <w:rPr>
          <w:sz w:val="24"/>
          <w:szCs w:val="24"/>
        </w:rPr>
        <w:t>T</w:t>
      </w:r>
      <w:r w:rsidR="00C50F8D" w:rsidRPr="00C50F8D">
        <w:rPr>
          <w:sz w:val="24"/>
          <w:szCs w:val="24"/>
        </w:rPr>
        <w:t>odos os genótipos apresentaram porcentagem de germinação superior ao limite mínimo de 80% estabelecido pela legislação para a espécie, evidenciando sua adequação aos padrões exigidos.</w:t>
      </w:r>
    </w:p>
    <w:p w14:paraId="03946266" w14:textId="35DE481F" w:rsidR="00CF4107" w:rsidRDefault="00CF4107" w:rsidP="00B33B15">
      <w:pPr>
        <w:widowControl w:val="0"/>
        <w:spacing w:after="120" w:line="259" w:lineRule="auto"/>
        <w:ind w:right="152"/>
        <w:jc w:val="center"/>
        <w:rPr>
          <w:b/>
          <w:sz w:val="24"/>
          <w:szCs w:val="24"/>
        </w:rPr>
      </w:pPr>
      <w:r>
        <w:rPr>
          <w:b/>
          <w:sz w:val="24"/>
          <w:szCs w:val="24"/>
        </w:rPr>
        <w:t>REFERÊNCIA</w:t>
      </w:r>
    </w:p>
    <w:p w14:paraId="31879078" w14:textId="77777777" w:rsidR="004423E6" w:rsidRPr="004423E6" w:rsidRDefault="004423E6" w:rsidP="004423E6">
      <w:pPr>
        <w:pStyle w:val="Bibliografia"/>
        <w:rPr>
          <w:rFonts w:cs="Arial"/>
          <w:sz w:val="24"/>
          <w:szCs w:val="24"/>
        </w:rPr>
      </w:pPr>
      <w:r w:rsidRPr="004423E6">
        <w:rPr>
          <w:sz w:val="24"/>
          <w:szCs w:val="24"/>
        </w:rPr>
        <w:fldChar w:fldCharType="begin"/>
      </w:r>
      <w:r w:rsidRPr="004423E6">
        <w:rPr>
          <w:sz w:val="24"/>
          <w:szCs w:val="24"/>
        </w:rPr>
        <w:instrText xml:space="preserve"> ADDIN ZOTERO_BIBL {"uncited":[],"omitted":[],"custom":[]} CSL_BIBLIOGRAPHY </w:instrText>
      </w:r>
      <w:r w:rsidRPr="004423E6">
        <w:rPr>
          <w:sz w:val="24"/>
          <w:szCs w:val="24"/>
        </w:rPr>
        <w:fldChar w:fldCharType="separate"/>
      </w:r>
      <w:r w:rsidRPr="004423E6">
        <w:rPr>
          <w:rFonts w:cs="Arial"/>
          <w:sz w:val="24"/>
          <w:szCs w:val="24"/>
        </w:rPr>
        <w:t xml:space="preserve">BARROS, A. S. R.; MARCOS FILHO, J. Testes para avaliação rápida do vigor de sementes de soja. </w:t>
      </w:r>
      <w:r w:rsidRPr="004423E6">
        <w:rPr>
          <w:rFonts w:cs="Arial"/>
          <w:b/>
          <w:bCs/>
          <w:sz w:val="24"/>
          <w:szCs w:val="24"/>
        </w:rPr>
        <w:t>Revista Brasileira de Sementes</w:t>
      </w:r>
      <w:r w:rsidRPr="004423E6">
        <w:rPr>
          <w:rFonts w:cs="Arial"/>
          <w:sz w:val="24"/>
          <w:szCs w:val="24"/>
        </w:rPr>
        <w:t xml:space="preserve">, v. 19, n. 2, p. 288–294, 30 dez. 1997. </w:t>
      </w:r>
    </w:p>
    <w:p w14:paraId="38BE1F37" w14:textId="77777777" w:rsidR="004423E6" w:rsidRPr="004423E6" w:rsidRDefault="004423E6" w:rsidP="004423E6">
      <w:pPr>
        <w:pStyle w:val="Bibliografia"/>
        <w:rPr>
          <w:rFonts w:cs="Arial"/>
          <w:sz w:val="24"/>
          <w:szCs w:val="24"/>
        </w:rPr>
      </w:pPr>
      <w:r w:rsidRPr="004423E6">
        <w:rPr>
          <w:rFonts w:cs="Arial"/>
          <w:sz w:val="24"/>
          <w:szCs w:val="24"/>
        </w:rPr>
        <w:t xml:space="preserve">BINOTTI, Flávio Ferreira da Silva </w:t>
      </w:r>
      <w:r w:rsidRPr="004423E6">
        <w:rPr>
          <w:rFonts w:cs="Arial"/>
          <w:i/>
          <w:iCs/>
          <w:sz w:val="24"/>
          <w:szCs w:val="24"/>
        </w:rPr>
        <w:t>et al.</w:t>
      </w:r>
      <w:r w:rsidRPr="004423E6">
        <w:rPr>
          <w:rFonts w:cs="Arial"/>
          <w:sz w:val="24"/>
          <w:szCs w:val="24"/>
        </w:rPr>
        <w:t xml:space="preserve"> Efeito do período de envelhecimento acelerado no teste de condutividade elétrica e na qualidade fisiológica de sementes de feijão. </w:t>
      </w:r>
      <w:r w:rsidRPr="004423E6">
        <w:rPr>
          <w:rFonts w:cs="Arial"/>
          <w:b/>
          <w:bCs/>
          <w:sz w:val="24"/>
          <w:szCs w:val="24"/>
        </w:rPr>
        <w:t>Acta Scientiarum. Agronomy</w:t>
      </w:r>
      <w:r w:rsidRPr="004423E6">
        <w:rPr>
          <w:rFonts w:cs="Arial"/>
          <w:sz w:val="24"/>
          <w:szCs w:val="24"/>
        </w:rPr>
        <w:t xml:space="preserve">, v. 30, p. 247–254, 2008. </w:t>
      </w:r>
    </w:p>
    <w:p w14:paraId="70C04FBA" w14:textId="77777777" w:rsidR="004423E6" w:rsidRPr="004423E6" w:rsidRDefault="004423E6" w:rsidP="004423E6">
      <w:pPr>
        <w:pStyle w:val="Bibliografia"/>
        <w:rPr>
          <w:rFonts w:cs="Arial"/>
          <w:sz w:val="24"/>
          <w:szCs w:val="24"/>
        </w:rPr>
      </w:pPr>
      <w:r w:rsidRPr="004423E6">
        <w:rPr>
          <w:rFonts w:cs="Arial"/>
          <w:sz w:val="24"/>
          <w:szCs w:val="24"/>
        </w:rPr>
        <w:t xml:space="preserve">BRASIL. </w:t>
      </w:r>
      <w:r w:rsidRPr="004423E6">
        <w:rPr>
          <w:rFonts w:cs="Arial"/>
          <w:b/>
          <w:bCs/>
          <w:sz w:val="24"/>
          <w:szCs w:val="24"/>
        </w:rPr>
        <w:t>Regras Para Análise De Sementes</w:t>
      </w:r>
      <w:r w:rsidRPr="004423E6">
        <w:rPr>
          <w:rFonts w:cs="Arial"/>
          <w:sz w:val="24"/>
          <w:szCs w:val="24"/>
        </w:rPr>
        <w:t xml:space="preserve">. </w:t>
      </w:r>
      <w:r w:rsidRPr="004423E6">
        <w:rPr>
          <w:rFonts w:cs="Arial"/>
          <w:i/>
          <w:iCs/>
          <w:sz w:val="24"/>
          <w:szCs w:val="24"/>
        </w:rPr>
        <w:t>[S.l.]</w:t>
      </w:r>
      <w:r w:rsidRPr="004423E6">
        <w:rPr>
          <w:rFonts w:cs="Arial"/>
          <w:sz w:val="24"/>
          <w:szCs w:val="24"/>
        </w:rPr>
        <w:t xml:space="preserve">: Mapa, 2009. </w:t>
      </w:r>
    </w:p>
    <w:p w14:paraId="1CBF8F1B" w14:textId="77777777" w:rsidR="004423E6" w:rsidRPr="004423E6" w:rsidRDefault="004423E6" w:rsidP="004423E6">
      <w:pPr>
        <w:pStyle w:val="Bibliografia"/>
        <w:rPr>
          <w:rFonts w:cs="Arial"/>
          <w:sz w:val="24"/>
          <w:szCs w:val="24"/>
        </w:rPr>
      </w:pPr>
      <w:r w:rsidRPr="004423E6">
        <w:rPr>
          <w:rFonts w:cs="Arial"/>
          <w:sz w:val="24"/>
          <w:szCs w:val="24"/>
        </w:rPr>
        <w:t xml:space="preserve">CASTILHO, Itala Menegon </w:t>
      </w:r>
      <w:r w:rsidRPr="004423E6">
        <w:rPr>
          <w:rFonts w:cs="Arial"/>
          <w:i/>
          <w:iCs/>
          <w:sz w:val="24"/>
          <w:szCs w:val="24"/>
        </w:rPr>
        <w:t>et al.</w:t>
      </w:r>
      <w:r w:rsidRPr="004423E6">
        <w:rPr>
          <w:rFonts w:cs="Arial"/>
          <w:sz w:val="24"/>
          <w:szCs w:val="24"/>
        </w:rPr>
        <w:t xml:space="preserve"> Teste de condutividade elétrica na avaliação do potencial fisiológico de sementes de grão de bico. </w:t>
      </w:r>
      <w:r w:rsidRPr="004423E6">
        <w:rPr>
          <w:rFonts w:cs="Arial"/>
          <w:b/>
          <w:bCs/>
          <w:sz w:val="24"/>
          <w:szCs w:val="24"/>
        </w:rPr>
        <w:t>Revista de Ciências Agrárias</w:t>
      </w:r>
      <w:r w:rsidRPr="004423E6">
        <w:rPr>
          <w:rFonts w:cs="Arial"/>
          <w:sz w:val="24"/>
          <w:szCs w:val="24"/>
        </w:rPr>
        <w:t xml:space="preserve">, v. 42, n. 3, p. 691–697, 12 ago. 2019. </w:t>
      </w:r>
    </w:p>
    <w:p w14:paraId="7BE1AE16" w14:textId="77777777" w:rsidR="004423E6" w:rsidRPr="004423E6" w:rsidRDefault="004423E6" w:rsidP="004423E6">
      <w:pPr>
        <w:pStyle w:val="Bibliografia"/>
        <w:rPr>
          <w:rFonts w:cs="Arial"/>
          <w:sz w:val="24"/>
          <w:szCs w:val="24"/>
        </w:rPr>
      </w:pPr>
      <w:r w:rsidRPr="004423E6">
        <w:rPr>
          <w:rFonts w:cs="Arial"/>
          <w:sz w:val="24"/>
          <w:szCs w:val="24"/>
        </w:rPr>
        <w:t xml:space="preserve">COSTA, Gabriel Aubry Porto </w:t>
      </w:r>
      <w:r w:rsidRPr="004423E6">
        <w:rPr>
          <w:rFonts w:cs="Arial"/>
          <w:i/>
          <w:iCs/>
          <w:sz w:val="24"/>
          <w:szCs w:val="24"/>
        </w:rPr>
        <w:t>et al.</w:t>
      </w:r>
      <w:r w:rsidRPr="004423E6">
        <w:rPr>
          <w:rFonts w:cs="Arial"/>
          <w:sz w:val="24"/>
          <w:szCs w:val="24"/>
        </w:rPr>
        <w:t xml:space="preserve"> Diversidade morfofisiológica entre acessos de feijão-comum (Phaseolus vulgaris L.). </w:t>
      </w:r>
      <w:r w:rsidRPr="004423E6">
        <w:rPr>
          <w:rFonts w:cs="Arial"/>
          <w:b/>
          <w:bCs/>
          <w:sz w:val="24"/>
          <w:szCs w:val="24"/>
        </w:rPr>
        <w:t>REVISTA DELOS</w:t>
      </w:r>
      <w:r w:rsidRPr="004423E6">
        <w:rPr>
          <w:rFonts w:cs="Arial"/>
          <w:sz w:val="24"/>
          <w:szCs w:val="24"/>
        </w:rPr>
        <w:t xml:space="preserve">, v. 17, n. 59, p. e1893–e1893, 20 set. 2024a. </w:t>
      </w:r>
    </w:p>
    <w:p w14:paraId="1BE07370" w14:textId="77777777" w:rsidR="004423E6" w:rsidRPr="004423E6" w:rsidRDefault="004423E6" w:rsidP="004423E6">
      <w:pPr>
        <w:pStyle w:val="Bibliografia"/>
        <w:rPr>
          <w:rFonts w:cs="Arial"/>
          <w:sz w:val="24"/>
          <w:szCs w:val="24"/>
        </w:rPr>
      </w:pPr>
      <w:r w:rsidRPr="004423E6">
        <w:rPr>
          <w:rFonts w:cs="Arial"/>
          <w:sz w:val="24"/>
          <w:szCs w:val="24"/>
        </w:rPr>
        <w:lastRenderedPageBreak/>
        <w:t xml:space="preserve">COSTA, Gabriel Aubry Porto </w:t>
      </w:r>
      <w:r w:rsidRPr="004423E6">
        <w:rPr>
          <w:rFonts w:cs="Arial"/>
          <w:i/>
          <w:iCs/>
          <w:sz w:val="24"/>
          <w:szCs w:val="24"/>
        </w:rPr>
        <w:t>et al.</w:t>
      </w:r>
      <w:r w:rsidRPr="004423E6">
        <w:rPr>
          <w:rFonts w:cs="Arial"/>
          <w:sz w:val="24"/>
          <w:szCs w:val="24"/>
        </w:rPr>
        <w:t xml:space="preserve"> Melhoramento genético do feijão comum: origem, diversidade e qualidade das sementes. </w:t>
      </w:r>
      <w:r w:rsidRPr="004423E6">
        <w:rPr>
          <w:rFonts w:cs="Arial"/>
          <w:b/>
          <w:bCs/>
          <w:sz w:val="24"/>
          <w:szCs w:val="24"/>
        </w:rPr>
        <w:t>Caderno Pedagógico</w:t>
      </w:r>
      <w:r w:rsidRPr="004423E6">
        <w:rPr>
          <w:rFonts w:cs="Arial"/>
          <w:sz w:val="24"/>
          <w:szCs w:val="24"/>
        </w:rPr>
        <w:t xml:space="preserve">, v. 21, n. 10, p. e8659–e8659, 4 out. 2024b. </w:t>
      </w:r>
    </w:p>
    <w:p w14:paraId="0CB94377" w14:textId="77777777" w:rsidR="004423E6" w:rsidRPr="004423E6" w:rsidRDefault="004423E6" w:rsidP="004423E6">
      <w:pPr>
        <w:pStyle w:val="Bibliografia"/>
        <w:rPr>
          <w:rFonts w:cs="Arial"/>
          <w:sz w:val="24"/>
          <w:szCs w:val="24"/>
        </w:rPr>
      </w:pPr>
      <w:r w:rsidRPr="004423E6">
        <w:rPr>
          <w:rFonts w:cs="Arial"/>
          <w:sz w:val="24"/>
          <w:szCs w:val="24"/>
        </w:rPr>
        <w:t xml:space="preserve">CRUZ, Cosme Damião. GENES: a software package for analysis in experimental statistics and quantitative genetics. </w:t>
      </w:r>
      <w:r w:rsidRPr="004423E6">
        <w:rPr>
          <w:rFonts w:cs="Arial"/>
          <w:b/>
          <w:bCs/>
          <w:sz w:val="24"/>
          <w:szCs w:val="24"/>
        </w:rPr>
        <w:t>Acta Scientiarum. Agronomy</w:t>
      </w:r>
      <w:r w:rsidRPr="004423E6">
        <w:rPr>
          <w:rFonts w:cs="Arial"/>
          <w:sz w:val="24"/>
          <w:szCs w:val="24"/>
        </w:rPr>
        <w:t xml:space="preserve">, v. 35, p. 271–276, 2013. </w:t>
      </w:r>
    </w:p>
    <w:p w14:paraId="3A5DF36A" w14:textId="77777777" w:rsidR="004423E6" w:rsidRPr="004423E6" w:rsidRDefault="004423E6" w:rsidP="004423E6">
      <w:pPr>
        <w:pStyle w:val="Bibliografia"/>
        <w:rPr>
          <w:rFonts w:cs="Arial"/>
          <w:sz w:val="24"/>
          <w:szCs w:val="24"/>
        </w:rPr>
      </w:pPr>
      <w:r w:rsidRPr="004423E6">
        <w:rPr>
          <w:rFonts w:cs="Arial"/>
          <w:sz w:val="24"/>
          <w:szCs w:val="24"/>
        </w:rPr>
        <w:t xml:space="preserve">KRZYZANOWSKI, Francisco Carlos. </w:t>
      </w:r>
      <w:r w:rsidRPr="004423E6">
        <w:rPr>
          <w:rFonts w:cs="Arial"/>
          <w:b/>
          <w:bCs/>
          <w:sz w:val="24"/>
          <w:szCs w:val="24"/>
        </w:rPr>
        <w:t>Vigor de sementes: conceitos e testes</w:t>
      </w:r>
      <w:r w:rsidRPr="004423E6">
        <w:rPr>
          <w:rFonts w:cs="Arial"/>
          <w:sz w:val="24"/>
          <w:szCs w:val="24"/>
        </w:rPr>
        <w:t xml:space="preserve">. </w:t>
      </w:r>
      <w:r w:rsidRPr="004423E6">
        <w:rPr>
          <w:rFonts w:cs="Arial"/>
          <w:i/>
          <w:iCs/>
          <w:sz w:val="24"/>
          <w:szCs w:val="24"/>
        </w:rPr>
        <w:t>[S.l.]</w:t>
      </w:r>
      <w:r w:rsidRPr="004423E6">
        <w:rPr>
          <w:rFonts w:cs="Arial"/>
          <w:sz w:val="24"/>
          <w:szCs w:val="24"/>
        </w:rPr>
        <w:t xml:space="preserve">: Associação Brasileira de Tecnologia de Sementes - ABRATES, 2020. </w:t>
      </w:r>
    </w:p>
    <w:p w14:paraId="414FF26A" w14:textId="77777777" w:rsidR="004423E6" w:rsidRPr="004423E6" w:rsidRDefault="004423E6" w:rsidP="004423E6">
      <w:pPr>
        <w:pStyle w:val="Bibliografia"/>
        <w:rPr>
          <w:rFonts w:cs="Arial"/>
          <w:sz w:val="24"/>
          <w:szCs w:val="24"/>
        </w:rPr>
      </w:pPr>
      <w:r w:rsidRPr="004423E6">
        <w:rPr>
          <w:rFonts w:cs="Arial"/>
          <w:sz w:val="24"/>
          <w:szCs w:val="24"/>
        </w:rPr>
        <w:t xml:space="preserve">MARCOS-FILHO, Júlio. </w:t>
      </w:r>
      <w:r w:rsidRPr="004423E6">
        <w:rPr>
          <w:rFonts w:cs="Arial"/>
          <w:b/>
          <w:bCs/>
          <w:sz w:val="24"/>
          <w:szCs w:val="24"/>
        </w:rPr>
        <w:t>Fisiologia de sementes de plantas cultivadas</w:t>
      </w:r>
      <w:r w:rsidRPr="004423E6">
        <w:rPr>
          <w:rFonts w:cs="Arial"/>
          <w:sz w:val="24"/>
          <w:szCs w:val="24"/>
        </w:rPr>
        <w:t xml:space="preserve">. </w:t>
      </w:r>
      <w:r w:rsidRPr="004423E6">
        <w:rPr>
          <w:rFonts w:cs="Arial"/>
          <w:i/>
          <w:iCs/>
          <w:sz w:val="24"/>
          <w:szCs w:val="24"/>
        </w:rPr>
        <w:t>[S.l.]</w:t>
      </w:r>
      <w:r w:rsidRPr="004423E6">
        <w:rPr>
          <w:rFonts w:cs="Arial"/>
          <w:sz w:val="24"/>
          <w:szCs w:val="24"/>
        </w:rPr>
        <w:t xml:space="preserve">: Abrates, 2015. </w:t>
      </w:r>
    </w:p>
    <w:p w14:paraId="33139C3C" w14:textId="77777777" w:rsidR="004423E6" w:rsidRPr="004423E6" w:rsidRDefault="004423E6" w:rsidP="004423E6">
      <w:pPr>
        <w:pStyle w:val="Bibliografia"/>
        <w:rPr>
          <w:rFonts w:cs="Arial"/>
          <w:sz w:val="24"/>
          <w:szCs w:val="24"/>
        </w:rPr>
      </w:pPr>
      <w:r w:rsidRPr="004423E6">
        <w:rPr>
          <w:rFonts w:cs="Arial"/>
          <w:sz w:val="24"/>
          <w:szCs w:val="24"/>
        </w:rPr>
        <w:t xml:space="preserve">MORAES, Elenice da Silva; MENELAU, Almir Silveira. Análise do mercado de feijão comum. </w:t>
      </w:r>
      <w:r w:rsidRPr="004423E6">
        <w:rPr>
          <w:rFonts w:cs="Arial"/>
          <w:b/>
          <w:bCs/>
          <w:sz w:val="24"/>
          <w:szCs w:val="24"/>
        </w:rPr>
        <w:t>Revista de Política Agrícola</w:t>
      </w:r>
      <w:r w:rsidRPr="004423E6">
        <w:rPr>
          <w:rFonts w:cs="Arial"/>
          <w:sz w:val="24"/>
          <w:szCs w:val="24"/>
        </w:rPr>
        <w:t xml:space="preserve">, v. 26, n. 1, p. 81–92, 9 ago. 2017. </w:t>
      </w:r>
    </w:p>
    <w:p w14:paraId="125D6777" w14:textId="77777777" w:rsidR="004423E6" w:rsidRPr="004423E6" w:rsidRDefault="004423E6" w:rsidP="004423E6">
      <w:pPr>
        <w:pStyle w:val="Bibliografia"/>
        <w:rPr>
          <w:rFonts w:cs="Arial"/>
          <w:sz w:val="24"/>
          <w:szCs w:val="24"/>
        </w:rPr>
      </w:pPr>
      <w:r w:rsidRPr="004423E6">
        <w:rPr>
          <w:rFonts w:cs="Arial"/>
          <w:sz w:val="24"/>
          <w:szCs w:val="24"/>
        </w:rPr>
        <w:t xml:space="preserve">OLIVEIRA, Gilmara Martins de; WANDER, Alcido Elenor. Mapeamento da cadeia produtiva do feijão-comum no Brasil. </w:t>
      </w:r>
      <w:r w:rsidRPr="004423E6">
        <w:rPr>
          <w:rFonts w:cs="Arial"/>
          <w:b/>
          <w:bCs/>
          <w:sz w:val="24"/>
          <w:szCs w:val="24"/>
        </w:rPr>
        <w:t>Revista Economia Política do Desenvolvimento</w:t>
      </w:r>
      <w:r w:rsidRPr="004423E6">
        <w:rPr>
          <w:rFonts w:cs="Arial"/>
          <w:sz w:val="24"/>
          <w:szCs w:val="24"/>
        </w:rPr>
        <w:t xml:space="preserve">, v. 14, n. 32, p. 96–122, 22 dez. 2023. </w:t>
      </w:r>
    </w:p>
    <w:p w14:paraId="24570684" w14:textId="77777777" w:rsidR="004423E6" w:rsidRPr="004423E6" w:rsidRDefault="004423E6" w:rsidP="004423E6">
      <w:pPr>
        <w:pStyle w:val="Bibliografia"/>
        <w:rPr>
          <w:rFonts w:cs="Arial"/>
          <w:sz w:val="24"/>
          <w:szCs w:val="24"/>
        </w:rPr>
      </w:pPr>
      <w:r w:rsidRPr="004423E6">
        <w:rPr>
          <w:rFonts w:cs="Arial"/>
          <w:sz w:val="24"/>
          <w:szCs w:val="24"/>
        </w:rPr>
        <w:t xml:space="preserve">OOMAH, B. Dave; BASSINELLO, Patrícia Zaczuk; CAMPOS VEGA, Rocio (ORGS.). </w:t>
      </w:r>
      <w:r w:rsidRPr="004423E6">
        <w:rPr>
          <w:rFonts w:cs="Arial"/>
          <w:b/>
          <w:bCs/>
          <w:sz w:val="24"/>
          <w:szCs w:val="24"/>
        </w:rPr>
        <w:t>Phaseolus vulgaris: cultivars, production and uses</w:t>
      </w:r>
      <w:r w:rsidRPr="004423E6">
        <w:rPr>
          <w:rFonts w:cs="Arial"/>
          <w:sz w:val="24"/>
          <w:szCs w:val="24"/>
        </w:rPr>
        <w:t xml:space="preserve">. New York: Nova Science Publishers, Inc, 2018. </w:t>
      </w:r>
    </w:p>
    <w:p w14:paraId="39A1B7F7" w14:textId="77777777" w:rsidR="004423E6" w:rsidRPr="004423E6" w:rsidRDefault="004423E6" w:rsidP="004423E6">
      <w:pPr>
        <w:pStyle w:val="Bibliografia"/>
        <w:rPr>
          <w:rFonts w:cs="Arial"/>
          <w:sz w:val="24"/>
          <w:szCs w:val="24"/>
        </w:rPr>
      </w:pPr>
      <w:r w:rsidRPr="004423E6">
        <w:rPr>
          <w:rFonts w:cs="Arial"/>
          <w:sz w:val="24"/>
          <w:szCs w:val="24"/>
        </w:rPr>
        <w:t xml:space="preserve">PÁDUA, Juliano Gomes. Conservation of crop genetic resources in Brazil in the context of the target 9 of the Global Strategy for Plant Conservation. </w:t>
      </w:r>
      <w:r w:rsidRPr="004423E6">
        <w:rPr>
          <w:rFonts w:cs="Arial"/>
          <w:b/>
          <w:bCs/>
          <w:sz w:val="24"/>
          <w:szCs w:val="24"/>
        </w:rPr>
        <w:t>Rodriguésia</w:t>
      </w:r>
      <w:r w:rsidRPr="004423E6">
        <w:rPr>
          <w:rFonts w:cs="Arial"/>
          <w:sz w:val="24"/>
          <w:szCs w:val="24"/>
        </w:rPr>
        <w:t xml:space="preserve">, v. 69, p. 1557–1565, 2018. </w:t>
      </w:r>
    </w:p>
    <w:p w14:paraId="0C1B598C" w14:textId="77777777" w:rsidR="004423E6" w:rsidRPr="004423E6" w:rsidRDefault="004423E6" w:rsidP="004423E6">
      <w:pPr>
        <w:pStyle w:val="Bibliografia"/>
        <w:rPr>
          <w:rFonts w:cs="Arial"/>
          <w:sz w:val="24"/>
          <w:szCs w:val="24"/>
        </w:rPr>
      </w:pPr>
      <w:r w:rsidRPr="004423E6">
        <w:rPr>
          <w:rFonts w:cs="Arial"/>
          <w:sz w:val="24"/>
          <w:szCs w:val="24"/>
        </w:rPr>
        <w:t xml:space="preserve">ROCHA, João Paulo da </w:t>
      </w:r>
      <w:r w:rsidRPr="004423E6">
        <w:rPr>
          <w:rFonts w:cs="Arial"/>
          <w:i/>
          <w:iCs/>
          <w:sz w:val="24"/>
          <w:szCs w:val="24"/>
        </w:rPr>
        <w:t>et al.</w:t>
      </w:r>
      <w:r w:rsidRPr="004423E6">
        <w:rPr>
          <w:rFonts w:cs="Arial"/>
          <w:sz w:val="24"/>
          <w:szCs w:val="24"/>
        </w:rPr>
        <w:t xml:space="preserve"> Cultivo de sementes crioulas de milho e feijão em consórcio e monocultivo em Ipanguaçu-RN / Cultivation of creole seeds of maize and beans in consortium and monoculture in Ipanguaçu-RN. </w:t>
      </w:r>
      <w:r w:rsidRPr="004423E6">
        <w:rPr>
          <w:rFonts w:cs="Arial"/>
          <w:b/>
          <w:bCs/>
          <w:sz w:val="24"/>
          <w:szCs w:val="24"/>
        </w:rPr>
        <w:t>Brazilian Journal of Development</w:t>
      </w:r>
      <w:r w:rsidRPr="004423E6">
        <w:rPr>
          <w:rFonts w:cs="Arial"/>
          <w:sz w:val="24"/>
          <w:szCs w:val="24"/>
        </w:rPr>
        <w:t xml:space="preserve">, v. 6, n. 8, p. 58941–58950, 19 ago. 2020. </w:t>
      </w:r>
    </w:p>
    <w:p w14:paraId="10470908" w14:textId="77777777" w:rsidR="004423E6" w:rsidRPr="004423E6" w:rsidRDefault="004423E6" w:rsidP="004423E6">
      <w:pPr>
        <w:pStyle w:val="Bibliografia"/>
        <w:rPr>
          <w:rFonts w:cs="Arial"/>
          <w:sz w:val="24"/>
          <w:szCs w:val="24"/>
        </w:rPr>
      </w:pPr>
      <w:r w:rsidRPr="004423E6">
        <w:rPr>
          <w:rFonts w:cs="Arial"/>
          <w:sz w:val="24"/>
          <w:szCs w:val="24"/>
        </w:rPr>
        <w:t xml:space="preserve">SANTOS, Fernanda Gonçalves dos; SILVEIRA, Edson Roberto; JAMHOUR, Jorge. ATRIBUTOS DE QUALIDADE DE SEMENTES SALVAS DE FEIJÃO. </w:t>
      </w:r>
      <w:r w:rsidRPr="004423E6">
        <w:rPr>
          <w:rFonts w:cs="Arial"/>
          <w:b/>
          <w:bCs/>
          <w:sz w:val="24"/>
          <w:szCs w:val="24"/>
        </w:rPr>
        <w:t>Revista Técnico-Científica</w:t>
      </w:r>
      <w:r w:rsidRPr="004423E6">
        <w:rPr>
          <w:rFonts w:cs="Arial"/>
          <w:sz w:val="24"/>
          <w:szCs w:val="24"/>
        </w:rPr>
        <w:t xml:space="preserve">, n. 22, 14 nov. 2019. </w:t>
      </w:r>
    </w:p>
    <w:p w14:paraId="10324217" w14:textId="77777777" w:rsidR="004423E6" w:rsidRPr="004423E6" w:rsidRDefault="004423E6" w:rsidP="004423E6">
      <w:pPr>
        <w:pStyle w:val="Bibliografia"/>
        <w:rPr>
          <w:rFonts w:cs="Arial"/>
          <w:sz w:val="24"/>
          <w:szCs w:val="24"/>
        </w:rPr>
      </w:pPr>
      <w:r w:rsidRPr="004423E6">
        <w:rPr>
          <w:rFonts w:cs="Arial"/>
          <w:sz w:val="24"/>
          <w:szCs w:val="24"/>
        </w:rPr>
        <w:t xml:space="preserve">SILVA, Márcio Marques da </w:t>
      </w:r>
      <w:r w:rsidRPr="004423E6">
        <w:rPr>
          <w:rFonts w:cs="Arial"/>
          <w:i/>
          <w:iCs/>
          <w:sz w:val="24"/>
          <w:szCs w:val="24"/>
        </w:rPr>
        <w:t>et al.</w:t>
      </w:r>
      <w:r w:rsidRPr="004423E6">
        <w:rPr>
          <w:rFonts w:cs="Arial"/>
          <w:sz w:val="24"/>
          <w:szCs w:val="24"/>
        </w:rPr>
        <w:t xml:space="preserve"> Qualidade fisiológica e armazenamento de sementes de feijão-comum produzidas no norte de Minas Gerais. </w:t>
      </w:r>
      <w:r w:rsidRPr="004423E6">
        <w:rPr>
          <w:rFonts w:cs="Arial"/>
          <w:b/>
          <w:bCs/>
          <w:sz w:val="24"/>
          <w:szCs w:val="24"/>
        </w:rPr>
        <w:t>REVISTA AGRO@MBIENTE ON-LINE</w:t>
      </w:r>
      <w:r w:rsidRPr="004423E6">
        <w:rPr>
          <w:rFonts w:cs="Arial"/>
          <w:sz w:val="24"/>
          <w:szCs w:val="24"/>
        </w:rPr>
        <w:t xml:space="preserve">, v. 8, n. 1, p. 97–103, 2 maio 2014. </w:t>
      </w:r>
    </w:p>
    <w:p w14:paraId="731E1916" w14:textId="77777777" w:rsidR="004423E6" w:rsidRPr="004423E6" w:rsidRDefault="004423E6" w:rsidP="004423E6">
      <w:pPr>
        <w:pStyle w:val="Bibliografia"/>
        <w:rPr>
          <w:rFonts w:cs="Arial"/>
          <w:sz w:val="24"/>
          <w:szCs w:val="24"/>
        </w:rPr>
      </w:pPr>
      <w:r w:rsidRPr="004423E6">
        <w:rPr>
          <w:rFonts w:cs="Arial"/>
          <w:sz w:val="24"/>
          <w:szCs w:val="24"/>
        </w:rPr>
        <w:t xml:space="preserve">SILVEIRA, Diógenes Cecchin </w:t>
      </w:r>
      <w:r w:rsidRPr="004423E6">
        <w:rPr>
          <w:rFonts w:cs="Arial"/>
          <w:i/>
          <w:iCs/>
          <w:sz w:val="24"/>
          <w:szCs w:val="24"/>
        </w:rPr>
        <w:t>et al.</w:t>
      </w:r>
      <w:r w:rsidRPr="004423E6">
        <w:rPr>
          <w:rFonts w:cs="Arial"/>
          <w:sz w:val="24"/>
          <w:szCs w:val="24"/>
        </w:rPr>
        <w:t xml:space="preserve"> Diversidade genética de acessos de feijão crioulo na região Noroeste do Rio Grande do Sul. </w:t>
      </w:r>
      <w:r w:rsidRPr="004423E6">
        <w:rPr>
          <w:rFonts w:cs="Arial"/>
          <w:b/>
          <w:bCs/>
          <w:sz w:val="24"/>
          <w:szCs w:val="24"/>
        </w:rPr>
        <w:t>Pesquisa Agropecuária Gaúcha</w:t>
      </w:r>
      <w:r w:rsidRPr="004423E6">
        <w:rPr>
          <w:rFonts w:cs="Arial"/>
          <w:sz w:val="24"/>
          <w:szCs w:val="24"/>
        </w:rPr>
        <w:t xml:space="preserve">, v. 25, n. 1/2, p. 133–146, 1 out. 2019. </w:t>
      </w:r>
    </w:p>
    <w:p w14:paraId="64B54BB0" w14:textId="77777777" w:rsidR="004423E6" w:rsidRPr="004423E6" w:rsidRDefault="004423E6" w:rsidP="004423E6">
      <w:pPr>
        <w:pStyle w:val="Bibliografia"/>
        <w:rPr>
          <w:rFonts w:cs="Arial"/>
          <w:sz w:val="24"/>
          <w:szCs w:val="24"/>
        </w:rPr>
      </w:pPr>
      <w:r w:rsidRPr="004423E6">
        <w:rPr>
          <w:rFonts w:cs="Arial"/>
          <w:sz w:val="24"/>
          <w:szCs w:val="24"/>
        </w:rPr>
        <w:t xml:space="preserve">SOUZA, Luís Fernando Santos </w:t>
      </w:r>
      <w:r w:rsidRPr="004423E6">
        <w:rPr>
          <w:rFonts w:cs="Arial"/>
          <w:i/>
          <w:iCs/>
          <w:sz w:val="24"/>
          <w:szCs w:val="24"/>
        </w:rPr>
        <w:t>et al.</w:t>
      </w:r>
      <w:r w:rsidRPr="004423E6">
        <w:rPr>
          <w:rFonts w:cs="Arial"/>
          <w:sz w:val="24"/>
          <w:szCs w:val="24"/>
        </w:rPr>
        <w:t xml:space="preserve"> Morphophysiology of creol seeds in genotypes of Phaseolus vulgaris L. </w:t>
      </w:r>
      <w:r w:rsidRPr="004423E6">
        <w:rPr>
          <w:rFonts w:cs="Arial"/>
          <w:b/>
          <w:bCs/>
          <w:sz w:val="24"/>
          <w:szCs w:val="24"/>
        </w:rPr>
        <w:t>REVISTA DELOS</w:t>
      </w:r>
      <w:r w:rsidRPr="004423E6">
        <w:rPr>
          <w:rFonts w:cs="Arial"/>
          <w:sz w:val="24"/>
          <w:szCs w:val="24"/>
        </w:rPr>
        <w:t xml:space="preserve">, v. 16, n. 48, p. 2988–3001, 11 out. 2023. </w:t>
      </w:r>
    </w:p>
    <w:p w14:paraId="1D34BE6E" w14:textId="7D7A0FCB" w:rsidR="001A15D9" w:rsidRPr="00EA1DB6" w:rsidRDefault="004423E6" w:rsidP="00B95BAE">
      <w:pPr>
        <w:pStyle w:val="Bibliografia"/>
      </w:pPr>
      <w:r w:rsidRPr="004423E6">
        <w:rPr>
          <w:rFonts w:cs="Arial"/>
          <w:sz w:val="24"/>
          <w:szCs w:val="24"/>
        </w:rPr>
        <w:t xml:space="preserve">TALAMINI, Viviane </w:t>
      </w:r>
      <w:r w:rsidRPr="004423E6">
        <w:rPr>
          <w:rFonts w:cs="Arial"/>
          <w:i/>
          <w:iCs/>
          <w:sz w:val="24"/>
          <w:szCs w:val="24"/>
        </w:rPr>
        <w:t>et al.</w:t>
      </w:r>
      <w:r w:rsidRPr="004423E6">
        <w:rPr>
          <w:rFonts w:cs="Arial"/>
          <w:sz w:val="24"/>
          <w:szCs w:val="24"/>
        </w:rPr>
        <w:t xml:space="preserve"> Qualidade fisiológica e sanitária de sementes de feijão (Phaseolus vulgaris L.) produzidas por agricultores familiares em Sergipe. 2010. </w:t>
      </w:r>
      <w:r w:rsidRPr="004423E6">
        <w:rPr>
          <w:sz w:val="24"/>
          <w:szCs w:val="24"/>
        </w:rPr>
        <w:fldChar w:fldCharType="end"/>
      </w:r>
    </w:p>
    <w:sectPr w:rsidR="001A15D9" w:rsidRPr="00EA1DB6" w:rsidSect="00666873">
      <w:headerReference w:type="default" r:id="rId10"/>
      <w:type w:val="continuous"/>
      <w:pgSz w:w="11906" w:h="16838" w:code="9"/>
      <w:pgMar w:top="1418" w:right="1418" w:bottom="1418" w:left="1418" w:header="720" w:footer="720" w:gutter="0"/>
      <w:cols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DB838" w14:textId="77777777" w:rsidR="00CA70EC" w:rsidRPr="008703BB" w:rsidRDefault="00CA70EC">
      <w:r w:rsidRPr="008703BB">
        <w:separator/>
      </w:r>
    </w:p>
  </w:endnote>
  <w:endnote w:type="continuationSeparator" w:id="0">
    <w:p w14:paraId="00F8A0B3" w14:textId="77777777" w:rsidR="00CA70EC" w:rsidRPr="008703BB" w:rsidRDefault="00CA70EC">
      <w:r w:rsidRPr="008703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BF8A" w14:textId="1CDF4C03" w:rsidR="00D743A7" w:rsidRPr="008703BB" w:rsidRDefault="00D743A7">
    <w:pPr>
      <w:pStyle w:val="Rodap"/>
    </w:pPr>
  </w:p>
  <w:p w14:paraId="59BC5823" w14:textId="77777777" w:rsidR="00D743A7" w:rsidRPr="008703BB" w:rsidRDefault="00D743A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5ADFF" w14:textId="77777777" w:rsidR="00CA70EC" w:rsidRPr="008703BB" w:rsidRDefault="00CA70EC">
      <w:r w:rsidRPr="008703BB">
        <w:separator/>
      </w:r>
    </w:p>
  </w:footnote>
  <w:footnote w:type="continuationSeparator" w:id="0">
    <w:p w14:paraId="192DD7F0" w14:textId="77777777" w:rsidR="00CA70EC" w:rsidRPr="008703BB" w:rsidRDefault="00CA70EC">
      <w:r w:rsidRPr="008703BB">
        <w:continuationSeparator/>
      </w:r>
    </w:p>
  </w:footnote>
  <w:footnote w:id="1">
    <w:p w14:paraId="14646E66" w14:textId="220EFCCB" w:rsidR="001E79E0" w:rsidRPr="00946872" w:rsidRDefault="001E79E0">
      <w:pPr>
        <w:pStyle w:val="Textodenotaderodap"/>
      </w:pPr>
      <w:r w:rsidRPr="00946872">
        <w:rPr>
          <w:rStyle w:val="Refdenotaderodap"/>
        </w:rPr>
        <w:footnoteRef/>
      </w:r>
      <w:r w:rsidRPr="00946872">
        <w:t xml:space="preserve"> </w:t>
      </w:r>
      <w:r w:rsidR="00946872" w:rsidRPr="00946872">
        <w:t>Doutorando em Melhoramento Genético de Plantas, UFRPE, gabriel.aubryporto@gmail.com</w:t>
      </w:r>
    </w:p>
  </w:footnote>
  <w:footnote w:id="2">
    <w:p w14:paraId="41A681A8" w14:textId="15F5E8DC" w:rsidR="001E79E0" w:rsidRPr="00946872" w:rsidRDefault="001E79E0" w:rsidP="001E79E0">
      <w:pPr>
        <w:pStyle w:val="Textodenotaderodap"/>
      </w:pPr>
      <w:r w:rsidRPr="00946872">
        <w:rPr>
          <w:rStyle w:val="Refdenotaderodap"/>
        </w:rPr>
        <w:footnoteRef/>
      </w:r>
      <w:r w:rsidRPr="00946872">
        <w:t xml:space="preserve"> </w:t>
      </w:r>
      <w:r w:rsidR="00946872" w:rsidRPr="00946872">
        <w:t>Engenheira Agrônoma, UFRPE, rayssa.barbosa@ufrpe.br</w:t>
      </w:r>
    </w:p>
  </w:footnote>
  <w:footnote w:id="3">
    <w:p w14:paraId="24868060" w14:textId="3CEA1669" w:rsidR="001E79E0" w:rsidRPr="00946872" w:rsidRDefault="001E79E0" w:rsidP="001E79E0">
      <w:pPr>
        <w:pStyle w:val="Textodenotaderodap"/>
      </w:pPr>
      <w:r w:rsidRPr="00946872">
        <w:rPr>
          <w:rStyle w:val="Refdenotaderodap"/>
        </w:rPr>
        <w:footnoteRef/>
      </w:r>
      <w:r w:rsidRPr="00946872">
        <w:t xml:space="preserve"> </w:t>
      </w:r>
      <w:r w:rsidR="00946872" w:rsidRPr="00946872">
        <w:t xml:space="preserve">Doutorando em Melhoramento Genético de Plantas, UFRPE, luis.ssouza@ufrpe.br </w:t>
      </w:r>
    </w:p>
  </w:footnote>
  <w:footnote w:id="4">
    <w:p w14:paraId="56F7966D" w14:textId="7569B8C5" w:rsidR="001E79E0" w:rsidRPr="00946872" w:rsidRDefault="001E79E0" w:rsidP="001E79E0">
      <w:pPr>
        <w:pStyle w:val="Textodenotaderodap"/>
      </w:pPr>
      <w:r w:rsidRPr="00946872">
        <w:rPr>
          <w:rStyle w:val="Refdenotaderodap"/>
        </w:rPr>
        <w:footnoteRef/>
      </w:r>
      <w:r w:rsidR="00946872" w:rsidRPr="00946872">
        <w:t xml:space="preserve"> </w:t>
      </w:r>
      <w:r w:rsidR="00AF6418" w:rsidRPr="00946872">
        <w:t>Doutoranda em Melhoramento Genético de Plantas, UFRPE, prisciramalho2@gmail.</w:t>
      </w:r>
      <w:r w:rsidR="00AF6418">
        <w:t>com</w:t>
      </w:r>
    </w:p>
  </w:footnote>
  <w:footnote w:id="5">
    <w:p w14:paraId="4B95E626" w14:textId="6FC7FAE8" w:rsidR="00F52312" w:rsidRPr="00946872" w:rsidRDefault="00F52312" w:rsidP="00F52312">
      <w:pPr>
        <w:pStyle w:val="Textodenotaderodap"/>
      </w:pPr>
      <w:r w:rsidRPr="00946872">
        <w:rPr>
          <w:rStyle w:val="Refdenotaderodap"/>
        </w:rPr>
        <w:footnoteRef/>
      </w:r>
      <w:r w:rsidRPr="00946872">
        <w:t xml:space="preserve"> </w:t>
      </w:r>
      <w:r w:rsidR="00AF6418" w:rsidRPr="00946872">
        <w:t>Mestrando em Melhoramento Genético de Plantas, UFRPE, gqueiroz.calado@gmail.com</w:t>
      </w:r>
    </w:p>
    <w:p w14:paraId="6A4D50EB" w14:textId="27EAEB3A" w:rsidR="0078550C" w:rsidRPr="00946872" w:rsidRDefault="0078550C" w:rsidP="00F52312">
      <w:pPr>
        <w:pStyle w:val="Textodenotaderodap"/>
      </w:pPr>
      <w:r w:rsidRPr="00946872">
        <w:rPr>
          <w:rStyle w:val="Refdenotaderodap"/>
        </w:rPr>
        <w:t>6</w:t>
      </w:r>
      <w:r w:rsidRPr="00946872">
        <w:t xml:space="preserve"> Doutor em Fitopatologia, Instituto Agronômico de Pernambuco</w:t>
      </w:r>
      <w:r w:rsidR="00EA7BEE" w:rsidRPr="00946872">
        <w:t xml:space="preserve"> (IPA), </w:t>
      </w:r>
      <w:hyperlink r:id="rId1" w:history="1">
        <w:r w:rsidR="00EA7BEE" w:rsidRPr="00946872">
          <w:rPr>
            <w:rStyle w:val="Hyperlink"/>
            <w:rFonts w:ascii="Arial" w:hAnsi="Arial"/>
            <w:color w:val="auto"/>
          </w:rPr>
          <w:t>felix.antonio@ipa.br</w:t>
        </w:r>
      </w:hyperlink>
    </w:p>
    <w:p w14:paraId="42DE62D0" w14:textId="633D2577" w:rsidR="00EA7BEE" w:rsidRPr="00946872" w:rsidRDefault="00EA7BEE" w:rsidP="00F52312">
      <w:pPr>
        <w:pStyle w:val="Textodenotaderodap"/>
      </w:pPr>
      <w:r w:rsidRPr="00946872">
        <w:rPr>
          <w:vertAlign w:val="superscript"/>
        </w:rPr>
        <w:t>7</w:t>
      </w:r>
      <w:r w:rsidRPr="00946872">
        <w:t xml:space="preserve"> Doutora Fitopatologia, UFRPE, </w:t>
      </w:r>
      <w:hyperlink r:id="rId2" w:history="1">
        <w:r w:rsidRPr="00946872">
          <w:rPr>
            <w:rStyle w:val="Hyperlink"/>
            <w:rFonts w:ascii="Arial" w:hAnsi="Arial"/>
            <w:color w:val="auto"/>
          </w:rPr>
          <w:t>rejanercosta@yahoo.com.br</w:t>
        </w:r>
      </w:hyperlink>
    </w:p>
    <w:p w14:paraId="5D71C20C" w14:textId="12E30924" w:rsidR="00EA7BEE" w:rsidRPr="00EA7BEE" w:rsidRDefault="00EA7BEE" w:rsidP="00F52312">
      <w:pPr>
        <w:pStyle w:val="Textodenotaderodap"/>
      </w:pPr>
      <w:proofErr w:type="gramStart"/>
      <w:r w:rsidRPr="00946872">
        <w:rPr>
          <w:vertAlign w:val="superscript"/>
        </w:rPr>
        <w:t xml:space="preserve">8  </w:t>
      </w:r>
      <w:r w:rsidRPr="00946872">
        <w:t>Doutor</w:t>
      </w:r>
      <w:proofErr w:type="gramEnd"/>
      <w:r w:rsidRPr="00946872">
        <w:t xml:space="preserve"> em Melhoramento Genético de Plantas, UFRPE, luiz.sandes@ufrpe.br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2318" w14:textId="327A3F27" w:rsidR="00F9377A" w:rsidRPr="008703BB" w:rsidRDefault="0052282A" w:rsidP="00F9377A">
    <w:pPr>
      <w:pStyle w:val="Cabealho"/>
      <w:ind w:left="-737"/>
      <w:jc w:val="center"/>
      <w:rPr>
        <w:i/>
        <w:iCs/>
        <w:color w:val="808080"/>
        <w:sz w:val="18"/>
        <w:szCs w:val="18"/>
      </w:rPr>
    </w:pPr>
    <w:r w:rsidRPr="008703BB">
      <w:rPr>
        <w:i/>
        <w:iCs/>
        <w:noProof/>
        <w:color w:val="808080"/>
        <w:sz w:val="18"/>
        <w:szCs w:val="18"/>
      </w:rPr>
      <w:drawing>
        <wp:anchor distT="0" distB="0" distL="114300" distR="114300" simplePos="0" relativeHeight="251658240" behindDoc="1" locked="0" layoutInCell="1" allowOverlap="1" wp14:anchorId="49DBDAC2" wp14:editId="2277FBD8">
          <wp:simplePos x="0" y="0"/>
          <wp:positionH relativeFrom="margin">
            <wp:align>center</wp:align>
          </wp:positionH>
          <wp:positionV relativeFrom="paragraph">
            <wp:posOffset>5163</wp:posOffset>
          </wp:positionV>
          <wp:extent cx="2133853" cy="938254"/>
          <wp:effectExtent l="0" t="0" r="0" b="0"/>
          <wp:wrapNone/>
          <wp:docPr id="142377745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853" cy="9382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38A24" w14:textId="16D58DF7" w:rsidR="0052282A" w:rsidRPr="008703BB" w:rsidRDefault="0052282A" w:rsidP="0052282A">
    <w:pPr>
      <w:pStyle w:val="Cabealho"/>
      <w:jc w:val="right"/>
      <w:rPr>
        <w:i/>
        <w:iCs/>
        <w:color w:val="808080"/>
        <w:sz w:val="18"/>
        <w:szCs w:val="18"/>
      </w:rPr>
    </w:pPr>
    <w:r w:rsidRPr="008703BB">
      <w:rPr>
        <w:noProof/>
      </w:rPr>
      <w:drawing>
        <wp:anchor distT="0" distB="0" distL="114300" distR="114300" simplePos="0" relativeHeight="251659264" behindDoc="1" locked="0" layoutInCell="1" allowOverlap="1" wp14:anchorId="3AD66F03" wp14:editId="70FC8356">
          <wp:simplePos x="0" y="0"/>
          <wp:positionH relativeFrom="margin">
            <wp:posOffset>275700</wp:posOffset>
          </wp:positionH>
          <wp:positionV relativeFrom="paragraph">
            <wp:posOffset>8172</wp:posOffset>
          </wp:positionV>
          <wp:extent cx="601345" cy="874395"/>
          <wp:effectExtent l="0" t="0" r="8255" b="1905"/>
          <wp:wrapNone/>
          <wp:docPr id="946566405" name="Imagem 6" descr="Uma imagem contendo 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6408" name="Imagem 6" descr="Uma imagem contendo Código QR&#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345"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03BB">
      <w:rPr>
        <w:i/>
        <w:iCs/>
        <w:color w:val="808080"/>
        <w:sz w:val="18"/>
        <w:szCs w:val="18"/>
      </w:rPr>
      <w:t xml:space="preserve">  30 de agosto a 03 de setembro de 2025</w:t>
    </w:r>
  </w:p>
  <w:p w14:paraId="21F1BBC7" w14:textId="00709800" w:rsidR="005576C8" w:rsidRPr="008703BB" w:rsidRDefault="005576C8" w:rsidP="00F9377A">
    <w:pPr>
      <w:pStyle w:val="Cabealho"/>
      <w:ind w:left="-737"/>
      <w:jc w:val="center"/>
      <w:rPr>
        <w:i/>
        <w:iCs/>
        <w:color w:val="808080"/>
        <w:sz w:val="18"/>
        <w:szCs w:val="18"/>
      </w:rPr>
    </w:pPr>
  </w:p>
  <w:p w14:paraId="6D2CB01D" w14:textId="5669CBF1" w:rsidR="005576C8" w:rsidRPr="008703BB" w:rsidRDefault="005576C8" w:rsidP="00427842">
    <w:pPr>
      <w:pStyle w:val="Cabealho"/>
      <w:ind w:left="-737"/>
      <w:rPr>
        <w:i/>
        <w:iCs/>
        <w:color w:val="808080"/>
        <w:sz w:val="18"/>
        <w:szCs w:val="18"/>
      </w:rPr>
    </w:pPr>
  </w:p>
  <w:p w14:paraId="081C5CF7" w14:textId="77777777" w:rsidR="005576C8" w:rsidRPr="008703BB" w:rsidRDefault="005576C8" w:rsidP="00F9377A">
    <w:pPr>
      <w:pStyle w:val="Cabealho"/>
      <w:ind w:left="-737"/>
      <w:jc w:val="center"/>
      <w:rPr>
        <w:i/>
        <w:iCs/>
        <w:color w:val="808080"/>
        <w:sz w:val="18"/>
        <w:szCs w:val="18"/>
      </w:rPr>
    </w:pPr>
  </w:p>
  <w:p w14:paraId="4F089F3A" w14:textId="72B97456" w:rsidR="005576C8" w:rsidRPr="008703BB" w:rsidRDefault="005576C8" w:rsidP="00F9377A">
    <w:pPr>
      <w:pStyle w:val="Cabealho"/>
      <w:ind w:left="-737"/>
      <w:jc w:val="center"/>
      <w:rPr>
        <w:i/>
        <w:iCs/>
        <w:color w:val="808080"/>
        <w:sz w:val="18"/>
        <w:szCs w:val="18"/>
      </w:rPr>
    </w:pPr>
  </w:p>
  <w:p w14:paraId="1DC8D4F1" w14:textId="77777777" w:rsidR="00427842" w:rsidRPr="008703BB" w:rsidRDefault="00427842" w:rsidP="00AA7AD6">
    <w:pPr>
      <w:pStyle w:val="Cabealho"/>
      <w:rPr>
        <w:i/>
        <w:iCs/>
        <w:color w:val="80808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4BC6" w14:textId="77777777" w:rsidR="00E94256" w:rsidRPr="008703BB" w:rsidRDefault="00E94256" w:rsidP="00C106F7">
    <w:pPr>
      <w:pStyle w:val="Cabealho"/>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85C"/>
    <w:multiLevelType w:val="multilevel"/>
    <w:tmpl w:val="9F668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873EA"/>
    <w:multiLevelType w:val="multilevel"/>
    <w:tmpl w:val="452E7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7781C"/>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A3136F5"/>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FA272DE"/>
    <w:multiLevelType w:val="multilevel"/>
    <w:tmpl w:val="20803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4B4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332268"/>
    <w:multiLevelType w:val="singleLevel"/>
    <w:tmpl w:val="73A60B28"/>
    <w:lvl w:ilvl="0">
      <w:start w:val="1"/>
      <w:numFmt w:val="decimal"/>
      <w:lvlText w:val="%1."/>
      <w:legacy w:legacy="1" w:legacySpace="0" w:legacyIndent="283"/>
      <w:lvlJc w:val="left"/>
      <w:pPr>
        <w:ind w:left="283" w:hanging="283"/>
      </w:pPr>
    </w:lvl>
  </w:abstractNum>
  <w:abstractNum w:abstractNumId="7" w15:restartNumberingAfterBreak="0">
    <w:nsid w:val="1D591C3F"/>
    <w:multiLevelType w:val="singleLevel"/>
    <w:tmpl w:val="77B49566"/>
    <w:lvl w:ilvl="0">
      <w:start w:val="100"/>
      <w:numFmt w:val="decimal"/>
      <w:lvlText w:val="%1."/>
      <w:lvlJc w:val="left"/>
      <w:pPr>
        <w:tabs>
          <w:tab w:val="num" w:pos="516"/>
        </w:tabs>
        <w:ind w:left="516" w:hanging="516"/>
      </w:pPr>
      <w:rPr>
        <w:rFonts w:hint="default"/>
      </w:rPr>
    </w:lvl>
  </w:abstractNum>
  <w:abstractNum w:abstractNumId="8" w15:restartNumberingAfterBreak="0">
    <w:nsid w:val="1E2A59DB"/>
    <w:multiLevelType w:val="multilevel"/>
    <w:tmpl w:val="F1CC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E83B82"/>
    <w:multiLevelType w:val="singleLevel"/>
    <w:tmpl w:val="04070007"/>
    <w:lvl w:ilvl="0">
      <w:start w:val="1"/>
      <w:numFmt w:val="bullet"/>
      <w:lvlText w:val="-"/>
      <w:lvlJc w:val="left"/>
      <w:pPr>
        <w:tabs>
          <w:tab w:val="num" w:pos="360"/>
        </w:tabs>
        <w:ind w:left="360" w:hanging="360"/>
      </w:pPr>
      <w:rPr>
        <w:sz w:val="16"/>
      </w:rPr>
    </w:lvl>
  </w:abstractNum>
  <w:abstractNum w:abstractNumId="10" w15:restartNumberingAfterBreak="0">
    <w:nsid w:val="2E692360"/>
    <w:multiLevelType w:val="hybridMultilevel"/>
    <w:tmpl w:val="5C408B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0026D0E"/>
    <w:multiLevelType w:val="singleLevel"/>
    <w:tmpl w:val="0407000F"/>
    <w:lvl w:ilvl="0">
      <w:start w:val="1"/>
      <w:numFmt w:val="decimal"/>
      <w:lvlText w:val="%1."/>
      <w:lvlJc w:val="left"/>
      <w:pPr>
        <w:tabs>
          <w:tab w:val="num" w:pos="360"/>
        </w:tabs>
        <w:ind w:left="360" w:hanging="360"/>
      </w:pPr>
      <w:rPr>
        <w:rFonts w:hint="default"/>
      </w:rPr>
    </w:lvl>
  </w:abstractNum>
  <w:abstractNum w:abstractNumId="12" w15:restartNumberingAfterBreak="0">
    <w:nsid w:val="30CA0333"/>
    <w:multiLevelType w:val="singleLevel"/>
    <w:tmpl w:val="F670ADA8"/>
    <w:lvl w:ilvl="0">
      <w:numFmt w:val="bullet"/>
      <w:lvlText w:val="-"/>
      <w:lvlJc w:val="left"/>
      <w:pPr>
        <w:tabs>
          <w:tab w:val="num" w:pos="502"/>
        </w:tabs>
        <w:ind w:left="502" w:hanging="360"/>
      </w:pPr>
      <w:rPr>
        <w:rFonts w:hint="default"/>
      </w:rPr>
    </w:lvl>
  </w:abstractNum>
  <w:abstractNum w:abstractNumId="13" w15:restartNumberingAfterBreak="0">
    <w:nsid w:val="34345EF3"/>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3510618A"/>
    <w:multiLevelType w:val="singleLevel"/>
    <w:tmpl w:val="04070007"/>
    <w:lvl w:ilvl="0">
      <w:start w:val="1"/>
      <w:numFmt w:val="bullet"/>
      <w:lvlText w:val="-"/>
      <w:lvlJc w:val="left"/>
      <w:pPr>
        <w:tabs>
          <w:tab w:val="num" w:pos="360"/>
        </w:tabs>
        <w:ind w:left="360" w:hanging="360"/>
      </w:pPr>
      <w:rPr>
        <w:sz w:val="16"/>
      </w:rPr>
    </w:lvl>
  </w:abstractNum>
  <w:abstractNum w:abstractNumId="15" w15:restartNumberingAfterBreak="0">
    <w:nsid w:val="38967F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1610CE"/>
    <w:multiLevelType w:val="singleLevel"/>
    <w:tmpl w:val="04070007"/>
    <w:lvl w:ilvl="0">
      <w:start w:val="1"/>
      <w:numFmt w:val="bullet"/>
      <w:lvlText w:val="-"/>
      <w:lvlJc w:val="left"/>
      <w:pPr>
        <w:tabs>
          <w:tab w:val="num" w:pos="360"/>
        </w:tabs>
        <w:ind w:left="360" w:hanging="360"/>
      </w:pPr>
      <w:rPr>
        <w:sz w:val="16"/>
      </w:rPr>
    </w:lvl>
  </w:abstractNum>
  <w:abstractNum w:abstractNumId="17" w15:restartNumberingAfterBreak="0">
    <w:nsid w:val="47D91D3A"/>
    <w:multiLevelType w:val="singleLevel"/>
    <w:tmpl w:val="04070007"/>
    <w:lvl w:ilvl="0">
      <w:start w:val="1"/>
      <w:numFmt w:val="bullet"/>
      <w:lvlText w:val="-"/>
      <w:lvlJc w:val="left"/>
      <w:pPr>
        <w:tabs>
          <w:tab w:val="num" w:pos="360"/>
        </w:tabs>
        <w:ind w:left="360" w:hanging="360"/>
      </w:pPr>
      <w:rPr>
        <w:sz w:val="16"/>
      </w:rPr>
    </w:lvl>
  </w:abstractNum>
  <w:abstractNum w:abstractNumId="18" w15:restartNumberingAfterBreak="0">
    <w:nsid w:val="49917937"/>
    <w:multiLevelType w:val="singleLevel"/>
    <w:tmpl w:val="04090013"/>
    <w:lvl w:ilvl="0">
      <w:start w:val="1"/>
      <w:numFmt w:val="upperRoman"/>
      <w:lvlText w:val="%1."/>
      <w:lvlJc w:val="left"/>
      <w:pPr>
        <w:tabs>
          <w:tab w:val="num" w:pos="720"/>
        </w:tabs>
        <w:ind w:left="720" w:hanging="720"/>
      </w:pPr>
      <w:rPr>
        <w:rFonts w:hint="default"/>
      </w:rPr>
    </w:lvl>
  </w:abstractNum>
  <w:abstractNum w:abstractNumId="19" w15:restartNumberingAfterBreak="0">
    <w:nsid w:val="4A961025"/>
    <w:multiLevelType w:val="hybridMultilevel"/>
    <w:tmpl w:val="F894D4B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C63287F"/>
    <w:multiLevelType w:val="singleLevel"/>
    <w:tmpl w:val="F670ADA8"/>
    <w:lvl w:ilvl="0">
      <w:numFmt w:val="bullet"/>
      <w:lvlText w:val="-"/>
      <w:lvlJc w:val="left"/>
      <w:pPr>
        <w:tabs>
          <w:tab w:val="num" w:pos="502"/>
        </w:tabs>
        <w:ind w:left="502" w:hanging="360"/>
      </w:pPr>
      <w:rPr>
        <w:rFonts w:hint="default"/>
      </w:rPr>
    </w:lvl>
  </w:abstractNum>
  <w:abstractNum w:abstractNumId="21" w15:restartNumberingAfterBreak="0">
    <w:nsid w:val="504F1BCD"/>
    <w:multiLevelType w:val="singleLevel"/>
    <w:tmpl w:val="8CDA2D48"/>
    <w:lvl w:ilvl="0">
      <w:start w:val="1"/>
      <w:numFmt w:val="upperRoman"/>
      <w:lvlText w:val="%1."/>
      <w:lvlJc w:val="left"/>
      <w:pPr>
        <w:tabs>
          <w:tab w:val="num" w:pos="720"/>
        </w:tabs>
        <w:ind w:left="720" w:hanging="720"/>
      </w:pPr>
      <w:rPr>
        <w:rFonts w:hint="default"/>
      </w:rPr>
    </w:lvl>
  </w:abstractNum>
  <w:abstractNum w:abstractNumId="22" w15:restartNumberingAfterBreak="0">
    <w:nsid w:val="57187DA2"/>
    <w:multiLevelType w:val="singleLevel"/>
    <w:tmpl w:val="0144E210"/>
    <w:lvl w:ilvl="0">
      <w:start w:val="3"/>
      <w:numFmt w:val="decimal"/>
      <w:lvlText w:val="%1"/>
      <w:lvlJc w:val="left"/>
      <w:pPr>
        <w:tabs>
          <w:tab w:val="num" w:pos="705"/>
        </w:tabs>
        <w:ind w:left="705" w:hanging="705"/>
      </w:pPr>
      <w:rPr>
        <w:rFonts w:hint="default"/>
      </w:rPr>
    </w:lvl>
  </w:abstractNum>
  <w:abstractNum w:abstractNumId="23" w15:restartNumberingAfterBreak="0">
    <w:nsid w:val="582250CF"/>
    <w:multiLevelType w:val="hybridMultilevel"/>
    <w:tmpl w:val="A54CBF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8DB02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11F2778"/>
    <w:multiLevelType w:val="hybridMultilevel"/>
    <w:tmpl w:val="D6DC3BEA"/>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2B621C5"/>
    <w:multiLevelType w:val="hybridMultilevel"/>
    <w:tmpl w:val="66E2763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3741485"/>
    <w:multiLevelType w:val="singleLevel"/>
    <w:tmpl w:val="D5B8B5D8"/>
    <w:lvl w:ilvl="0">
      <w:numFmt w:val="bullet"/>
      <w:lvlText w:val="-"/>
      <w:lvlJc w:val="left"/>
      <w:pPr>
        <w:tabs>
          <w:tab w:val="num" w:pos="705"/>
        </w:tabs>
        <w:ind w:left="705" w:hanging="705"/>
      </w:pPr>
      <w:rPr>
        <w:rFonts w:hint="default"/>
      </w:rPr>
    </w:lvl>
  </w:abstractNum>
  <w:abstractNum w:abstractNumId="28" w15:restartNumberingAfterBreak="0">
    <w:nsid w:val="658B5097"/>
    <w:multiLevelType w:val="hybridMultilevel"/>
    <w:tmpl w:val="F7840B08"/>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5BE7BC2"/>
    <w:multiLevelType w:val="multilevel"/>
    <w:tmpl w:val="328EB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387D96"/>
    <w:multiLevelType w:val="hybridMultilevel"/>
    <w:tmpl w:val="5F5E1ECC"/>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906A9A"/>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1A63C0D"/>
    <w:multiLevelType w:val="singleLevel"/>
    <w:tmpl w:val="CB46C396"/>
    <w:lvl w:ilvl="0">
      <w:start w:val="1"/>
      <w:numFmt w:val="bullet"/>
      <w:lvlText w:val="-"/>
      <w:lvlJc w:val="left"/>
      <w:pPr>
        <w:tabs>
          <w:tab w:val="num" w:pos="360"/>
        </w:tabs>
        <w:ind w:left="360" w:hanging="360"/>
      </w:pPr>
      <w:rPr>
        <w:rFonts w:hint="default"/>
      </w:rPr>
    </w:lvl>
  </w:abstractNum>
  <w:abstractNum w:abstractNumId="33" w15:restartNumberingAfterBreak="0">
    <w:nsid w:val="743B5ACE"/>
    <w:multiLevelType w:val="singleLevel"/>
    <w:tmpl w:val="18060882"/>
    <w:lvl w:ilvl="0">
      <w:start w:val="1"/>
      <w:numFmt w:val="decimal"/>
      <w:lvlText w:val="%1."/>
      <w:lvlJc w:val="left"/>
      <w:pPr>
        <w:tabs>
          <w:tab w:val="num" w:pos="360"/>
        </w:tabs>
        <w:ind w:left="360" w:hanging="360"/>
      </w:pPr>
      <w:rPr>
        <w:rFonts w:hint="default"/>
      </w:rPr>
    </w:lvl>
  </w:abstractNum>
  <w:num w:numId="1" w16cid:durableId="2044360796">
    <w:abstractNumId w:val="11"/>
  </w:num>
  <w:num w:numId="2" w16cid:durableId="1031033592">
    <w:abstractNumId w:val="9"/>
  </w:num>
  <w:num w:numId="3" w16cid:durableId="858929377">
    <w:abstractNumId w:val="14"/>
  </w:num>
  <w:num w:numId="4" w16cid:durableId="783037665">
    <w:abstractNumId w:val="17"/>
  </w:num>
  <w:num w:numId="5" w16cid:durableId="1781365749">
    <w:abstractNumId w:val="31"/>
  </w:num>
  <w:num w:numId="6" w16cid:durableId="1193611400">
    <w:abstractNumId w:val="32"/>
  </w:num>
  <w:num w:numId="7" w16cid:durableId="1431974055">
    <w:abstractNumId w:val="2"/>
  </w:num>
  <w:num w:numId="8" w16cid:durableId="796610594">
    <w:abstractNumId w:val="16"/>
  </w:num>
  <w:num w:numId="9" w16cid:durableId="814761938">
    <w:abstractNumId w:val="27"/>
  </w:num>
  <w:num w:numId="10" w16cid:durableId="2071153491">
    <w:abstractNumId w:val="24"/>
  </w:num>
  <w:num w:numId="11" w16cid:durableId="1698582353">
    <w:abstractNumId w:val="22"/>
  </w:num>
  <w:num w:numId="12" w16cid:durableId="1221332836">
    <w:abstractNumId w:val="18"/>
  </w:num>
  <w:num w:numId="13" w16cid:durableId="1909993438">
    <w:abstractNumId w:val="5"/>
  </w:num>
  <w:num w:numId="14" w16cid:durableId="1942833202">
    <w:abstractNumId w:val="6"/>
  </w:num>
  <w:num w:numId="15" w16cid:durableId="1538201881">
    <w:abstractNumId w:val="15"/>
  </w:num>
  <w:num w:numId="16" w16cid:durableId="430515261">
    <w:abstractNumId w:val="12"/>
  </w:num>
  <w:num w:numId="17" w16cid:durableId="87777457">
    <w:abstractNumId w:val="20"/>
  </w:num>
  <w:num w:numId="18" w16cid:durableId="100228498">
    <w:abstractNumId w:val="21"/>
  </w:num>
  <w:num w:numId="19" w16cid:durableId="1655068812">
    <w:abstractNumId w:val="33"/>
  </w:num>
  <w:num w:numId="20" w16cid:durableId="1411738033">
    <w:abstractNumId w:val="3"/>
  </w:num>
  <w:num w:numId="21" w16cid:durableId="1391490446">
    <w:abstractNumId w:val="28"/>
  </w:num>
  <w:num w:numId="22" w16cid:durableId="837960838">
    <w:abstractNumId w:val="7"/>
  </w:num>
  <w:num w:numId="23" w16cid:durableId="1710957454">
    <w:abstractNumId w:val="19"/>
  </w:num>
  <w:num w:numId="24" w16cid:durableId="1560021992">
    <w:abstractNumId w:val="30"/>
  </w:num>
  <w:num w:numId="25" w16cid:durableId="1407532070">
    <w:abstractNumId w:val="26"/>
  </w:num>
  <w:num w:numId="26" w16cid:durableId="2046834474">
    <w:abstractNumId w:val="25"/>
  </w:num>
  <w:num w:numId="27" w16cid:durableId="1274746114">
    <w:abstractNumId w:val="23"/>
  </w:num>
  <w:num w:numId="28" w16cid:durableId="68189191">
    <w:abstractNumId w:val="10"/>
  </w:num>
  <w:num w:numId="29" w16cid:durableId="576789736">
    <w:abstractNumId w:val="13"/>
  </w:num>
  <w:num w:numId="30" w16cid:durableId="1715077348">
    <w:abstractNumId w:val="4"/>
  </w:num>
  <w:num w:numId="31" w16cid:durableId="244414348">
    <w:abstractNumId w:val="29"/>
  </w:num>
  <w:num w:numId="32" w16cid:durableId="445850117">
    <w:abstractNumId w:val="0"/>
  </w:num>
  <w:num w:numId="33" w16cid:durableId="1959288108">
    <w:abstractNumId w:val="1"/>
  </w:num>
  <w:num w:numId="34" w16cid:durableId="5043953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4B"/>
    <w:rsid w:val="000019B1"/>
    <w:rsid w:val="00001A23"/>
    <w:rsid w:val="00001EC8"/>
    <w:rsid w:val="00012F4F"/>
    <w:rsid w:val="00016625"/>
    <w:rsid w:val="00022191"/>
    <w:rsid w:val="000300B7"/>
    <w:rsid w:val="00032B91"/>
    <w:rsid w:val="0003765F"/>
    <w:rsid w:val="00045796"/>
    <w:rsid w:val="00046466"/>
    <w:rsid w:val="00047306"/>
    <w:rsid w:val="00047FBA"/>
    <w:rsid w:val="000550D5"/>
    <w:rsid w:val="00055BEC"/>
    <w:rsid w:val="00056447"/>
    <w:rsid w:val="00060E4A"/>
    <w:rsid w:val="000610D3"/>
    <w:rsid w:val="00066E9D"/>
    <w:rsid w:val="00067585"/>
    <w:rsid w:val="00070611"/>
    <w:rsid w:val="00072AB2"/>
    <w:rsid w:val="00073A18"/>
    <w:rsid w:val="000756C2"/>
    <w:rsid w:val="00084BC9"/>
    <w:rsid w:val="000865CA"/>
    <w:rsid w:val="000910C0"/>
    <w:rsid w:val="000923D7"/>
    <w:rsid w:val="000953F5"/>
    <w:rsid w:val="00096000"/>
    <w:rsid w:val="000B6EEF"/>
    <w:rsid w:val="000C0D32"/>
    <w:rsid w:val="000C31E1"/>
    <w:rsid w:val="000C3934"/>
    <w:rsid w:val="000C4F02"/>
    <w:rsid w:val="000D2C31"/>
    <w:rsid w:val="000D4254"/>
    <w:rsid w:val="000D66F1"/>
    <w:rsid w:val="000E7FE9"/>
    <w:rsid w:val="000F186B"/>
    <w:rsid w:val="00101B30"/>
    <w:rsid w:val="00103545"/>
    <w:rsid w:val="00106C03"/>
    <w:rsid w:val="00116359"/>
    <w:rsid w:val="00120A10"/>
    <w:rsid w:val="0012226A"/>
    <w:rsid w:val="00133A6B"/>
    <w:rsid w:val="00143910"/>
    <w:rsid w:val="00143D1B"/>
    <w:rsid w:val="00145DC4"/>
    <w:rsid w:val="001468CC"/>
    <w:rsid w:val="00147B68"/>
    <w:rsid w:val="00155C66"/>
    <w:rsid w:val="0015642A"/>
    <w:rsid w:val="00156BD5"/>
    <w:rsid w:val="00163993"/>
    <w:rsid w:val="00164A27"/>
    <w:rsid w:val="00164BBD"/>
    <w:rsid w:val="001652E4"/>
    <w:rsid w:val="00165508"/>
    <w:rsid w:val="001745C4"/>
    <w:rsid w:val="0017757F"/>
    <w:rsid w:val="001825A8"/>
    <w:rsid w:val="00186AC1"/>
    <w:rsid w:val="001922FD"/>
    <w:rsid w:val="0019531B"/>
    <w:rsid w:val="0019622E"/>
    <w:rsid w:val="001A0F88"/>
    <w:rsid w:val="001A15D9"/>
    <w:rsid w:val="001B38FB"/>
    <w:rsid w:val="001B7828"/>
    <w:rsid w:val="001C12C0"/>
    <w:rsid w:val="001C141C"/>
    <w:rsid w:val="001C18F0"/>
    <w:rsid w:val="001C7D89"/>
    <w:rsid w:val="001D35C6"/>
    <w:rsid w:val="001D61D7"/>
    <w:rsid w:val="001E07FF"/>
    <w:rsid w:val="001E09A3"/>
    <w:rsid w:val="001E278B"/>
    <w:rsid w:val="001E468E"/>
    <w:rsid w:val="001E54D9"/>
    <w:rsid w:val="001E6BC9"/>
    <w:rsid w:val="001E79E0"/>
    <w:rsid w:val="00200EE0"/>
    <w:rsid w:val="00205C43"/>
    <w:rsid w:val="0021282C"/>
    <w:rsid w:val="0022361F"/>
    <w:rsid w:val="002257A5"/>
    <w:rsid w:val="0022688B"/>
    <w:rsid w:val="00231618"/>
    <w:rsid w:val="00231D22"/>
    <w:rsid w:val="00241A5E"/>
    <w:rsid w:val="00242913"/>
    <w:rsid w:val="0024322D"/>
    <w:rsid w:val="0024555C"/>
    <w:rsid w:val="002469E9"/>
    <w:rsid w:val="00247B0E"/>
    <w:rsid w:val="00250789"/>
    <w:rsid w:val="00263687"/>
    <w:rsid w:val="002650C5"/>
    <w:rsid w:val="00266CFF"/>
    <w:rsid w:val="00281F82"/>
    <w:rsid w:val="0028361F"/>
    <w:rsid w:val="00293F58"/>
    <w:rsid w:val="00295389"/>
    <w:rsid w:val="002972E2"/>
    <w:rsid w:val="002A020A"/>
    <w:rsid w:val="002B5E5D"/>
    <w:rsid w:val="002B7A33"/>
    <w:rsid w:val="002C767A"/>
    <w:rsid w:val="002D0C6F"/>
    <w:rsid w:val="002D3272"/>
    <w:rsid w:val="002D39C0"/>
    <w:rsid w:val="002D6D7A"/>
    <w:rsid w:val="002E0D73"/>
    <w:rsid w:val="002F145A"/>
    <w:rsid w:val="002F4C54"/>
    <w:rsid w:val="002F5656"/>
    <w:rsid w:val="002F5951"/>
    <w:rsid w:val="00305C1F"/>
    <w:rsid w:val="00315774"/>
    <w:rsid w:val="003160A9"/>
    <w:rsid w:val="00323551"/>
    <w:rsid w:val="003307E2"/>
    <w:rsid w:val="00330F10"/>
    <w:rsid w:val="003368CE"/>
    <w:rsid w:val="003413B1"/>
    <w:rsid w:val="00354A2A"/>
    <w:rsid w:val="00356CB3"/>
    <w:rsid w:val="00373416"/>
    <w:rsid w:val="003809F4"/>
    <w:rsid w:val="00393414"/>
    <w:rsid w:val="003971F1"/>
    <w:rsid w:val="003A1093"/>
    <w:rsid w:val="003A17D6"/>
    <w:rsid w:val="003A1A27"/>
    <w:rsid w:val="003A6F1D"/>
    <w:rsid w:val="003B1CC8"/>
    <w:rsid w:val="003B6408"/>
    <w:rsid w:val="003C17E4"/>
    <w:rsid w:val="003C2BEF"/>
    <w:rsid w:val="003D634B"/>
    <w:rsid w:val="003D7D92"/>
    <w:rsid w:val="003E256B"/>
    <w:rsid w:val="003E4A6B"/>
    <w:rsid w:val="003E70A2"/>
    <w:rsid w:val="003F6064"/>
    <w:rsid w:val="003F7D8E"/>
    <w:rsid w:val="00410619"/>
    <w:rsid w:val="00427842"/>
    <w:rsid w:val="004362FF"/>
    <w:rsid w:val="004423E6"/>
    <w:rsid w:val="00442AB1"/>
    <w:rsid w:val="00443543"/>
    <w:rsid w:val="004443B1"/>
    <w:rsid w:val="00454EA5"/>
    <w:rsid w:val="004643AE"/>
    <w:rsid w:val="0046625D"/>
    <w:rsid w:val="00471E08"/>
    <w:rsid w:val="00474A87"/>
    <w:rsid w:val="00481C0B"/>
    <w:rsid w:val="00487F46"/>
    <w:rsid w:val="0049034D"/>
    <w:rsid w:val="00494EE5"/>
    <w:rsid w:val="00495B15"/>
    <w:rsid w:val="004A16E5"/>
    <w:rsid w:val="004A56BD"/>
    <w:rsid w:val="004B211C"/>
    <w:rsid w:val="004B33F8"/>
    <w:rsid w:val="004C1C3F"/>
    <w:rsid w:val="004C489F"/>
    <w:rsid w:val="004C4C12"/>
    <w:rsid w:val="004D03A7"/>
    <w:rsid w:val="004D0843"/>
    <w:rsid w:val="004D2E5D"/>
    <w:rsid w:val="004D30BA"/>
    <w:rsid w:val="004D5806"/>
    <w:rsid w:val="004E4B80"/>
    <w:rsid w:val="004E7137"/>
    <w:rsid w:val="004E7868"/>
    <w:rsid w:val="004F0258"/>
    <w:rsid w:val="004F19B1"/>
    <w:rsid w:val="004F576B"/>
    <w:rsid w:val="004F7806"/>
    <w:rsid w:val="00507357"/>
    <w:rsid w:val="0051356C"/>
    <w:rsid w:val="00516BF8"/>
    <w:rsid w:val="0052282A"/>
    <w:rsid w:val="00522CCB"/>
    <w:rsid w:val="00523622"/>
    <w:rsid w:val="005309DE"/>
    <w:rsid w:val="00535C23"/>
    <w:rsid w:val="00556C3E"/>
    <w:rsid w:val="005576C8"/>
    <w:rsid w:val="00561804"/>
    <w:rsid w:val="005643CF"/>
    <w:rsid w:val="00567FD3"/>
    <w:rsid w:val="0058376C"/>
    <w:rsid w:val="00583857"/>
    <w:rsid w:val="00584073"/>
    <w:rsid w:val="005A414D"/>
    <w:rsid w:val="005A4E13"/>
    <w:rsid w:val="005A7040"/>
    <w:rsid w:val="005B1819"/>
    <w:rsid w:val="005B5987"/>
    <w:rsid w:val="005C51BD"/>
    <w:rsid w:val="005D0A97"/>
    <w:rsid w:val="005D11A2"/>
    <w:rsid w:val="005D3BBB"/>
    <w:rsid w:val="005D4A13"/>
    <w:rsid w:val="005D6100"/>
    <w:rsid w:val="005E2945"/>
    <w:rsid w:val="005F2DCA"/>
    <w:rsid w:val="0060757D"/>
    <w:rsid w:val="00611517"/>
    <w:rsid w:val="00611AFC"/>
    <w:rsid w:val="006126F5"/>
    <w:rsid w:val="00615501"/>
    <w:rsid w:val="00615765"/>
    <w:rsid w:val="00620084"/>
    <w:rsid w:val="00627A71"/>
    <w:rsid w:val="00630530"/>
    <w:rsid w:val="006306D6"/>
    <w:rsid w:val="00635CCC"/>
    <w:rsid w:val="006378F0"/>
    <w:rsid w:val="00643CCB"/>
    <w:rsid w:val="00643E0A"/>
    <w:rsid w:val="00666873"/>
    <w:rsid w:val="0067342C"/>
    <w:rsid w:val="006739D9"/>
    <w:rsid w:val="00676162"/>
    <w:rsid w:val="00683512"/>
    <w:rsid w:val="00692042"/>
    <w:rsid w:val="006B1DE6"/>
    <w:rsid w:val="006B2A0F"/>
    <w:rsid w:val="006B45BC"/>
    <w:rsid w:val="006B471C"/>
    <w:rsid w:val="006B56B2"/>
    <w:rsid w:val="006C37B0"/>
    <w:rsid w:val="006C655E"/>
    <w:rsid w:val="006C71AD"/>
    <w:rsid w:val="006D224C"/>
    <w:rsid w:val="006D4C7C"/>
    <w:rsid w:val="006D5239"/>
    <w:rsid w:val="006D6ECB"/>
    <w:rsid w:val="006D710A"/>
    <w:rsid w:val="006D76AD"/>
    <w:rsid w:val="006E0A60"/>
    <w:rsid w:val="006E12D8"/>
    <w:rsid w:val="006E1460"/>
    <w:rsid w:val="006E2624"/>
    <w:rsid w:val="006F067A"/>
    <w:rsid w:val="006F5AC7"/>
    <w:rsid w:val="006F762D"/>
    <w:rsid w:val="007048B8"/>
    <w:rsid w:val="00712094"/>
    <w:rsid w:val="0071229A"/>
    <w:rsid w:val="0073209A"/>
    <w:rsid w:val="00742D72"/>
    <w:rsid w:val="00747ADB"/>
    <w:rsid w:val="00752B5D"/>
    <w:rsid w:val="00763B1D"/>
    <w:rsid w:val="00763F82"/>
    <w:rsid w:val="00764562"/>
    <w:rsid w:val="00765C4E"/>
    <w:rsid w:val="0077512A"/>
    <w:rsid w:val="0078550C"/>
    <w:rsid w:val="00793AFF"/>
    <w:rsid w:val="00795C7B"/>
    <w:rsid w:val="00796C89"/>
    <w:rsid w:val="007A2CF4"/>
    <w:rsid w:val="007A7378"/>
    <w:rsid w:val="007B1AC4"/>
    <w:rsid w:val="007C44C0"/>
    <w:rsid w:val="007C4A07"/>
    <w:rsid w:val="007D08E8"/>
    <w:rsid w:val="007D487E"/>
    <w:rsid w:val="007D774C"/>
    <w:rsid w:val="007E292A"/>
    <w:rsid w:val="007E3B09"/>
    <w:rsid w:val="008001D1"/>
    <w:rsid w:val="00800EC8"/>
    <w:rsid w:val="00805A73"/>
    <w:rsid w:val="00807615"/>
    <w:rsid w:val="008178BA"/>
    <w:rsid w:val="00820EC2"/>
    <w:rsid w:val="008243C8"/>
    <w:rsid w:val="008447E1"/>
    <w:rsid w:val="00852CF0"/>
    <w:rsid w:val="008703BB"/>
    <w:rsid w:val="008712C1"/>
    <w:rsid w:val="008731AD"/>
    <w:rsid w:val="00875F1A"/>
    <w:rsid w:val="00896E43"/>
    <w:rsid w:val="008A38D1"/>
    <w:rsid w:val="008B5D29"/>
    <w:rsid w:val="008C17C6"/>
    <w:rsid w:val="008C57FB"/>
    <w:rsid w:val="008C7C3D"/>
    <w:rsid w:val="008D449E"/>
    <w:rsid w:val="008D60F2"/>
    <w:rsid w:val="008E3075"/>
    <w:rsid w:val="008E3F5F"/>
    <w:rsid w:val="008E576B"/>
    <w:rsid w:val="008F099A"/>
    <w:rsid w:val="008F5803"/>
    <w:rsid w:val="00903A76"/>
    <w:rsid w:val="00913538"/>
    <w:rsid w:val="009135E7"/>
    <w:rsid w:val="0091596E"/>
    <w:rsid w:val="00917CE7"/>
    <w:rsid w:val="00927374"/>
    <w:rsid w:val="00927951"/>
    <w:rsid w:val="00934A9B"/>
    <w:rsid w:val="0093620F"/>
    <w:rsid w:val="009372D5"/>
    <w:rsid w:val="00937947"/>
    <w:rsid w:val="0094502B"/>
    <w:rsid w:val="00946872"/>
    <w:rsid w:val="00946990"/>
    <w:rsid w:val="00950137"/>
    <w:rsid w:val="00950CA7"/>
    <w:rsid w:val="00950D59"/>
    <w:rsid w:val="009561BD"/>
    <w:rsid w:val="0096067C"/>
    <w:rsid w:val="00960847"/>
    <w:rsid w:val="00965D86"/>
    <w:rsid w:val="009773AD"/>
    <w:rsid w:val="00977FB7"/>
    <w:rsid w:val="009825A5"/>
    <w:rsid w:val="0098384C"/>
    <w:rsid w:val="00990A30"/>
    <w:rsid w:val="00995F33"/>
    <w:rsid w:val="00996876"/>
    <w:rsid w:val="009978AB"/>
    <w:rsid w:val="009A20D7"/>
    <w:rsid w:val="009A26DC"/>
    <w:rsid w:val="009B4867"/>
    <w:rsid w:val="009B51C3"/>
    <w:rsid w:val="009C3153"/>
    <w:rsid w:val="009D2328"/>
    <w:rsid w:val="009D5F93"/>
    <w:rsid w:val="009E472C"/>
    <w:rsid w:val="009F0065"/>
    <w:rsid w:val="009F3EC4"/>
    <w:rsid w:val="009F4503"/>
    <w:rsid w:val="009F629A"/>
    <w:rsid w:val="00A02B41"/>
    <w:rsid w:val="00A06BCE"/>
    <w:rsid w:val="00A12347"/>
    <w:rsid w:val="00A218DC"/>
    <w:rsid w:val="00A23745"/>
    <w:rsid w:val="00A23BEC"/>
    <w:rsid w:val="00A24B98"/>
    <w:rsid w:val="00A24D38"/>
    <w:rsid w:val="00A27277"/>
    <w:rsid w:val="00A31A61"/>
    <w:rsid w:val="00A335A2"/>
    <w:rsid w:val="00A33F6C"/>
    <w:rsid w:val="00A35331"/>
    <w:rsid w:val="00A40A02"/>
    <w:rsid w:val="00A45ED3"/>
    <w:rsid w:val="00A511B8"/>
    <w:rsid w:val="00A51EB6"/>
    <w:rsid w:val="00A5232C"/>
    <w:rsid w:val="00A53E2F"/>
    <w:rsid w:val="00A60E95"/>
    <w:rsid w:val="00A74E4A"/>
    <w:rsid w:val="00A82674"/>
    <w:rsid w:val="00A86B2C"/>
    <w:rsid w:val="00A91E6D"/>
    <w:rsid w:val="00A9601F"/>
    <w:rsid w:val="00AA1A73"/>
    <w:rsid w:val="00AA3CD8"/>
    <w:rsid w:val="00AA4A8A"/>
    <w:rsid w:val="00AA6B91"/>
    <w:rsid w:val="00AA7567"/>
    <w:rsid w:val="00AA7AD6"/>
    <w:rsid w:val="00AB3689"/>
    <w:rsid w:val="00AB4F92"/>
    <w:rsid w:val="00AB54DF"/>
    <w:rsid w:val="00AB5564"/>
    <w:rsid w:val="00AB6CB8"/>
    <w:rsid w:val="00AC01A7"/>
    <w:rsid w:val="00AC291E"/>
    <w:rsid w:val="00AC44C8"/>
    <w:rsid w:val="00AD566D"/>
    <w:rsid w:val="00AD5775"/>
    <w:rsid w:val="00AD5E40"/>
    <w:rsid w:val="00AD5F50"/>
    <w:rsid w:val="00AE0C40"/>
    <w:rsid w:val="00AE50D5"/>
    <w:rsid w:val="00AE6E5C"/>
    <w:rsid w:val="00AE752E"/>
    <w:rsid w:val="00AF1256"/>
    <w:rsid w:val="00AF1C35"/>
    <w:rsid w:val="00AF40BE"/>
    <w:rsid w:val="00AF53BE"/>
    <w:rsid w:val="00AF6418"/>
    <w:rsid w:val="00AF6C36"/>
    <w:rsid w:val="00B074F6"/>
    <w:rsid w:val="00B14A66"/>
    <w:rsid w:val="00B21E83"/>
    <w:rsid w:val="00B30162"/>
    <w:rsid w:val="00B31538"/>
    <w:rsid w:val="00B33B15"/>
    <w:rsid w:val="00B34870"/>
    <w:rsid w:val="00B46FE0"/>
    <w:rsid w:val="00B57D03"/>
    <w:rsid w:val="00B905F9"/>
    <w:rsid w:val="00B91F85"/>
    <w:rsid w:val="00B9469E"/>
    <w:rsid w:val="00B95BAE"/>
    <w:rsid w:val="00B95D23"/>
    <w:rsid w:val="00BA0926"/>
    <w:rsid w:val="00BA6C7F"/>
    <w:rsid w:val="00BA6DBD"/>
    <w:rsid w:val="00BA7CDC"/>
    <w:rsid w:val="00BB0034"/>
    <w:rsid w:val="00BB05B1"/>
    <w:rsid w:val="00BC5ABC"/>
    <w:rsid w:val="00BD0A7F"/>
    <w:rsid w:val="00BD1AE0"/>
    <w:rsid w:val="00BD29EA"/>
    <w:rsid w:val="00BD2B9C"/>
    <w:rsid w:val="00BD30AD"/>
    <w:rsid w:val="00BD7631"/>
    <w:rsid w:val="00BE35CF"/>
    <w:rsid w:val="00BE4D31"/>
    <w:rsid w:val="00BE66DB"/>
    <w:rsid w:val="00BE7BB5"/>
    <w:rsid w:val="00BF434F"/>
    <w:rsid w:val="00BF735D"/>
    <w:rsid w:val="00C01645"/>
    <w:rsid w:val="00C0359B"/>
    <w:rsid w:val="00C064E2"/>
    <w:rsid w:val="00C106F7"/>
    <w:rsid w:val="00C12D4D"/>
    <w:rsid w:val="00C16A5F"/>
    <w:rsid w:val="00C17DB8"/>
    <w:rsid w:val="00C20558"/>
    <w:rsid w:val="00C24F16"/>
    <w:rsid w:val="00C2630F"/>
    <w:rsid w:val="00C26BBA"/>
    <w:rsid w:val="00C3214A"/>
    <w:rsid w:val="00C32D21"/>
    <w:rsid w:val="00C333BE"/>
    <w:rsid w:val="00C341E8"/>
    <w:rsid w:val="00C40089"/>
    <w:rsid w:val="00C40C54"/>
    <w:rsid w:val="00C43326"/>
    <w:rsid w:val="00C50F8D"/>
    <w:rsid w:val="00C5439B"/>
    <w:rsid w:val="00C60D34"/>
    <w:rsid w:val="00C61A29"/>
    <w:rsid w:val="00C63369"/>
    <w:rsid w:val="00C64106"/>
    <w:rsid w:val="00C700DC"/>
    <w:rsid w:val="00C70765"/>
    <w:rsid w:val="00C8366D"/>
    <w:rsid w:val="00C8755F"/>
    <w:rsid w:val="00C90476"/>
    <w:rsid w:val="00C94273"/>
    <w:rsid w:val="00C96B69"/>
    <w:rsid w:val="00C96CF6"/>
    <w:rsid w:val="00CA0D4E"/>
    <w:rsid w:val="00CA395E"/>
    <w:rsid w:val="00CA4867"/>
    <w:rsid w:val="00CA5070"/>
    <w:rsid w:val="00CA70EC"/>
    <w:rsid w:val="00CB025D"/>
    <w:rsid w:val="00CB1935"/>
    <w:rsid w:val="00CB690F"/>
    <w:rsid w:val="00CC11D7"/>
    <w:rsid w:val="00CC5735"/>
    <w:rsid w:val="00CC57DF"/>
    <w:rsid w:val="00CC73DA"/>
    <w:rsid w:val="00CD09F1"/>
    <w:rsid w:val="00CD780A"/>
    <w:rsid w:val="00CE0BB3"/>
    <w:rsid w:val="00CF4107"/>
    <w:rsid w:val="00CF53E6"/>
    <w:rsid w:val="00CF59B9"/>
    <w:rsid w:val="00CF726C"/>
    <w:rsid w:val="00D009B2"/>
    <w:rsid w:val="00D052B2"/>
    <w:rsid w:val="00D13318"/>
    <w:rsid w:val="00D2047B"/>
    <w:rsid w:val="00D24C8F"/>
    <w:rsid w:val="00D25DC6"/>
    <w:rsid w:val="00D27453"/>
    <w:rsid w:val="00D36948"/>
    <w:rsid w:val="00D43FAB"/>
    <w:rsid w:val="00D46245"/>
    <w:rsid w:val="00D51CFD"/>
    <w:rsid w:val="00D53D44"/>
    <w:rsid w:val="00D53F0C"/>
    <w:rsid w:val="00D5682D"/>
    <w:rsid w:val="00D57B49"/>
    <w:rsid w:val="00D711EA"/>
    <w:rsid w:val="00D71240"/>
    <w:rsid w:val="00D72A77"/>
    <w:rsid w:val="00D743A7"/>
    <w:rsid w:val="00D74461"/>
    <w:rsid w:val="00D75192"/>
    <w:rsid w:val="00D76A56"/>
    <w:rsid w:val="00D84DED"/>
    <w:rsid w:val="00D9172C"/>
    <w:rsid w:val="00DA1700"/>
    <w:rsid w:val="00DB262B"/>
    <w:rsid w:val="00DB3A21"/>
    <w:rsid w:val="00DB4FFE"/>
    <w:rsid w:val="00DB6373"/>
    <w:rsid w:val="00DC37BC"/>
    <w:rsid w:val="00DC5E42"/>
    <w:rsid w:val="00DD2245"/>
    <w:rsid w:val="00DE0271"/>
    <w:rsid w:val="00DE251F"/>
    <w:rsid w:val="00DE3F7E"/>
    <w:rsid w:val="00DF0CBB"/>
    <w:rsid w:val="00DF3670"/>
    <w:rsid w:val="00DF6AF8"/>
    <w:rsid w:val="00E0392F"/>
    <w:rsid w:val="00E1467A"/>
    <w:rsid w:val="00E21C5F"/>
    <w:rsid w:val="00E27178"/>
    <w:rsid w:val="00E348EF"/>
    <w:rsid w:val="00E40C63"/>
    <w:rsid w:val="00E500B8"/>
    <w:rsid w:val="00E50C83"/>
    <w:rsid w:val="00E5152B"/>
    <w:rsid w:val="00E57074"/>
    <w:rsid w:val="00E62984"/>
    <w:rsid w:val="00E70CCB"/>
    <w:rsid w:val="00E724B5"/>
    <w:rsid w:val="00E7713E"/>
    <w:rsid w:val="00E847A5"/>
    <w:rsid w:val="00E84FEB"/>
    <w:rsid w:val="00E91660"/>
    <w:rsid w:val="00E941FC"/>
    <w:rsid w:val="00E94256"/>
    <w:rsid w:val="00E95812"/>
    <w:rsid w:val="00E968E7"/>
    <w:rsid w:val="00EA1DB6"/>
    <w:rsid w:val="00EA4C24"/>
    <w:rsid w:val="00EA7BEE"/>
    <w:rsid w:val="00EB00D9"/>
    <w:rsid w:val="00EB0BB6"/>
    <w:rsid w:val="00EB374E"/>
    <w:rsid w:val="00EB46A4"/>
    <w:rsid w:val="00EB67F7"/>
    <w:rsid w:val="00EB732E"/>
    <w:rsid w:val="00EC3FBA"/>
    <w:rsid w:val="00EC5786"/>
    <w:rsid w:val="00EC669D"/>
    <w:rsid w:val="00ED0763"/>
    <w:rsid w:val="00ED0F86"/>
    <w:rsid w:val="00ED4028"/>
    <w:rsid w:val="00ED7C10"/>
    <w:rsid w:val="00EF068A"/>
    <w:rsid w:val="00EF3E49"/>
    <w:rsid w:val="00EF41F1"/>
    <w:rsid w:val="00EF6FF7"/>
    <w:rsid w:val="00EF7F14"/>
    <w:rsid w:val="00F06A44"/>
    <w:rsid w:val="00F07E79"/>
    <w:rsid w:val="00F15C69"/>
    <w:rsid w:val="00F15DAC"/>
    <w:rsid w:val="00F20833"/>
    <w:rsid w:val="00F364BB"/>
    <w:rsid w:val="00F45A61"/>
    <w:rsid w:val="00F47269"/>
    <w:rsid w:val="00F52312"/>
    <w:rsid w:val="00F72234"/>
    <w:rsid w:val="00F76A8B"/>
    <w:rsid w:val="00F80913"/>
    <w:rsid w:val="00F80E2F"/>
    <w:rsid w:val="00F85701"/>
    <w:rsid w:val="00F867FE"/>
    <w:rsid w:val="00F87BE3"/>
    <w:rsid w:val="00F92E9C"/>
    <w:rsid w:val="00F9377A"/>
    <w:rsid w:val="00F9655D"/>
    <w:rsid w:val="00F97B60"/>
    <w:rsid w:val="00FA0240"/>
    <w:rsid w:val="00FA6E86"/>
    <w:rsid w:val="00FB3935"/>
    <w:rsid w:val="00FB3B01"/>
    <w:rsid w:val="00FB5DDE"/>
    <w:rsid w:val="00FC42D1"/>
    <w:rsid w:val="00FC4B3C"/>
    <w:rsid w:val="00FC5F34"/>
    <w:rsid w:val="00FD1A50"/>
    <w:rsid w:val="00FD4E51"/>
    <w:rsid w:val="00FD5FDA"/>
    <w:rsid w:val="00FE0E22"/>
    <w:rsid w:val="00FE27E2"/>
    <w:rsid w:val="00FE6557"/>
    <w:rsid w:val="00FE7D23"/>
    <w:rsid w:val="00FF3E44"/>
    <w:rsid w:val="00FF56E8"/>
    <w:rsid w:val="00FF6A3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94B78"/>
  <w15:chartTrackingRefBased/>
  <w15:docId w15:val="{82B9BCF2-4FF2-47F8-AAAA-17127111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A3"/>
    <w:pPr>
      <w:jc w:val="both"/>
    </w:pPr>
    <w:rPr>
      <w:rFonts w:ascii="Arial" w:hAnsi="Arial"/>
      <w:lang w:eastAsia="hu-HU"/>
    </w:rPr>
  </w:style>
  <w:style w:type="paragraph" w:styleId="Ttulo1">
    <w:name w:val="heading 1"/>
    <w:basedOn w:val="Normal"/>
    <w:next w:val="texto"/>
    <w:qFormat/>
    <w:rsid w:val="001E09A3"/>
    <w:pPr>
      <w:keepNext/>
      <w:numPr>
        <w:numId w:val="29"/>
      </w:numPr>
      <w:spacing w:before="120" w:after="120"/>
      <w:ind w:left="431" w:hanging="431"/>
      <w:jc w:val="left"/>
      <w:outlineLvl w:val="0"/>
    </w:pPr>
    <w:rPr>
      <w:b/>
      <w:caps/>
      <w:sz w:val="24"/>
      <w:szCs w:val="24"/>
    </w:rPr>
  </w:style>
  <w:style w:type="paragraph" w:styleId="Ttulo2">
    <w:name w:val="heading 2"/>
    <w:basedOn w:val="Normal"/>
    <w:next w:val="texto"/>
    <w:link w:val="Ttulo2Char"/>
    <w:uiPriority w:val="9"/>
    <w:unhideWhenUsed/>
    <w:qFormat/>
    <w:rsid w:val="001E09A3"/>
    <w:pPr>
      <w:keepNext/>
      <w:keepLines/>
      <w:numPr>
        <w:ilvl w:val="1"/>
        <w:numId w:val="29"/>
      </w:numPr>
      <w:spacing w:before="120" w:after="120"/>
      <w:ind w:left="0" w:firstLine="0"/>
      <w:outlineLvl w:val="1"/>
    </w:pPr>
    <w:rPr>
      <w:rFonts w:eastAsiaTheme="majorEastAsia" w:cstheme="majorBidi"/>
      <w:caps/>
      <w:sz w:val="24"/>
      <w:szCs w:val="26"/>
    </w:rPr>
  </w:style>
  <w:style w:type="paragraph" w:styleId="Ttulo3">
    <w:name w:val="heading 3"/>
    <w:basedOn w:val="Normal"/>
    <w:next w:val="Normal"/>
    <w:rsid w:val="00055BEC"/>
    <w:pPr>
      <w:keepNext/>
      <w:numPr>
        <w:ilvl w:val="2"/>
        <w:numId w:val="29"/>
      </w:numPr>
      <w:spacing w:before="120" w:after="120" w:line="360" w:lineRule="auto"/>
      <w:outlineLvl w:val="2"/>
    </w:pPr>
    <w:rPr>
      <w:rFonts w:cs="Arial"/>
      <w:b/>
      <w:bCs/>
      <w:sz w:val="24"/>
      <w:szCs w:val="26"/>
    </w:rPr>
  </w:style>
  <w:style w:type="paragraph" w:styleId="Ttulo4">
    <w:name w:val="heading 4"/>
    <w:basedOn w:val="Normal"/>
    <w:next w:val="Normal"/>
    <w:rsid w:val="00BA6C7F"/>
    <w:pPr>
      <w:keepNext/>
      <w:numPr>
        <w:ilvl w:val="3"/>
        <w:numId w:val="29"/>
      </w:numPr>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D51CFD"/>
    <w:pPr>
      <w:keepNext/>
      <w:keepLines/>
      <w:numPr>
        <w:ilvl w:val="4"/>
        <w:numId w:val="29"/>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D51CFD"/>
    <w:pPr>
      <w:keepNext/>
      <w:keepLines/>
      <w:numPr>
        <w:ilvl w:val="5"/>
        <w:numId w:val="29"/>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D51CFD"/>
    <w:pPr>
      <w:keepNext/>
      <w:keepLines/>
      <w:numPr>
        <w:ilvl w:val="6"/>
        <w:numId w:val="29"/>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D51CFD"/>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51CFD"/>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1E09A3"/>
    <w:pPr>
      <w:spacing w:before="120" w:after="120"/>
      <w:jc w:val="center"/>
    </w:pPr>
    <w:rPr>
      <w:b/>
      <w:sz w:val="28"/>
      <w:szCs w:val="28"/>
    </w:rPr>
  </w:style>
  <w:style w:type="character" w:styleId="Hyperlink">
    <w:name w:val="Hyperlink"/>
    <w:rsid w:val="00615765"/>
    <w:rPr>
      <w:rFonts w:ascii="Verdana" w:hAnsi="Verdana" w:hint="default"/>
      <w:strike w:val="0"/>
      <w:dstrike w:val="0"/>
      <w:color w:val="000000"/>
      <w:sz w:val="20"/>
      <w:szCs w:val="20"/>
      <w:u w:val="none"/>
      <w:effect w:val="none"/>
    </w:rPr>
  </w:style>
  <w:style w:type="paragraph" w:styleId="Recuodecorpodetexto2">
    <w:name w:val="Body Text Indent 2"/>
    <w:basedOn w:val="Normal"/>
    <w:rsid w:val="00BA6C7F"/>
    <w:pPr>
      <w:spacing w:before="120"/>
      <w:ind w:left="1134"/>
    </w:pPr>
    <w:rPr>
      <w:szCs w:val="24"/>
      <w:lang w:val="en-US"/>
    </w:rPr>
  </w:style>
  <w:style w:type="paragraph" w:styleId="Recuodecorpodetexto3">
    <w:name w:val="Body Text Indent 3"/>
    <w:basedOn w:val="Normal"/>
    <w:rsid w:val="00BA6C7F"/>
    <w:pPr>
      <w:spacing w:before="120"/>
      <w:ind w:left="1260"/>
    </w:pPr>
    <w:rPr>
      <w:szCs w:val="24"/>
      <w:lang w:val="hu-HU"/>
    </w:rPr>
  </w:style>
  <w:style w:type="paragraph" w:styleId="Legenda">
    <w:name w:val="caption"/>
    <w:basedOn w:val="Normal"/>
    <w:next w:val="Normal"/>
    <w:uiPriority w:val="35"/>
    <w:qFormat/>
    <w:rsid w:val="00BA6C7F"/>
    <w:pPr>
      <w:spacing w:before="120"/>
      <w:ind w:left="851"/>
    </w:pPr>
    <w:rPr>
      <w:i/>
      <w:iCs/>
      <w:szCs w:val="24"/>
      <w:lang w:val="en-US"/>
    </w:rPr>
  </w:style>
  <w:style w:type="character" w:customStyle="1" w:styleId="goohl1">
    <w:name w:val="goohl1"/>
    <w:basedOn w:val="Fontepargpadro"/>
    <w:rsid w:val="00BA6C7F"/>
  </w:style>
  <w:style w:type="paragraph" w:styleId="Corpodetexto3">
    <w:name w:val="Body Text 3"/>
    <w:basedOn w:val="Normal"/>
    <w:rsid w:val="008243C8"/>
    <w:pPr>
      <w:spacing w:after="120"/>
    </w:pPr>
    <w:rPr>
      <w:sz w:val="16"/>
      <w:szCs w:val="16"/>
    </w:rPr>
  </w:style>
  <w:style w:type="paragraph" w:styleId="Recuodecorpodetexto">
    <w:name w:val="Body Text Indent"/>
    <w:basedOn w:val="Normal"/>
    <w:rsid w:val="008F5803"/>
    <w:pPr>
      <w:spacing w:after="120"/>
      <w:ind w:left="283"/>
    </w:pPr>
  </w:style>
  <w:style w:type="table" w:styleId="Tabelacomgrade">
    <w:name w:val="Table Grid"/>
    <w:basedOn w:val="Tabelanormal"/>
    <w:uiPriority w:val="39"/>
    <w:rsid w:val="00913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116359"/>
    <w:pPr>
      <w:tabs>
        <w:tab w:val="center" w:pos="4536"/>
        <w:tab w:val="right" w:pos="9072"/>
      </w:tabs>
    </w:pPr>
  </w:style>
  <w:style w:type="paragraph" w:styleId="Rodap">
    <w:name w:val="footer"/>
    <w:basedOn w:val="Normal"/>
    <w:link w:val="RodapChar"/>
    <w:uiPriority w:val="99"/>
    <w:rsid w:val="00116359"/>
    <w:pPr>
      <w:tabs>
        <w:tab w:val="center" w:pos="4536"/>
        <w:tab w:val="right" w:pos="9072"/>
      </w:tabs>
    </w:pPr>
  </w:style>
  <w:style w:type="paragraph" w:styleId="Textodebalo">
    <w:name w:val="Balloon Text"/>
    <w:basedOn w:val="Normal"/>
    <w:semiHidden/>
    <w:rsid w:val="009561BD"/>
    <w:rPr>
      <w:rFonts w:ascii="Tahoma" w:hAnsi="Tahoma" w:cs="Tahoma"/>
      <w:sz w:val="16"/>
      <w:szCs w:val="16"/>
    </w:rPr>
  </w:style>
  <w:style w:type="paragraph" w:customStyle="1" w:styleId="Item">
    <w:name w:val="Item"/>
    <w:basedOn w:val="Normal"/>
    <w:rsid w:val="000910C0"/>
    <w:pPr>
      <w:tabs>
        <w:tab w:val="right" w:pos="397"/>
        <w:tab w:val="left" w:pos="510"/>
      </w:tabs>
      <w:spacing w:after="120"/>
      <w:ind w:left="510" w:hanging="510"/>
    </w:pPr>
    <w:rPr>
      <w:sz w:val="24"/>
      <w:lang w:eastAsia="en-US"/>
    </w:rPr>
  </w:style>
  <w:style w:type="paragraph" w:styleId="PargrafodaLista">
    <w:name w:val="List Paragraph"/>
    <w:basedOn w:val="Normal"/>
    <w:uiPriority w:val="34"/>
    <w:qFormat/>
    <w:rsid w:val="0019531B"/>
    <w:pPr>
      <w:spacing w:after="41" w:line="236" w:lineRule="auto"/>
      <w:ind w:left="720" w:hanging="10"/>
      <w:contextualSpacing/>
    </w:pPr>
    <w:rPr>
      <w:color w:val="000000"/>
      <w:sz w:val="22"/>
      <w:szCs w:val="22"/>
      <w:lang w:val="fr-FR" w:eastAsia="fr-FR"/>
    </w:rPr>
  </w:style>
  <w:style w:type="paragraph" w:customStyle="1" w:styleId="texto">
    <w:name w:val="texto"/>
    <w:qFormat/>
    <w:rsid w:val="003E256B"/>
    <w:pPr>
      <w:spacing w:before="120" w:after="120"/>
      <w:ind w:firstLine="709"/>
      <w:jc w:val="both"/>
    </w:pPr>
    <w:rPr>
      <w:rFonts w:ascii="Arial" w:eastAsia="Calibri" w:hAnsi="Arial" w:cs="Arial"/>
      <w:sz w:val="24"/>
      <w:szCs w:val="22"/>
      <w:lang w:eastAsia="pt-BR"/>
    </w:rPr>
  </w:style>
  <w:style w:type="paragraph" w:styleId="SemEspaamento">
    <w:name w:val="No Spacing"/>
    <w:aliases w:val="Tabela"/>
    <w:uiPriority w:val="1"/>
    <w:rsid w:val="00A9601F"/>
    <w:pPr>
      <w:jc w:val="center"/>
    </w:pPr>
    <w:rPr>
      <w:rFonts w:eastAsia="Calibri" w:cs="Arial"/>
      <w:lang w:eastAsia="en-US"/>
    </w:rPr>
  </w:style>
  <w:style w:type="character" w:customStyle="1" w:styleId="apple-converted-space">
    <w:name w:val="apple-converted-space"/>
    <w:basedOn w:val="Fontepargpadro"/>
    <w:rsid w:val="00A9601F"/>
  </w:style>
  <w:style w:type="paragraph" w:customStyle="1" w:styleId="RefABNT">
    <w:name w:val="Ref.ABNT"/>
    <w:basedOn w:val="Normal"/>
    <w:uiPriority w:val="10"/>
    <w:qFormat/>
    <w:rsid w:val="009135E7"/>
    <w:pPr>
      <w:spacing w:before="120" w:after="120"/>
      <w:jc w:val="left"/>
    </w:pPr>
    <w:rPr>
      <w:bCs/>
      <w:color w:val="000000"/>
      <w:sz w:val="24"/>
      <w:szCs w:val="24"/>
      <w:lang w:eastAsia="pt-BR"/>
    </w:rPr>
  </w:style>
  <w:style w:type="paragraph" w:customStyle="1" w:styleId="Legenda2">
    <w:name w:val="Legenda 2"/>
    <w:basedOn w:val="Legenda"/>
    <w:next w:val="texto"/>
    <w:uiPriority w:val="10"/>
    <w:qFormat/>
    <w:rsid w:val="00522CCB"/>
    <w:pPr>
      <w:spacing w:before="0"/>
      <w:ind w:left="0"/>
    </w:pPr>
    <w:rPr>
      <w:bCs/>
      <w:i w:val="0"/>
      <w:iCs w:val="0"/>
      <w:color w:val="000000"/>
      <w:szCs w:val="20"/>
      <w:lang w:val="pt-BR" w:eastAsia="pt-BR"/>
    </w:rPr>
  </w:style>
  <w:style w:type="paragraph" w:customStyle="1" w:styleId="Default">
    <w:name w:val="Default"/>
    <w:rsid w:val="008712C1"/>
    <w:pPr>
      <w:autoSpaceDE w:val="0"/>
      <w:autoSpaceDN w:val="0"/>
      <w:adjustRightInd w:val="0"/>
    </w:pPr>
    <w:rPr>
      <w:rFonts w:ascii="Arial" w:hAnsi="Arial" w:cs="Arial"/>
      <w:color w:val="000000"/>
      <w:sz w:val="24"/>
      <w:szCs w:val="24"/>
      <w:lang w:eastAsia="pt-BR"/>
    </w:rPr>
  </w:style>
  <w:style w:type="paragraph" w:styleId="NormalWeb">
    <w:name w:val="Normal (Web)"/>
    <w:basedOn w:val="Normal"/>
    <w:uiPriority w:val="99"/>
    <w:semiHidden/>
    <w:unhideWhenUsed/>
    <w:rsid w:val="00200EE0"/>
    <w:pPr>
      <w:spacing w:before="100" w:beforeAutospacing="1" w:after="100" w:afterAutospacing="1"/>
      <w:jc w:val="left"/>
    </w:pPr>
    <w:rPr>
      <w:sz w:val="24"/>
      <w:szCs w:val="24"/>
      <w:lang w:eastAsia="pt-BR"/>
    </w:rPr>
  </w:style>
  <w:style w:type="character" w:customStyle="1" w:styleId="RodapChar">
    <w:name w:val="Rodapé Char"/>
    <w:basedOn w:val="Fontepargpadro"/>
    <w:link w:val="Rodap"/>
    <w:uiPriority w:val="99"/>
    <w:rsid w:val="00D743A7"/>
    <w:rPr>
      <w:lang w:val="en-GB" w:eastAsia="hu-HU"/>
    </w:rPr>
  </w:style>
  <w:style w:type="paragraph" w:styleId="Textodenotaderodap">
    <w:name w:val="footnote text"/>
    <w:basedOn w:val="Normal"/>
    <w:link w:val="TextodenotaderodapChar"/>
    <w:uiPriority w:val="99"/>
    <w:semiHidden/>
    <w:unhideWhenUsed/>
    <w:rsid w:val="001E79E0"/>
  </w:style>
  <w:style w:type="character" w:customStyle="1" w:styleId="TextodenotaderodapChar">
    <w:name w:val="Texto de nota de rodapé Char"/>
    <w:basedOn w:val="Fontepargpadro"/>
    <w:link w:val="Textodenotaderodap"/>
    <w:uiPriority w:val="99"/>
    <w:semiHidden/>
    <w:rsid w:val="001E79E0"/>
    <w:rPr>
      <w:lang w:val="en-GB" w:eastAsia="hu-HU"/>
    </w:rPr>
  </w:style>
  <w:style w:type="character" w:styleId="Refdenotaderodap">
    <w:name w:val="footnote reference"/>
    <w:basedOn w:val="Fontepargpadro"/>
    <w:uiPriority w:val="99"/>
    <w:semiHidden/>
    <w:unhideWhenUsed/>
    <w:rsid w:val="001E79E0"/>
    <w:rPr>
      <w:vertAlign w:val="superscript"/>
    </w:rPr>
  </w:style>
  <w:style w:type="character" w:styleId="MenoPendente">
    <w:name w:val="Unresolved Mention"/>
    <w:basedOn w:val="Fontepargpadro"/>
    <w:uiPriority w:val="99"/>
    <w:semiHidden/>
    <w:unhideWhenUsed/>
    <w:rsid w:val="00C8755F"/>
    <w:rPr>
      <w:color w:val="605E5C"/>
      <w:shd w:val="clear" w:color="auto" w:fill="E1DFDD"/>
    </w:rPr>
  </w:style>
  <w:style w:type="character" w:styleId="Refdecomentrio">
    <w:name w:val="annotation reference"/>
    <w:basedOn w:val="Fontepargpadro"/>
    <w:uiPriority w:val="99"/>
    <w:semiHidden/>
    <w:unhideWhenUsed/>
    <w:rsid w:val="00D24C8F"/>
    <w:rPr>
      <w:sz w:val="16"/>
      <w:szCs w:val="16"/>
    </w:rPr>
  </w:style>
  <w:style w:type="paragraph" w:styleId="Textodecomentrio">
    <w:name w:val="annotation text"/>
    <w:basedOn w:val="Normal"/>
    <w:link w:val="TextodecomentrioChar"/>
    <w:uiPriority w:val="99"/>
    <w:unhideWhenUsed/>
    <w:rsid w:val="00D24C8F"/>
  </w:style>
  <w:style w:type="character" w:customStyle="1" w:styleId="TextodecomentrioChar">
    <w:name w:val="Texto de comentário Char"/>
    <w:basedOn w:val="Fontepargpadro"/>
    <w:link w:val="Textodecomentrio"/>
    <w:uiPriority w:val="99"/>
    <w:rsid w:val="00D24C8F"/>
    <w:rPr>
      <w:lang w:val="en-GB" w:eastAsia="hu-HU"/>
    </w:rPr>
  </w:style>
  <w:style w:type="paragraph" w:styleId="Assuntodocomentrio">
    <w:name w:val="annotation subject"/>
    <w:basedOn w:val="Textodecomentrio"/>
    <w:next w:val="Textodecomentrio"/>
    <w:link w:val="AssuntodocomentrioChar"/>
    <w:uiPriority w:val="99"/>
    <w:semiHidden/>
    <w:unhideWhenUsed/>
    <w:rsid w:val="00D24C8F"/>
    <w:rPr>
      <w:b/>
      <w:bCs/>
    </w:rPr>
  </w:style>
  <w:style w:type="character" w:customStyle="1" w:styleId="AssuntodocomentrioChar">
    <w:name w:val="Assunto do comentário Char"/>
    <w:basedOn w:val="TextodecomentrioChar"/>
    <w:link w:val="Assuntodocomentrio"/>
    <w:uiPriority w:val="99"/>
    <w:semiHidden/>
    <w:rsid w:val="00D24C8F"/>
    <w:rPr>
      <w:b/>
      <w:bCs/>
      <w:lang w:val="en-GB" w:eastAsia="hu-HU"/>
    </w:rPr>
  </w:style>
  <w:style w:type="character" w:customStyle="1" w:styleId="Ttulo2Char">
    <w:name w:val="Título 2 Char"/>
    <w:basedOn w:val="Fontepargpadro"/>
    <w:link w:val="Ttulo2"/>
    <w:uiPriority w:val="9"/>
    <w:rsid w:val="001E09A3"/>
    <w:rPr>
      <w:rFonts w:ascii="Arial" w:eastAsiaTheme="majorEastAsia" w:hAnsi="Arial" w:cstheme="majorBidi"/>
      <w:caps/>
      <w:sz w:val="24"/>
      <w:szCs w:val="26"/>
      <w:lang w:val="en-GB" w:eastAsia="hu-HU"/>
    </w:rPr>
  </w:style>
  <w:style w:type="character" w:customStyle="1" w:styleId="Ttulo5Char">
    <w:name w:val="Título 5 Char"/>
    <w:basedOn w:val="Fontepargpadro"/>
    <w:link w:val="Ttulo5"/>
    <w:uiPriority w:val="9"/>
    <w:semiHidden/>
    <w:rsid w:val="00D51CFD"/>
    <w:rPr>
      <w:rFonts w:asciiTheme="majorHAnsi" w:eastAsiaTheme="majorEastAsia" w:hAnsiTheme="majorHAnsi" w:cstheme="majorBidi"/>
      <w:color w:val="2F5496" w:themeColor="accent1" w:themeShade="BF"/>
      <w:lang w:val="en-GB" w:eastAsia="hu-HU"/>
    </w:rPr>
  </w:style>
  <w:style w:type="character" w:customStyle="1" w:styleId="Ttulo6Char">
    <w:name w:val="Título 6 Char"/>
    <w:basedOn w:val="Fontepargpadro"/>
    <w:link w:val="Ttulo6"/>
    <w:uiPriority w:val="9"/>
    <w:semiHidden/>
    <w:rsid w:val="00D51CFD"/>
    <w:rPr>
      <w:rFonts w:asciiTheme="majorHAnsi" w:eastAsiaTheme="majorEastAsia" w:hAnsiTheme="majorHAnsi" w:cstheme="majorBidi"/>
      <w:color w:val="1F3763" w:themeColor="accent1" w:themeShade="7F"/>
      <w:lang w:val="en-GB" w:eastAsia="hu-HU"/>
    </w:rPr>
  </w:style>
  <w:style w:type="character" w:customStyle="1" w:styleId="Ttulo7Char">
    <w:name w:val="Título 7 Char"/>
    <w:basedOn w:val="Fontepargpadro"/>
    <w:link w:val="Ttulo7"/>
    <w:uiPriority w:val="9"/>
    <w:semiHidden/>
    <w:rsid w:val="00D51CFD"/>
    <w:rPr>
      <w:rFonts w:asciiTheme="majorHAnsi" w:eastAsiaTheme="majorEastAsia" w:hAnsiTheme="majorHAnsi" w:cstheme="majorBidi"/>
      <w:i/>
      <w:iCs/>
      <w:color w:val="1F3763" w:themeColor="accent1" w:themeShade="7F"/>
      <w:lang w:val="en-GB" w:eastAsia="hu-HU"/>
    </w:rPr>
  </w:style>
  <w:style w:type="character" w:customStyle="1" w:styleId="Ttulo8Char">
    <w:name w:val="Título 8 Char"/>
    <w:basedOn w:val="Fontepargpadro"/>
    <w:link w:val="Ttulo8"/>
    <w:uiPriority w:val="9"/>
    <w:semiHidden/>
    <w:rsid w:val="00D51CFD"/>
    <w:rPr>
      <w:rFonts w:asciiTheme="majorHAnsi" w:eastAsiaTheme="majorEastAsia" w:hAnsiTheme="majorHAnsi" w:cstheme="majorBidi"/>
      <w:color w:val="272727" w:themeColor="text1" w:themeTint="D8"/>
      <w:sz w:val="21"/>
      <w:szCs w:val="21"/>
      <w:lang w:val="en-GB" w:eastAsia="hu-HU"/>
    </w:rPr>
  </w:style>
  <w:style w:type="character" w:customStyle="1" w:styleId="Ttulo9Char">
    <w:name w:val="Título 9 Char"/>
    <w:basedOn w:val="Fontepargpadro"/>
    <w:link w:val="Ttulo9"/>
    <w:uiPriority w:val="9"/>
    <w:semiHidden/>
    <w:rsid w:val="00D51CFD"/>
    <w:rPr>
      <w:rFonts w:asciiTheme="majorHAnsi" w:eastAsiaTheme="majorEastAsia" w:hAnsiTheme="majorHAnsi" w:cstheme="majorBidi"/>
      <w:i/>
      <w:iCs/>
      <w:color w:val="272727" w:themeColor="text1" w:themeTint="D8"/>
      <w:sz w:val="21"/>
      <w:szCs w:val="21"/>
      <w:lang w:val="en-GB" w:eastAsia="hu-HU"/>
    </w:rPr>
  </w:style>
  <w:style w:type="character" w:styleId="nfase">
    <w:name w:val="Emphasis"/>
    <w:basedOn w:val="Fontepargpadro"/>
    <w:uiPriority w:val="20"/>
    <w:qFormat/>
    <w:rsid w:val="008E576B"/>
    <w:rPr>
      <w:i/>
      <w:iCs/>
    </w:rPr>
  </w:style>
  <w:style w:type="character" w:styleId="Forte">
    <w:name w:val="Strong"/>
    <w:basedOn w:val="Fontepargpadro"/>
    <w:uiPriority w:val="22"/>
    <w:qFormat/>
    <w:rsid w:val="008E576B"/>
    <w:rPr>
      <w:b/>
      <w:bCs/>
    </w:rPr>
  </w:style>
  <w:style w:type="character" w:styleId="RefernciaIntensa">
    <w:name w:val="Intense Reference"/>
    <w:basedOn w:val="Fontepargpadro"/>
    <w:uiPriority w:val="32"/>
    <w:qFormat/>
    <w:rsid w:val="008E576B"/>
    <w:rPr>
      <w:b/>
      <w:bCs/>
      <w:smallCaps/>
      <w:color w:val="4472C4" w:themeColor="accent1"/>
      <w:spacing w:val="5"/>
    </w:rPr>
  </w:style>
  <w:style w:type="character" w:styleId="nfaseIntensa">
    <w:name w:val="Intense Emphasis"/>
    <w:basedOn w:val="Fontepargpadro"/>
    <w:uiPriority w:val="21"/>
    <w:qFormat/>
    <w:rsid w:val="008E576B"/>
    <w:rPr>
      <w:i/>
      <w:iCs/>
      <w:color w:val="4472C4" w:themeColor="accent1"/>
    </w:rPr>
  </w:style>
  <w:style w:type="character" w:styleId="HiperlinkVisitado">
    <w:name w:val="FollowedHyperlink"/>
    <w:basedOn w:val="Fontepargpadro"/>
    <w:uiPriority w:val="99"/>
    <w:semiHidden/>
    <w:unhideWhenUsed/>
    <w:rsid w:val="002469E9"/>
    <w:rPr>
      <w:color w:val="954F72" w:themeColor="followedHyperlink"/>
      <w:u w:val="single"/>
    </w:rPr>
  </w:style>
  <w:style w:type="paragraph" w:styleId="Bibliografia">
    <w:name w:val="Bibliography"/>
    <w:basedOn w:val="Normal"/>
    <w:next w:val="Normal"/>
    <w:uiPriority w:val="37"/>
    <w:unhideWhenUsed/>
    <w:rsid w:val="00186AC1"/>
    <w:pPr>
      <w:spacing w:after="240"/>
    </w:pPr>
  </w:style>
  <w:style w:type="character" w:styleId="Refdenotadefim">
    <w:name w:val="endnote reference"/>
    <w:basedOn w:val="Fontepargpadro"/>
    <w:uiPriority w:val="99"/>
    <w:semiHidden/>
    <w:unhideWhenUsed/>
    <w:rsid w:val="00E21C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6983">
      <w:bodyDiv w:val="1"/>
      <w:marLeft w:val="0"/>
      <w:marRight w:val="0"/>
      <w:marTop w:val="0"/>
      <w:marBottom w:val="0"/>
      <w:divBdr>
        <w:top w:val="none" w:sz="0" w:space="0" w:color="auto"/>
        <w:left w:val="none" w:sz="0" w:space="0" w:color="auto"/>
        <w:bottom w:val="none" w:sz="0" w:space="0" w:color="auto"/>
        <w:right w:val="none" w:sz="0" w:space="0" w:color="auto"/>
      </w:divBdr>
    </w:div>
    <w:div w:id="715356681">
      <w:bodyDiv w:val="1"/>
      <w:marLeft w:val="0"/>
      <w:marRight w:val="0"/>
      <w:marTop w:val="0"/>
      <w:marBottom w:val="0"/>
      <w:divBdr>
        <w:top w:val="none" w:sz="0" w:space="0" w:color="auto"/>
        <w:left w:val="none" w:sz="0" w:space="0" w:color="auto"/>
        <w:bottom w:val="none" w:sz="0" w:space="0" w:color="auto"/>
        <w:right w:val="none" w:sz="0" w:space="0" w:color="auto"/>
      </w:divBdr>
      <w:divsChild>
        <w:div w:id="1326782199">
          <w:marLeft w:val="0"/>
          <w:marRight w:val="0"/>
          <w:marTop w:val="0"/>
          <w:marBottom w:val="0"/>
          <w:divBdr>
            <w:top w:val="none" w:sz="0" w:space="0" w:color="auto"/>
            <w:left w:val="none" w:sz="0" w:space="0" w:color="auto"/>
            <w:bottom w:val="none" w:sz="0" w:space="0" w:color="auto"/>
            <w:right w:val="none" w:sz="0" w:space="0" w:color="auto"/>
          </w:divBdr>
          <w:divsChild>
            <w:div w:id="5668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2447">
      <w:bodyDiv w:val="1"/>
      <w:marLeft w:val="0"/>
      <w:marRight w:val="0"/>
      <w:marTop w:val="0"/>
      <w:marBottom w:val="0"/>
      <w:divBdr>
        <w:top w:val="none" w:sz="0" w:space="0" w:color="auto"/>
        <w:left w:val="none" w:sz="0" w:space="0" w:color="auto"/>
        <w:bottom w:val="none" w:sz="0" w:space="0" w:color="auto"/>
        <w:right w:val="none" w:sz="0" w:space="0" w:color="auto"/>
      </w:divBdr>
    </w:div>
    <w:div w:id="1021710592">
      <w:bodyDiv w:val="1"/>
      <w:marLeft w:val="0"/>
      <w:marRight w:val="0"/>
      <w:marTop w:val="0"/>
      <w:marBottom w:val="0"/>
      <w:divBdr>
        <w:top w:val="none" w:sz="0" w:space="0" w:color="auto"/>
        <w:left w:val="none" w:sz="0" w:space="0" w:color="auto"/>
        <w:bottom w:val="none" w:sz="0" w:space="0" w:color="auto"/>
        <w:right w:val="none" w:sz="0" w:space="0" w:color="auto"/>
      </w:divBdr>
    </w:div>
    <w:div w:id="1047799335">
      <w:bodyDiv w:val="1"/>
      <w:marLeft w:val="0"/>
      <w:marRight w:val="0"/>
      <w:marTop w:val="0"/>
      <w:marBottom w:val="0"/>
      <w:divBdr>
        <w:top w:val="none" w:sz="0" w:space="0" w:color="auto"/>
        <w:left w:val="none" w:sz="0" w:space="0" w:color="auto"/>
        <w:bottom w:val="none" w:sz="0" w:space="0" w:color="auto"/>
        <w:right w:val="none" w:sz="0" w:space="0" w:color="auto"/>
      </w:divBdr>
    </w:div>
    <w:div w:id="1175264186">
      <w:bodyDiv w:val="1"/>
      <w:marLeft w:val="0"/>
      <w:marRight w:val="0"/>
      <w:marTop w:val="0"/>
      <w:marBottom w:val="0"/>
      <w:divBdr>
        <w:top w:val="none" w:sz="0" w:space="0" w:color="auto"/>
        <w:left w:val="none" w:sz="0" w:space="0" w:color="auto"/>
        <w:bottom w:val="none" w:sz="0" w:space="0" w:color="auto"/>
        <w:right w:val="none" w:sz="0" w:space="0" w:color="auto"/>
      </w:divBdr>
    </w:div>
    <w:div w:id="1299073396">
      <w:bodyDiv w:val="1"/>
      <w:marLeft w:val="0"/>
      <w:marRight w:val="0"/>
      <w:marTop w:val="0"/>
      <w:marBottom w:val="0"/>
      <w:divBdr>
        <w:top w:val="none" w:sz="0" w:space="0" w:color="auto"/>
        <w:left w:val="none" w:sz="0" w:space="0" w:color="auto"/>
        <w:bottom w:val="none" w:sz="0" w:space="0" w:color="auto"/>
        <w:right w:val="none" w:sz="0" w:space="0" w:color="auto"/>
      </w:divBdr>
      <w:divsChild>
        <w:div w:id="500464282">
          <w:marLeft w:val="0"/>
          <w:marRight w:val="0"/>
          <w:marTop w:val="0"/>
          <w:marBottom w:val="0"/>
          <w:divBdr>
            <w:top w:val="none" w:sz="0" w:space="0" w:color="auto"/>
            <w:left w:val="none" w:sz="0" w:space="0" w:color="auto"/>
            <w:bottom w:val="none" w:sz="0" w:space="0" w:color="auto"/>
            <w:right w:val="none" w:sz="0" w:space="0" w:color="auto"/>
          </w:divBdr>
          <w:divsChild>
            <w:div w:id="6757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3597">
      <w:bodyDiv w:val="1"/>
      <w:marLeft w:val="0"/>
      <w:marRight w:val="0"/>
      <w:marTop w:val="0"/>
      <w:marBottom w:val="0"/>
      <w:divBdr>
        <w:top w:val="none" w:sz="0" w:space="0" w:color="auto"/>
        <w:left w:val="none" w:sz="0" w:space="0" w:color="auto"/>
        <w:bottom w:val="none" w:sz="0" w:space="0" w:color="auto"/>
        <w:right w:val="none" w:sz="0" w:space="0" w:color="auto"/>
      </w:divBdr>
    </w:div>
    <w:div w:id="1885294407">
      <w:bodyDiv w:val="1"/>
      <w:marLeft w:val="0"/>
      <w:marRight w:val="0"/>
      <w:marTop w:val="0"/>
      <w:marBottom w:val="0"/>
      <w:divBdr>
        <w:top w:val="none" w:sz="0" w:space="0" w:color="auto"/>
        <w:left w:val="none" w:sz="0" w:space="0" w:color="auto"/>
        <w:bottom w:val="none" w:sz="0" w:space="0" w:color="auto"/>
        <w:right w:val="none" w:sz="0" w:space="0" w:color="auto"/>
      </w:divBdr>
    </w:div>
    <w:div w:id="1927884566">
      <w:bodyDiv w:val="1"/>
      <w:marLeft w:val="0"/>
      <w:marRight w:val="0"/>
      <w:marTop w:val="0"/>
      <w:marBottom w:val="0"/>
      <w:divBdr>
        <w:top w:val="none" w:sz="0" w:space="0" w:color="auto"/>
        <w:left w:val="none" w:sz="0" w:space="0" w:color="auto"/>
        <w:bottom w:val="none" w:sz="0" w:space="0" w:color="auto"/>
        <w:right w:val="none" w:sz="0" w:space="0" w:color="auto"/>
      </w:divBdr>
    </w:div>
    <w:div w:id="202705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rejanercosta@yahoo.com.br" TargetMode="External"/><Relationship Id="rId1" Type="http://schemas.openxmlformats.org/officeDocument/2006/relationships/hyperlink" Target="mailto:felix.antonio@ipa.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55BB3-6B84-4486-B521-DC6935DF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1937</Words>
  <Characters>50397</Characters>
  <Application>Microsoft Office Word</Application>
  <DocSecurity>0</DocSecurity>
  <Lines>419</Lines>
  <Paragraphs>104</Paragraphs>
  <ScaleCrop>false</ScaleCrop>
  <HeadingPairs>
    <vt:vector size="6" baseType="variant">
      <vt:variant>
        <vt:lpstr>Título</vt:lpstr>
      </vt:variant>
      <vt:variant>
        <vt:i4>1</vt:i4>
      </vt:variant>
      <vt:variant>
        <vt:lpstr>Titre</vt:lpstr>
      </vt:variant>
      <vt:variant>
        <vt:i4>1</vt:i4>
      </vt:variant>
      <vt:variant>
        <vt:lpstr>Titel</vt:lpstr>
      </vt:variant>
      <vt:variant>
        <vt:i4>1</vt:i4>
      </vt:variant>
    </vt:vector>
  </HeadingPairs>
  <TitlesOfParts>
    <vt:vector size="3" baseType="lpstr">
      <vt:lpstr>Abstract template for the IDS 2006</vt:lpstr>
      <vt:lpstr>Abstract template for the IDS 2006</vt:lpstr>
      <vt:lpstr>Abstract template for the IDS 2006</vt:lpstr>
    </vt:vector>
  </TitlesOfParts>
  <Company>SZIE FFT</Company>
  <LinksUpToDate>false</LinksUpToDate>
  <CharactersWithSpaces>52230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the IDS 2006</dc:title>
  <dc:subject/>
  <dc:creator>dr. Seres István</dc:creator>
  <cp:keywords/>
  <cp:lastModifiedBy>Gabriel aubry</cp:lastModifiedBy>
  <cp:revision>2</cp:revision>
  <cp:lastPrinted>2006-01-16T18:53:00Z</cp:lastPrinted>
  <dcterms:created xsi:type="dcterms:W3CDTF">2025-08-27T11:12:00Z</dcterms:created>
  <dcterms:modified xsi:type="dcterms:W3CDTF">2025-08-27T11:12:00Z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id="chdsADPA"/&gt;&lt;style id="http://www.zotero.org/styles/associacao-brasileira-de-normas-tecnicas" hasBibliography="1" bibliographyStyleHasBeenSet="1"/&gt;&lt;prefs&gt;&lt;pref name="fieldType" value="Field"/&gt;&lt;/pr</vt:lpwstr>
  </property>
  <property fmtid="{D5CDD505-2E9C-101B-9397-08002B2CF9AE}" pid="3" name="ZOTERO_PREF_2">
    <vt:lpwstr>efs&gt;&lt;/data&gt;</vt:lpwstr>
  </property>
</Properties>
</file>