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CF0F" w14:textId="77777777" w:rsidR="00790B42" w:rsidRDefault="00790B42" w:rsidP="00EB0BB6">
      <w:pPr>
        <w:pStyle w:val="Ttulo"/>
        <w:rPr>
          <w:bCs/>
        </w:rPr>
      </w:pPr>
    </w:p>
    <w:p w14:paraId="58D56D49" w14:textId="6517086B" w:rsidR="00666873" w:rsidRPr="00790B42" w:rsidRDefault="00790B42" w:rsidP="00EB0BB6">
      <w:pPr>
        <w:pStyle w:val="Ttulo"/>
      </w:pPr>
      <w:r w:rsidRPr="00790B42">
        <w:rPr>
          <w:bCs/>
        </w:rPr>
        <w:t>ACÚMULO DE BIOMASSA EM CULTIVARES DE SORGO SOB DUAS DENSIDADES DE PLANTIO NO SERTÃO DE ALAGOAS</w:t>
      </w:r>
    </w:p>
    <w:p w14:paraId="4A10177E" w14:textId="3698BA9D" w:rsidR="00946990" w:rsidRPr="00666873" w:rsidRDefault="00123DB9" w:rsidP="001E79E0">
      <w:pPr>
        <w:jc w:val="right"/>
        <w:rPr>
          <w:bCs/>
          <w:lang w:val="pt-BR"/>
        </w:rPr>
      </w:pPr>
      <w:r>
        <w:rPr>
          <w:bCs/>
          <w:lang w:val="pt-BR"/>
        </w:rPr>
        <w:t>Antonio Jose Silva Neto</w:t>
      </w:r>
      <w:r w:rsidR="001E79E0" w:rsidRPr="00666873">
        <w:rPr>
          <w:rStyle w:val="Refdenotaderodap"/>
          <w:bCs/>
          <w:lang w:val="pt-BR"/>
        </w:rPr>
        <w:footnoteReference w:id="1"/>
      </w:r>
    </w:p>
    <w:p w14:paraId="02D50827" w14:textId="1C3BE2FE" w:rsidR="001E79E0" w:rsidRPr="00666873" w:rsidRDefault="00123DB9" w:rsidP="001E79E0">
      <w:pPr>
        <w:jc w:val="right"/>
        <w:rPr>
          <w:bCs/>
          <w:lang w:val="pt-BR"/>
        </w:rPr>
      </w:pPr>
      <w:r>
        <w:rPr>
          <w:bCs/>
          <w:lang w:val="pt-BR"/>
        </w:rPr>
        <w:t>Maria Amanda</w:t>
      </w:r>
      <w:r w:rsidRPr="00123DB9">
        <w:t xml:space="preserve"> </w:t>
      </w:r>
      <w:r w:rsidRPr="00123DB9">
        <w:rPr>
          <w:bCs/>
          <w:lang w:val="pt-BR"/>
        </w:rPr>
        <w:t>Barbosa Gonçalves</w:t>
      </w:r>
      <w:r w:rsidR="001E79E0" w:rsidRPr="00666873">
        <w:rPr>
          <w:rStyle w:val="Refdenotaderodap"/>
          <w:bCs/>
          <w:lang w:val="pt-BR"/>
        </w:rPr>
        <w:footnoteReference w:id="2"/>
      </w:r>
    </w:p>
    <w:p w14:paraId="6BFB6E24" w14:textId="407FE877" w:rsidR="001E79E0" w:rsidRPr="00666873" w:rsidRDefault="00123DB9" w:rsidP="001E79E0">
      <w:pPr>
        <w:jc w:val="right"/>
        <w:rPr>
          <w:bCs/>
          <w:lang w:val="pt-BR"/>
        </w:rPr>
      </w:pPr>
      <w:r>
        <w:rPr>
          <w:bCs/>
          <w:lang w:val="pt-BR"/>
        </w:rPr>
        <w:t>N</w:t>
      </w:r>
      <w:r w:rsidRPr="00123DB9">
        <w:rPr>
          <w:bCs/>
          <w:lang w:val="pt-BR"/>
        </w:rPr>
        <w:t>icolas Bruno Duque Oliveira</w:t>
      </w:r>
      <w:r w:rsidR="001E79E0" w:rsidRPr="00666873">
        <w:rPr>
          <w:rStyle w:val="Refdenotaderodap"/>
          <w:bCs/>
          <w:lang w:val="pt-BR"/>
        </w:rPr>
        <w:footnoteReference w:id="3"/>
      </w:r>
    </w:p>
    <w:p w14:paraId="27BD4ED8" w14:textId="0605EDEF" w:rsidR="001E79E0" w:rsidRPr="00666873" w:rsidRDefault="00B325CB" w:rsidP="001E79E0">
      <w:pPr>
        <w:jc w:val="right"/>
        <w:rPr>
          <w:bCs/>
          <w:lang w:val="pt-BR"/>
        </w:rPr>
      </w:pPr>
      <w:r>
        <w:rPr>
          <w:bCs/>
          <w:lang w:val="pt-BR"/>
        </w:rPr>
        <w:t>José</w:t>
      </w:r>
      <w:r w:rsidRPr="00B325CB">
        <w:t xml:space="preserve"> </w:t>
      </w:r>
      <w:r w:rsidRPr="00B325CB">
        <w:rPr>
          <w:bCs/>
          <w:lang w:val="pt-BR"/>
        </w:rPr>
        <w:t>Augusto Araújo Rodrigues Silvas</w:t>
      </w:r>
      <w:r w:rsidR="001E79E0" w:rsidRPr="00666873">
        <w:rPr>
          <w:rStyle w:val="Refdenotaderodap"/>
          <w:bCs/>
          <w:lang w:val="pt-BR"/>
        </w:rPr>
        <w:footnoteReference w:id="4"/>
      </w:r>
    </w:p>
    <w:p w14:paraId="62C94B82" w14:textId="77777777" w:rsidR="001E79E0" w:rsidRPr="00666873" w:rsidRDefault="001E79E0" w:rsidP="00BE4D31">
      <w:pPr>
        <w:spacing w:before="120" w:after="120"/>
        <w:rPr>
          <w:b/>
          <w:lang w:val="pt-BR"/>
        </w:rPr>
        <w:sectPr w:rsidR="001E79E0" w:rsidRPr="00666873" w:rsidSect="00666873">
          <w:headerReference w:type="default" r:id="rId8"/>
          <w:footerReference w:type="default" r:id="rId9"/>
          <w:type w:val="continuous"/>
          <w:pgSz w:w="11906" w:h="16838"/>
          <w:pgMar w:top="1701" w:right="1418" w:bottom="1418" w:left="1418" w:header="567" w:footer="709" w:gutter="0"/>
          <w:cols w:space="720"/>
          <w:docGrid w:linePitch="272"/>
        </w:sectPr>
      </w:pPr>
    </w:p>
    <w:p w14:paraId="572F45CE" w14:textId="2C858EFD" w:rsidR="00F52312" w:rsidRDefault="00B325CB" w:rsidP="00F52312">
      <w:pPr>
        <w:jc w:val="right"/>
        <w:rPr>
          <w:bCs/>
          <w:lang w:val="pt-BR"/>
        </w:rPr>
      </w:pPr>
      <w:r>
        <w:rPr>
          <w:bCs/>
          <w:lang w:val="pt-BR"/>
        </w:rPr>
        <w:t>C</w:t>
      </w:r>
      <w:r w:rsidRPr="00B325CB">
        <w:rPr>
          <w:bCs/>
          <w:lang w:val="pt-BR"/>
        </w:rPr>
        <w:t>arlos Henrique Barbosa Varjão</w:t>
      </w:r>
      <w:r w:rsidR="00F52312" w:rsidRPr="00666873">
        <w:rPr>
          <w:rStyle w:val="Refdenotaderodap"/>
          <w:bCs/>
          <w:lang w:val="pt-BR"/>
        </w:rPr>
        <w:footnoteReference w:id="5"/>
      </w:r>
    </w:p>
    <w:p w14:paraId="077CA71A" w14:textId="47A6BC61" w:rsidR="007C7D9E" w:rsidRDefault="007C7D9E" w:rsidP="007C7D9E">
      <w:pPr>
        <w:jc w:val="right"/>
        <w:rPr>
          <w:bCs/>
          <w:lang w:val="pt-BR"/>
        </w:rPr>
      </w:pPr>
      <w:r>
        <w:rPr>
          <w:bCs/>
          <w:lang w:val="pt-BR"/>
        </w:rPr>
        <w:t>Winandy Araújo Freire</w:t>
      </w:r>
      <w:r w:rsidRPr="003B07ED">
        <w:rPr>
          <w:rStyle w:val="Refdenotaderodap"/>
          <w:bCs/>
          <w:lang w:val="pt-BR"/>
        </w:rPr>
        <w:footnoteReference w:id="6"/>
      </w:r>
    </w:p>
    <w:p w14:paraId="238162E8" w14:textId="77777777" w:rsidR="007C7D9E" w:rsidRPr="003B07ED" w:rsidRDefault="007C7D9E" w:rsidP="007C7D9E">
      <w:pPr>
        <w:jc w:val="right"/>
        <w:rPr>
          <w:bCs/>
          <w:lang w:val="pt-BR"/>
        </w:rPr>
      </w:pPr>
      <w:r>
        <w:rPr>
          <w:bCs/>
          <w:lang w:val="pt-BR"/>
        </w:rPr>
        <w:t>Ellen Abreu da Cruz</w:t>
      </w:r>
      <w:r w:rsidRPr="003B07ED">
        <w:rPr>
          <w:rStyle w:val="Refdenotaderodap"/>
          <w:bCs/>
          <w:lang w:val="pt-BR"/>
        </w:rPr>
        <w:footnoteReference w:id="7"/>
      </w:r>
    </w:p>
    <w:p w14:paraId="35BC16B4" w14:textId="77777777" w:rsidR="007C7D9E" w:rsidRPr="003B07ED" w:rsidRDefault="007C7D9E" w:rsidP="007C7D9E">
      <w:pPr>
        <w:spacing w:before="120" w:after="120"/>
        <w:rPr>
          <w:b/>
          <w:lang w:val="pt-BR"/>
        </w:rPr>
        <w:sectPr w:rsidR="007C7D9E" w:rsidRPr="003B07ED" w:rsidSect="00556C09">
          <w:headerReference w:type="default" r:id="rId10"/>
          <w:footerReference w:type="default" r:id="rId11"/>
          <w:type w:val="continuous"/>
          <w:pgSz w:w="11906" w:h="16838"/>
          <w:pgMar w:top="1701" w:right="1418" w:bottom="1418" w:left="1418" w:header="567" w:footer="709" w:gutter="0"/>
          <w:cols w:space="720"/>
          <w:docGrid w:linePitch="272"/>
        </w:sectPr>
      </w:pPr>
    </w:p>
    <w:p w14:paraId="0BBFC89E" w14:textId="77777777" w:rsidR="007C7D9E" w:rsidRPr="003B07ED" w:rsidRDefault="007C7D9E" w:rsidP="007C7D9E">
      <w:pPr>
        <w:jc w:val="right"/>
        <w:rPr>
          <w:bCs/>
          <w:lang w:val="pt-BR"/>
        </w:rPr>
      </w:pPr>
      <w:r>
        <w:rPr>
          <w:bCs/>
          <w:lang w:val="pt-BR"/>
        </w:rPr>
        <w:t>Ênio Gomes Flôr Souza</w:t>
      </w:r>
      <w:r w:rsidRPr="003B07ED">
        <w:rPr>
          <w:rStyle w:val="Refdenotaderodap"/>
          <w:bCs/>
          <w:lang w:val="pt-BR"/>
        </w:rPr>
        <w:footnoteReference w:id="8"/>
      </w:r>
    </w:p>
    <w:p w14:paraId="62C94B83" w14:textId="7DAD294E" w:rsidR="00143910" w:rsidRPr="00D51CFD" w:rsidRDefault="00F76A8B" w:rsidP="00A06848">
      <w:pPr>
        <w:pStyle w:val="Ttulo1"/>
      </w:pPr>
      <w:r w:rsidRPr="00D51CFD">
        <w:t>INTRODUÇÃO</w:t>
      </w:r>
    </w:p>
    <w:p w14:paraId="3ED08935" w14:textId="662666F8" w:rsidR="00790B42" w:rsidRPr="00B325CB" w:rsidRDefault="00790B42" w:rsidP="003700BE">
      <w:pPr>
        <w:pStyle w:val="texto"/>
      </w:pPr>
      <w:r w:rsidRPr="00B325CB">
        <w:t xml:space="preserve">A cultura do sorgo, </w:t>
      </w:r>
      <w:r w:rsidRPr="00B325CB">
        <w:rPr>
          <w:i/>
        </w:rPr>
        <w:t xml:space="preserve">Sorghum bicolor </w:t>
      </w:r>
      <w:r w:rsidRPr="00B325CB">
        <w:t>(L.) Moench, é de importância ímpar para a região Semiárida do Brasil, partindo do ponto de que grande parte dos produtores/pecuaristas não tem acesso à água de irrigação e, assim, cultivam forragens apenas em sequeiro (período das águas). O sorgo completa seu ciclo com menos água quando comparado a outras forrageiras, apresentando ótimo desempenho agronômico</w:t>
      </w:r>
      <w:r w:rsidR="00255B6C" w:rsidRPr="00B325CB">
        <w:t xml:space="preserve"> </w:t>
      </w:r>
      <w:r w:rsidR="00EE7ACF" w:rsidRPr="00B325CB">
        <w:t>(</w:t>
      </w:r>
      <w:bookmarkStart w:id="0" w:name="_Hlk206247979"/>
      <w:r w:rsidR="00A06848" w:rsidRPr="00B325CB">
        <w:t xml:space="preserve">ALBUQUERQUE </w:t>
      </w:r>
      <w:r w:rsidR="00EE7ACF" w:rsidRPr="00B325CB">
        <w:rPr>
          <w:i/>
        </w:rPr>
        <w:t>et al</w:t>
      </w:r>
      <w:r w:rsidR="00EE7ACF" w:rsidRPr="00B325CB">
        <w:t xml:space="preserve">., 2011; </w:t>
      </w:r>
      <w:r w:rsidR="00A06848" w:rsidRPr="00B325CB">
        <w:t xml:space="preserve">ELIAS </w:t>
      </w:r>
      <w:r w:rsidR="00EE7ACF" w:rsidRPr="00B325CB">
        <w:rPr>
          <w:i/>
        </w:rPr>
        <w:t>et. al</w:t>
      </w:r>
      <w:r w:rsidR="00EE7ACF" w:rsidRPr="00B325CB">
        <w:t>., 2016</w:t>
      </w:r>
      <w:bookmarkEnd w:id="0"/>
      <w:r w:rsidR="00EE7ACF" w:rsidRPr="00B325CB">
        <w:t>).</w:t>
      </w:r>
      <w:r w:rsidR="003700BE">
        <w:t xml:space="preserve"> </w:t>
      </w:r>
      <w:r w:rsidRPr="00B325CB">
        <w:t xml:space="preserve">Essa cultura apresenta quatro tipos, sendo eles: vassoura, sacarino, forrageiro e granífero. Cada um apresenta características particulares, apesar de que podem proporcionar dupla aptidão, como é o caso de cultivares sacarinas/forrageiras, que oferecem características ótimas para produção de etanol e alimentação animal. </w:t>
      </w:r>
      <w:r w:rsidR="00147716" w:rsidRPr="00B325CB">
        <w:t>(</w:t>
      </w:r>
      <w:bookmarkStart w:id="1" w:name="_Hlk206247986"/>
      <w:r w:rsidR="00A06848" w:rsidRPr="00B325CB">
        <w:t>ARAÚJO; SILVA</w:t>
      </w:r>
      <w:r w:rsidR="00147716" w:rsidRPr="00B325CB">
        <w:t xml:space="preserve">, 2019; </w:t>
      </w:r>
      <w:r w:rsidR="00A06848" w:rsidRPr="00B325CB">
        <w:t xml:space="preserve">CHIELLE </w:t>
      </w:r>
      <w:r w:rsidR="00147716" w:rsidRPr="00B325CB">
        <w:rPr>
          <w:i/>
        </w:rPr>
        <w:t>et al</w:t>
      </w:r>
      <w:r w:rsidR="00147716" w:rsidRPr="00B325CB">
        <w:t>., 2013</w:t>
      </w:r>
      <w:bookmarkEnd w:id="1"/>
      <w:r w:rsidR="00147716" w:rsidRPr="00B325CB">
        <w:t>)</w:t>
      </w:r>
      <w:r w:rsidR="00A06848">
        <w:t>.</w:t>
      </w:r>
    </w:p>
    <w:p w14:paraId="612C8D2B" w14:textId="655F398E" w:rsidR="00790B42" w:rsidRPr="00B325CB" w:rsidRDefault="00790B42" w:rsidP="00A06848">
      <w:pPr>
        <w:pStyle w:val="texto"/>
      </w:pPr>
      <w:r w:rsidRPr="00B325CB">
        <w:t>O sorgo granífero é um dos tipos mais utilizados em todo o Brasil. Dispor de grãos de sorgo na alimentação animal possibilita uma menor despesa na produção nas formulações de rações para animais, principalmente aves e suínos, por ser possível substituir o milho. Além disso, há a dispensa da moagem no uso do sorgo granífero, outro ponto favorável. O sorgo forrageiro é bastante explorado, principalmente na região Nordeste. O sorgo forrageiro, assim como o sorgo sacarino, também pode ser utilizado como forragem verde ou silagem para alimentar ruminantes, como bovinos, ovinos e caprinos. Dessa forma, o estudo das cultivares de sorgo tem aumentado nos últimos anos devido à busca por fatores como adaptabilidade, precocidade e elevados índices de produtividade de massas fresca e seca</w:t>
      </w:r>
      <w:r w:rsidR="00214C55" w:rsidRPr="00B325CB">
        <w:t xml:space="preserve"> </w:t>
      </w:r>
      <w:bookmarkStart w:id="2" w:name="_Hlk206248005"/>
      <w:r w:rsidR="00214C55" w:rsidRPr="00B325CB">
        <w:t>(</w:t>
      </w:r>
      <w:r w:rsidR="00A06848" w:rsidRPr="00B325CB">
        <w:t xml:space="preserve">SILVA </w:t>
      </w:r>
      <w:r w:rsidR="00214C55" w:rsidRPr="00B325CB">
        <w:rPr>
          <w:i/>
        </w:rPr>
        <w:t>et al</w:t>
      </w:r>
      <w:r w:rsidR="000B1783" w:rsidRPr="00B325CB">
        <w:t>., 2021)</w:t>
      </w:r>
      <w:bookmarkEnd w:id="2"/>
      <w:r w:rsidR="00A06848">
        <w:t>.</w:t>
      </w:r>
    </w:p>
    <w:p w14:paraId="05309F70" w14:textId="7775C174" w:rsidR="00790B42" w:rsidRPr="00B325CB" w:rsidRDefault="00790B42" w:rsidP="00A06848">
      <w:pPr>
        <w:pStyle w:val="texto"/>
      </w:pPr>
      <w:r w:rsidRPr="00B325CB">
        <w:t xml:space="preserve">Com o avanço da agricultura, milhões de hectares foram e estão sendo desmatados, e uma das formas de controlar esse avanço invasivo na natureza é adensar as culturas com o objetivo de aumentar ainda mais a produção por área. A </w:t>
      </w:r>
      <w:r w:rsidRPr="00B325CB">
        <w:lastRenderedPageBreak/>
        <w:t xml:space="preserve">redução dos espaçamentos entre plantas possibilita maiores densidades de cultivo, com consequentes aumentos de produtividade, porém pode trazer maiores exigências, sendo elas de recursos de solo, nutrientes, água e/ou luz </w:t>
      </w:r>
      <w:r w:rsidR="00126BC5" w:rsidRPr="00B325CB">
        <w:t>(</w:t>
      </w:r>
      <w:bookmarkStart w:id="3" w:name="_Hlk206248016"/>
      <w:r w:rsidR="00A06848" w:rsidRPr="00B325CB">
        <w:t xml:space="preserve">PEREIRA FILHO </w:t>
      </w:r>
      <w:r w:rsidR="00126BC5" w:rsidRPr="00B325CB">
        <w:rPr>
          <w:i/>
        </w:rPr>
        <w:t>et al</w:t>
      </w:r>
      <w:r w:rsidR="00150876">
        <w:t>., 2013</w:t>
      </w:r>
      <w:bookmarkEnd w:id="3"/>
      <w:r w:rsidR="00126BC5" w:rsidRPr="00B325CB">
        <w:t>).</w:t>
      </w:r>
    </w:p>
    <w:p w14:paraId="356145FC" w14:textId="65283E08" w:rsidR="00790B42" w:rsidRPr="00B325CB" w:rsidRDefault="00790B42" w:rsidP="00A06848">
      <w:pPr>
        <w:pStyle w:val="texto"/>
      </w:pPr>
      <w:r w:rsidRPr="00B325CB">
        <w:t xml:space="preserve">O estudo das densidades aplicado à cultura do sorgo é totalmente viável, pois sua arquitetura contribui na redução dos espaçamentos, diferentemente de outras forrageiras, que necessitam de um espaço mais amplo para seu completo desenvolvimento, como é o caso do milho para grão. No sorgo, mesmo tendo cultivares graníferas dentre seus tipos, ainda será possível adensar e obter altas populações </w:t>
      </w:r>
      <w:r w:rsidR="00D715EA" w:rsidRPr="00B325CB">
        <w:t>(</w:t>
      </w:r>
      <w:r w:rsidR="00A06848" w:rsidRPr="00B325CB">
        <w:t xml:space="preserve">AVELINO </w:t>
      </w:r>
      <w:r w:rsidR="00A06848" w:rsidRPr="00B325CB">
        <w:rPr>
          <w:i/>
        </w:rPr>
        <w:t>et al</w:t>
      </w:r>
      <w:r w:rsidR="00A06848" w:rsidRPr="00B325CB">
        <w:t xml:space="preserve">., 2011; COELHO </w:t>
      </w:r>
      <w:r w:rsidR="00A06848" w:rsidRPr="00B325CB">
        <w:rPr>
          <w:i/>
        </w:rPr>
        <w:t>et al</w:t>
      </w:r>
      <w:r w:rsidR="00A06848" w:rsidRPr="00B325CB">
        <w:t>., 2002</w:t>
      </w:r>
      <w:r w:rsidR="00D715EA" w:rsidRPr="00B325CB">
        <w:t>).</w:t>
      </w:r>
    </w:p>
    <w:p w14:paraId="6FC69429" w14:textId="1A6FC022" w:rsidR="00790B42" w:rsidRPr="00B325CB" w:rsidRDefault="00790B42" w:rsidP="00A06848">
      <w:pPr>
        <w:pStyle w:val="texto"/>
      </w:pPr>
      <w:r w:rsidRPr="00B325CB">
        <w:t>Se faz notória a importância de se realizar trabalhos como este, em regiões do oeste alagoano, mais precisamente na região do Alto Sertão, pois, até o momento, pouca tecnologia é empregada nos cultivos, resultando em baixas produções e consequentemente na falta de suporte de forragem ao produtor durante todo o ano e, ainda, nos possíveis anos de seca prolongada. Além disso, grande parte dos produtores da região Semiárida possuem áreas pequenas, necessitando produzir na época chuvosa para armazenar e alimentar os animais durante os meses de seca, que podem se prolongar a depender do ano. O cultivo do sorgo agregado às técnicas agronômicas corretas e demanda hídrica atendida, garantirá ao agricultor forragem de qualidade para seus animais</w:t>
      </w:r>
      <w:r w:rsidR="00D715EA" w:rsidRPr="00B325CB">
        <w:t xml:space="preserve"> (</w:t>
      </w:r>
      <w:bookmarkStart w:id="4" w:name="_Hlk206248026"/>
      <w:r w:rsidR="00A06848" w:rsidRPr="00B325CB">
        <w:t>CUNHA</w:t>
      </w:r>
      <w:r w:rsidR="00D715EA" w:rsidRPr="00B325CB">
        <w:t>, 2012</w:t>
      </w:r>
      <w:bookmarkEnd w:id="4"/>
      <w:r w:rsidR="00D715EA" w:rsidRPr="00B325CB">
        <w:t>)</w:t>
      </w:r>
      <w:r w:rsidR="00A06848">
        <w:t>.</w:t>
      </w:r>
    </w:p>
    <w:p w14:paraId="1F9C408E" w14:textId="302ECAE7" w:rsidR="00790B42" w:rsidRPr="00B325CB" w:rsidRDefault="00790B42" w:rsidP="00A06848">
      <w:pPr>
        <w:pStyle w:val="texto"/>
      </w:pPr>
      <w:r w:rsidRPr="00B325CB">
        <w:t>Desta forma, objetivou-se com esse trabalho avaliar o acúmulo de biomassa de cultivares de sorgo produzidas em duas densidades de plantio no Sertão de Alagoas.</w:t>
      </w:r>
    </w:p>
    <w:p w14:paraId="2976F601" w14:textId="7A33E8BE" w:rsidR="00EB0BB6" w:rsidRPr="00EB0BB6" w:rsidRDefault="00FE0E22" w:rsidP="00A06848">
      <w:pPr>
        <w:pStyle w:val="Ttulo1"/>
      </w:pPr>
      <w:r w:rsidRPr="00666873">
        <w:t>METODOLOGIA</w:t>
      </w:r>
    </w:p>
    <w:p w14:paraId="3E7EE1FB" w14:textId="49064C7D" w:rsidR="00790B42" w:rsidRDefault="00790B42" w:rsidP="00A06848">
      <w:pPr>
        <w:pStyle w:val="texto"/>
      </w:pPr>
      <w:r>
        <w:t>O experimento foi conduzido em campo, no período de junho a setembro de 2019 (período chuvoso), na área experimental do Instituto Federal de Alagoas (IFAL), localizado no município de Piranhas, Alto Sertão do Estado de Alagoas, Semiárido brasileiro (9º 37’22,42” Sul, 37º46’1,51” Oeste; 178 m de altitude). De acordo com a classificação de Köppen, o clima de Piranhas é BSh, tropical, semiárido, com estação chuvosa entre abril e julho</w:t>
      </w:r>
      <w:r w:rsidR="003700BE">
        <w:t xml:space="preserve">. </w:t>
      </w:r>
      <w:r>
        <w:t>Ao longo do experimento, os dados meteorológicos médios de temperatura do ar foram de 24,2 ºC, a umidade relativa do ar foi de 77,6 % e a precipitação pluviométrica acumulada foi de 216,6 mm.</w:t>
      </w:r>
    </w:p>
    <w:p w14:paraId="21744355" w14:textId="1C80E01D" w:rsidR="00790B42" w:rsidRDefault="00790B42" w:rsidP="00A06848">
      <w:pPr>
        <w:pStyle w:val="texto"/>
      </w:pPr>
      <w:r>
        <w:t>O delineamento experimental utilizado foi em blocos ao acaso, em esquema fatorial 4 x 2, com quatro repetições. Os tratamentos consistiram em quatro cultivares de sorgo, três forrageiras (BRS Ponta Negra, IPA 467 e Chopper) e uma granífera (IPA 1011), com duas densidades de plantio: 187,5 mil plantas ha</w:t>
      </w:r>
      <w:r w:rsidRPr="00790B42">
        <w:rPr>
          <w:vertAlign w:val="superscript"/>
        </w:rPr>
        <w:t>-1</w:t>
      </w:r>
      <w:r>
        <w:t xml:space="preserve"> e 250 mil plantas ha</w:t>
      </w:r>
      <w:r w:rsidRPr="00790B42">
        <w:rPr>
          <w:vertAlign w:val="superscript"/>
        </w:rPr>
        <w:t>-1</w:t>
      </w:r>
      <w:r>
        <w:t>. Cada parcela foi constituída por quatro linhas de quatro metros de comprimento e com 0,80 m de espaçamento entre si (12,80 m</w:t>
      </w:r>
      <w:r w:rsidRPr="00790B42">
        <w:rPr>
          <w:vertAlign w:val="superscript"/>
        </w:rPr>
        <w:t>2</w:t>
      </w:r>
      <w:r>
        <w:t>). As duas linhas centrais, descartando-se 0,20 m de cada extremidade, foram consideradas como área útil da parcela (5,76 m</w:t>
      </w:r>
      <w:r w:rsidRPr="00790B42">
        <w:rPr>
          <w:vertAlign w:val="superscript"/>
        </w:rPr>
        <w:t>2</w:t>
      </w:r>
      <w:r>
        <w:t>).</w:t>
      </w:r>
    </w:p>
    <w:p w14:paraId="7E3D0CAF" w14:textId="4E2F8724" w:rsidR="00790B42" w:rsidRDefault="00790B42" w:rsidP="00A06848">
      <w:pPr>
        <w:pStyle w:val="texto"/>
      </w:pPr>
      <w:r>
        <w:t xml:space="preserve">Para o preparo do solo, foram realizadas duas gradagens cruzadas a uma profundidade média de 0,20 m. Em seguida, as parcelas experimentais foram demarcadas e sulcos foram abertos para a semeadura manual do sorgo, no dia 11 de junho de 2019, colocando de seis a oito sementes por cova. Aos 15 dias após o plantio (DAP), foi realizado o desbaste de acordo com as diferentes densidades de plantio: </w:t>
      </w:r>
      <w:r>
        <w:lastRenderedPageBreak/>
        <w:t>187,5 mil plantas ha</w:t>
      </w:r>
      <w:r w:rsidRPr="00790B42">
        <w:rPr>
          <w:vertAlign w:val="superscript"/>
        </w:rPr>
        <w:t>-1</w:t>
      </w:r>
      <w:r>
        <w:t xml:space="preserve"> (três plantas por cova a cada 0,20 m) e 250 mil plantas ha</w:t>
      </w:r>
      <w:r w:rsidRPr="00790B42">
        <w:rPr>
          <w:vertAlign w:val="superscript"/>
        </w:rPr>
        <w:t>-1</w:t>
      </w:r>
      <w:r>
        <w:t xml:space="preserve"> (duas plantas por cova a cada 0,10 m).</w:t>
      </w:r>
    </w:p>
    <w:p w14:paraId="6EA2255A" w14:textId="5BA4510D" w:rsidR="00790B42" w:rsidRDefault="00790B42" w:rsidP="00A06848">
      <w:pPr>
        <w:pStyle w:val="texto"/>
      </w:pPr>
      <w:r>
        <w:t>O solo da área experimental apresentou 812 g kg</w:t>
      </w:r>
      <w:r w:rsidRPr="00790B42">
        <w:rPr>
          <w:vertAlign w:val="superscript"/>
        </w:rPr>
        <w:t>-1</w:t>
      </w:r>
      <w:r>
        <w:t xml:space="preserve"> de areia, 3 g kg</w:t>
      </w:r>
      <w:r w:rsidRPr="00790B42">
        <w:rPr>
          <w:vertAlign w:val="superscript"/>
        </w:rPr>
        <w:t>-1</w:t>
      </w:r>
      <w:r>
        <w:t xml:space="preserve"> de silte e 185 g kg</w:t>
      </w:r>
      <w:r w:rsidRPr="00790B42">
        <w:rPr>
          <w:vertAlign w:val="superscript"/>
        </w:rPr>
        <w:t>-1</w:t>
      </w:r>
      <w:r>
        <w:t xml:space="preserve"> de argila. A adubação foi realizada conforme adaptação das recomendações de </w:t>
      </w:r>
      <w:bookmarkStart w:id="5" w:name="_Hlk206248042"/>
      <w:r>
        <w:t>Tabosa, Tavares Filho e Brito (2008</w:t>
      </w:r>
      <w:bookmarkEnd w:id="5"/>
      <w:r>
        <w:t>), a partir dos resultados de análise de solo realizada antes do plantio. A primeira adubação de cobertura aconteceu aos 20 DAP, na dosagem de 30 kg ha</w:t>
      </w:r>
      <w:r w:rsidRPr="00790B42">
        <w:rPr>
          <w:vertAlign w:val="superscript"/>
        </w:rPr>
        <w:t>-1</w:t>
      </w:r>
      <w:r>
        <w:t xml:space="preserve"> de nitrogênio (N) e a segunda aos 40 DAP, na dosagem de 60 kg ha</w:t>
      </w:r>
      <w:r w:rsidRPr="00790B42">
        <w:rPr>
          <w:vertAlign w:val="superscript"/>
        </w:rPr>
        <w:t>-1</w:t>
      </w:r>
      <w:r>
        <w:t xml:space="preserve"> de N, na forma de ureia. A relação Ca/Mg estava adequada e não foi necessária adubação com fósforo e potássio. Durante a condução do experimento, o controle de plantas daninhas foi realizado por meio de duas capinas manuais, aos 15 e 45 DAP. Não foi verificada a ocorrência de pragas e doenças.</w:t>
      </w:r>
    </w:p>
    <w:p w14:paraId="5D7FD372" w14:textId="0BA4E914" w:rsidR="00790B42" w:rsidRDefault="00790B42" w:rsidP="00A06848">
      <w:pPr>
        <w:pStyle w:val="texto"/>
      </w:pPr>
      <w:r>
        <w:t>No dia 9 de setembro de 2019 (90 DAP), em que o sorgo se apresentava no estádio de grãos pastosos/farináceos (E8), foram avaliadas as seguintes características: produtividades de massas fresca e seca (t ha</w:t>
      </w:r>
      <w:r w:rsidRPr="00790B42">
        <w:rPr>
          <w:vertAlign w:val="superscript"/>
        </w:rPr>
        <w:t>-1</w:t>
      </w:r>
      <w:r>
        <w:t>), estimadas a partir da multiplicação das médias de massas fresca e seca por planta pela densidade final de plantas na parcela; a porcentagem de massa seca (%), razão entre a massa seca total e a massa fresca total, multiplicado por 100.</w:t>
      </w:r>
    </w:p>
    <w:p w14:paraId="299CDD97" w14:textId="31DCCF53" w:rsidR="00AF6C36" w:rsidRPr="008E576B" w:rsidRDefault="00790B42" w:rsidP="00A06848">
      <w:pPr>
        <w:pStyle w:val="texto"/>
        <w:rPr>
          <w:rStyle w:val="Forte"/>
          <w:b w:val="0"/>
          <w:bCs w:val="0"/>
        </w:rPr>
      </w:pPr>
      <w:r>
        <w:t>Os resultados obtidos foram submetidos a análise de variância (Teste F a 5 % de probabilidade) por meio do programa estatístico Sisvar, Versão 5.6 (</w:t>
      </w:r>
      <w:bookmarkStart w:id="6" w:name="_Hlk206248049"/>
      <w:r>
        <w:t>F</w:t>
      </w:r>
      <w:r w:rsidR="00E85F1E">
        <w:t>erreira</w:t>
      </w:r>
      <w:r>
        <w:t>, 2011</w:t>
      </w:r>
      <w:bookmarkEnd w:id="6"/>
      <w:r>
        <w:t>), aplicando-se o teste de Tukey, a 5 % de probabilidade, para comparar as médias dos tratamentos, quando o Teste F foi significativo.</w:t>
      </w:r>
    </w:p>
    <w:p w14:paraId="62C94B91" w14:textId="77777777" w:rsidR="004D2E5D" w:rsidRPr="00001A23" w:rsidRDefault="004D2E5D" w:rsidP="00A06848">
      <w:pPr>
        <w:pStyle w:val="Ttulo1"/>
      </w:pPr>
      <w:r w:rsidRPr="00001A23">
        <w:t>RESULTADOS E DISCUSSÃO</w:t>
      </w:r>
    </w:p>
    <w:p w14:paraId="74D11FCC" w14:textId="44D4F425" w:rsidR="0027369D" w:rsidRDefault="00771586" w:rsidP="00771586">
      <w:pPr>
        <w:pStyle w:val="texto"/>
      </w:pPr>
      <w:r>
        <w:t xml:space="preserve">Na Tabela 1, é possível observar que houve efeito significativo apenas das cultivares para as variáveis produtividade de massa verde e produtividade de massa seca. </w:t>
      </w:r>
      <w:r w:rsidR="00811A9E">
        <w:t xml:space="preserve">Entre os genótipos de sorgo avaliados, há aqueles destinados à produção de forragem da parte aérea e aquele </w:t>
      </w:r>
      <w:proofErr w:type="spellStart"/>
      <w:r w:rsidR="00811A9E">
        <w:t>granífero</w:t>
      </w:r>
      <w:proofErr w:type="spellEnd"/>
      <w:r w:rsidR="00811A9E">
        <w:t xml:space="preserve">, esperando-se diferenças entre suas características de acúmulo de biomassa. </w:t>
      </w:r>
      <w:r>
        <w:t xml:space="preserve">A porcentagem de massa seca não sofreu influência dos tratamentos. </w:t>
      </w:r>
      <w:r w:rsidR="00811A9E">
        <w:t>A</w:t>
      </w:r>
      <w:r w:rsidR="008D2A4B">
        <w:t xml:space="preserve"> porcentagem de massa seca na biomassa varia com o genótipo e a época de colheita</w:t>
      </w:r>
      <w:r w:rsidR="00811A9E">
        <w:t xml:space="preserve">, corroborando com </w:t>
      </w:r>
      <w:r w:rsidR="00811A9E" w:rsidRPr="00771586">
        <w:t>May</w:t>
      </w:r>
      <w:r w:rsidR="00811A9E">
        <w:t xml:space="preserve">, </w:t>
      </w:r>
      <w:r w:rsidR="00811A9E" w:rsidRPr="00771586">
        <w:t>Silva</w:t>
      </w:r>
      <w:r w:rsidR="00811A9E">
        <w:t xml:space="preserve"> e </w:t>
      </w:r>
      <w:r w:rsidR="00811A9E" w:rsidRPr="00771586">
        <w:t>Santos</w:t>
      </w:r>
      <w:r w:rsidR="00811A9E">
        <w:t xml:space="preserve"> (</w:t>
      </w:r>
      <w:r w:rsidR="00811A9E" w:rsidRPr="00771586">
        <w:t>2013)</w:t>
      </w:r>
      <w:r w:rsidR="008D2A4B">
        <w:t xml:space="preserve">. No caso do sorgo biomassa, por apresentar um maior ciclo, sua colheita ocorre nos períodos mais secos no Estado de Minas Gerais (abril a junho), em que as porcentagens de massa seca são mais elevadas, variando de 35 a 55% e o ponto ideal após a maturação fisiológica no estágio de grão farináceo. </w:t>
      </w:r>
    </w:p>
    <w:p w14:paraId="3F3C2BF0" w14:textId="40600F42" w:rsidR="00790B42" w:rsidRPr="00790B42" w:rsidRDefault="00790B42" w:rsidP="00790B42">
      <w:pPr>
        <w:pStyle w:val="Legenda"/>
        <w:ind w:left="0"/>
        <w:jc w:val="center"/>
        <w:rPr>
          <w:i w:val="0"/>
          <w:szCs w:val="20"/>
        </w:rPr>
      </w:pPr>
      <w:bookmarkStart w:id="7" w:name="_Toc87532337"/>
      <w:r w:rsidRPr="00790B42">
        <w:rPr>
          <w:i w:val="0"/>
          <w:szCs w:val="20"/>
        </w:rPr>
        <w:t xml:space="preserve">Tabela </w:t>
      </w:r>
      <w:r>
        <w:rPr>
          <w:i w:val="0"/>
          <w:szCs w:val="20"/>
        </w:rPr>
        <w:t>1</w:t>
      </w:r>
      <w:r w:rsidRPr="00790B42">
        <w:rPr>
          <w:i w:val="0"/>
          <w:szCs w:val="20"/>
        </w:rPr>
        <w:t xml:space="preserve"> </w:t>
      </w:r>
      <w:r w:rsidRPr="00790B42">
        <w:rPr>
          <w:i w:val="0"/>
          <w:szCs w:val="20"/>
          <w:lang w:eastAsia="fr-FR"/>
        </w:rPr>
        <w:t xml:space="preserve">– Resumo das análises de variância (valores de F) para produtividade de massa verde (PMV), produtividade de massa seca (PMS) e porcentagem de massa seca (%MS) </w:t>
      </w:r>
      <w:r w:rsidRPr="00790B42">
        <w:rPr>
          <w:i w:val="0"/>
          <w:szCs w:val="20"/>
        </w:rPr>
        <w:t>de cultivares de sorgo em função de densidade de plantio em Piranhas, Sertão de Alagoas</w:t>
      </w:r>
      <w:bookmarkEnd w:id="7"/>
    </w:p>
    <w:tbl>
      <w:tblPr>
        <w:tblStyle w:val="TabeladeLista1Clara1"/>
        <w:tblW w:w="5000" w:type="pct"/>
        <w:tblLook w:val="04A0" w:firstRow="1" w:lastRow="0" w:firstColumn="1" w:lastColumn="0" w:noHBand="0" w:noVBand="1"/>
      </w:tblPr>
      <w:tblGrid>
        <w:gridCol w:w="2030"/>
        <w:gridCol w:w="530"/>
        <w:gridCol w:w="2266"/>
        <w:gridCol w:w="2365"/>
        <w:gridCol w:w="1879"/>
      </w:tblGrid>
      <w:tr w:rsidR="00790B42" w:rsidRPr="00DF3C5A" w14:paraId="78CE5FF8" w14:textId="77777777" w:rsidTr="00556C09">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0" w:type="pct"/>
            <w:vMerge w:val="restart"/>
            <w:tcBorders>
              <w:top w:val="single" w:sz="4" w:space="0" w:color="auto"/>
            </w:tcBorders>
            <w:shd w:val="clear" w:color="auto" w:fill="auto"/>
          </w:tcPr>
          <w:p w14:paraId="026E78CC" w14:textId="77777777" w:rsidR="00790B42" w:rsidRPr="00DF3C5A" w:rsidRDefault="00790B42" w:rsidP="00556C09">
            <w:pPr>
              <w:jc w:val="center"/>
              <w:rPr>
                <w:rFonts w:cs="Times New Roman"/>
                <w:b w:val="0"/>
                <w:sz w:val="20"/>
                <w:szCs w:val="20"/>
                <w:lang w:eastAsia="fr-FR"/>
              </w:rPr>
            </w:pPr>
          </w:p>
          <w:p w14:paraId="631CDF15" w14:textId="77777777" w:rsidR="00790B42" w:rsidRPr="00DF3C5A" w:rsidRDefault="00790B42" w:rsidP="00556C09">
            <w:pPr>
              <w:rPr>
                <w:rFonts w:cs="Times New Roman"/>
                <w:b w:val="0"/>
                <w:sz w:val="20"/>
                <w:szCs w:val="20"/>
              </w:rPr>
            </w:pPr>
            <w:r w:rsidRPr="00DF3C5A">
              <w:rPr>
                <w:rFonts w:cs="Times New Roman"/>
                <w:b w:val="0"/>
                <w:sz w:val="20"/>
                <w:szCs w:val="20"/>
                <w:lang w:eastAsia="fr-FR"/>
              </w:rPr>
              <w:t>Causas de variação</w:t>
            </w:r>
          </w:p>
        </w:tc>
        <w:tc>
          <w:tcPr>
            <w:tcW w:w="0" w:type="pct"/>
            <w:vMerge w:val="restart"/>
            <w:tcBorders>
              <w:top w:val="single" w:sz="4" w:space="0" w:color="auto"/>
            </w:tcBorders>
            <w:shd w:val="clear" w:color="auto" w:fill="auto"/>
          </w:tcPr>
          <w:p w14:paraId="65A71294" w14:textId="77777777" w:rsidR="00790B42" w:rsidRPr="00DF3C5A" w:rsidRDefault="00790B42" w:rsidP="00556C09">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p>
          <w:p w14:paraId="5580A276" w14:textId="77777777" w:rsidR="00790B42" w:rsidRPr="00DF3C5A" w:rsidRDefault="00790B42" w:rsidP="00556C09">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DF3C5A">
              <w:rPr>
                <w:rFonts w:cs="Times New Roman"/>
                <w:b w:val="0"/>
                <w:sz w:val="20"/>
                <w:szCs w:val="20"/>
              </w:rPr>
              <w:t>GL</w:t>
            </w:r>
          </w:p>
        </w:tc>
        <w:tc>
          <w:tcPr>
            <w:tcW w:w="0" w:type="pct"/>
            <w:gridSpan w:val="3"/>
            <w:tcBorders>
              <w:top w:val="single" w:sz="4" w:space="0" w:color="auto"/>
            </w:tcBorders>
            <w:shd w:val="clear" w:color="auto" w:fill="auto"/>
          </w:tcPr>
          <w:p w14:paraId="42E57BE2" w14:textId="77777777" w:rsidR="00790B42" w:rsidRPr="00DF3C5A" w:rsidRDefault="00790B42" w:rsidP="00556C09">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Pr>
                <w:rFonts w:cs="Times New Roman"/>
                <w:b w:val="0"/>
                <w:sz w:val="20"/>
                <w:szCs w:val="20"/>
              </w:rPr>
              <w:t xml:space="preserve">Valores de </w:t>
            </w:r>
            <w:r w:rsidRPr="00DF3C5A">
              <w:rPr>
                <w:rFonts w:cs="Times New Roman"/>
                <w:b w:val="0"/>
                <w:sz w:val="20"/>
                <w:szCs w:val="20"/>
              </w:rPr>
              <w:t>F</w:t>
            </w:r>
          </w:p>
        </w:tc>
      </w:tr>
      <w:tr w:rsidR="00790B42" w:rsidRPr="00DF3C5A" w14:paraId="02EAEECA" w14:textId="77777777" w:rsidTr="00556C09">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1119" w:type="pct"/>
            <w:vMerge/>
            <w:tcBorders>
              <w:top w:val="single" w:sz="4" w:space="0" w:color="666666" w:themeColor="text1" w:themeTint="99"/>
              <w:bottom w:val="single" w:sz="4" w:space="0" w:color="auto"/>
            </w:tcBorders>
            <w:shd w:val="clear" w:color="auto" w:fill="auto"/>
          </w:tcPr>
          <w:p w14:paraId="2044A941" w14:textId="77777777" w:rsidR="00790B42" w:rsidRPr="00DF3C5A" w:rsidRDefault="00790B42" w:rsidP="00556C09">
            <w:pPr>
              <w:jc w:val="center"/>
              <w:rPr>
                <w:rFonts w:cs="Times New Roman"/>
                <w:b w:val="0"/>
                <w:sz w:val="20"/>
                <w:szCs w:val="20"/>
              </w:rPr>
            </w:pPr>
          </w:p>
        </w:tc>
        <w:tc>
          <w:tcPr>
            <w:tcW w:w="292" w:type="pct"/>
            <w:vMerge/>
            <w:tcBorders>
              <w:top w:val="single" w:sz="4" w:space="0" w:color="666666" w:themeColor="text1" w:themeTint="99"/>
              <w:bottom w:val="single" w:sz="4" w:space="0" w:color="auto"/>
            </w:tcBorders>
            <w:shd w:val="clear" w:color="auto" w:fill="auto"/>
          </w:tcPr>
          <w:p w14:paraId="051DD558" w14:textId="77777777" w:rsidR="00790B42" w:rsidRPr="00DF3C5A" w:rsidRDefault="00790B42" w:rsidP="00556C09">
            <w:pPr>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p>
        </w:tc>
        <w:tc>
          <w:tcPr>
            <w:tcW w:w="1249" w:type="pct"/>
            <w:tcBorders>
              <w:top w:val="single" w:sz="4" w:space="0" w:color="666666" w:themeColor="text1" w:themeTint="99"/>
              <w:bottom w:val="single" w:sz="4" w:space="0" w:color="auto"/>
            </w:tcBorders>
            <w:shd w:val="clear" w:color="auto" w:fill="auto"/>
          </w:tcPr>
          <w:p w14:paraId="648E4352" w14:textId="77777777" w:rsidR="00790B42" w:rsidRPr="00DF3C5A" w:rsidRDefault="00790B42" w:rsidP="00556C09">
            <w:pPr>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DF3C5A">
              <w:rPr>
                <w:rFonts w:cs="Times New Roman"/>
                <w:bCs/>
                <w:color w:val="000000"/>
                <w:sz w:val="20"/>
                <w:szCs w:val="20"/>
              </w:rPr>
              <w:t>PMV</w:t>
            </w:r>
          </w:p>
        </w:tc>
        <w:tc>
          <w:tcPr>
            <w:tcW w:w="1304" w:type="pct"/>
            <w:tcBorders>
              <w:top w:val="single" w:sz="4" w:space="0" w:color="666666" w:themeColor="text1" w:themeTint="99"/>
              <w:bottom w:val="single" w:sz="4" w:space="0" w:color="auto"/>
            </w:tcBorders>
            <w:shd w:val="clear" w:color="auto" w:fill="auto"/>
          </w:tcPr>
          <w:p w14:paraId="40B97D07" w14:textId="77777777" w:rsidR="00790B42" w:rsidRPr="00DF3C5A" w:rsidRDefault="00790B42" w:rsidP="00556C09">
            <w:pPr>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DF3C5A">
              <w:rPr>
                <w:rFonts w:cs="Times New Roman"/>
                <w:bCs/>
                <w:color w:val="000000"/>
                <w:sz w:val="20"/>
                <w:szCs w:val="20"/>
              </w:rPr>
              <w:t>PMS</w:t>
            </w:r>
          </w:p>
        </w:tc>
        <w:tc>
          <w:tcPr>
            <w:tcW w:w="1036" w:type="pct"/>
            <w:tcBorders>
              <w:top w:val="single" w:sz="4" w:space="0" w:color="666666" w:themeColor="text1" w:themeTint="99"/>
              <w:bottom w:val="single" w:sz="4" w:space="0" w:color="auto"/>
            </w:tcBorders>
            <w:shd w:val="clear" w:color="auto" w:fill="auto"/>
          </w:tcPr>
          <w:p w14:paraId="26FE4006" w14:textId="77777777" w:rsidR="00790B42" w:rsidRPr="00DF3C5A" w:rsidRDefault="00790B42" w:rsidP="00556C09">
            <w:pPr>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0"/>
                <w:szCs w:val="20"/>
              </w:rPr>
            </w:pPr>
            <w:r w:rsidRPr="00DF3C5A">
              <w:rPr>
                <w:rFonts w:cs="Times New Roman"/>
                <w:bCs/>
                <w:color w:val="000000"/>
                <w:sz w:val="20"/>
                <w:szCs w:val="20"/>
              </w:rPr>
              <w:t>%MS</w:t>
            </w:r>
          </w:p>
        </w:tc>
      </w:tr>
      <w:tr w:rsidR="00790B42" w:rsidRPr="00DF3C5A" w14:paraId="00A3569C" w14:textId="77777777" w:rsidTr="00556C09">
        <w:trPr>
          <w:trHeight w:val="253"/>
        </w:trPr>
        <w:tc>
          <w:tcPr>
            <w:cnfStyle w:val="001000000000" w:firstRow="0" w:lastRow="0" w:firstColumn="1" w:lastColumn="0" w:oddVBand="0" w:evenVBand="0" w:oddHBand="0" w:evenHBand="0" w:firstRowFirstColumn="0" w:firstRowLastColumn="0" w:lastRowFirstColumn="0" w:lastRowLastColumn="0"/>
            <w:tcW w:w="1119" w:type="pct"/>
            <w:tcBorders>
              <w:top w:val="single" w:sz="4" w:space="0" w:color="auto"/>
            </w:tcBorders>
            <w:shd w:val="clear" w:color="auto" w:fill="auto"/>
          </w:tcPr>
          <w:p w14:paraId="09D76F3D" w14:textId="77777777" w:rsidR="00790B42" w:rsidRPr="00DF3C5A" w:rsidRDefault="00790B42" w:rsidP="00556C09">
            <w:pPr>
              <w:rPr>
                <w:rFonts w:cs="Times New Roman"/>
                <w:b w:val="0"/>
                <w:sz w:val="20"/>
                <w:szCs w:val="20"/>
              </w:rPr>
            </w:pPr>
            <w:r w:rsidRPr="00DF3C5A">
              <w:rPr>
                <w:rFonts w:cs="Times New Roman"/>
                <w:b w:val="0"/>
                <w:sz w:val="20"/>
                <w:szCs w:val="20"/>
              </w:rPr>
              <w:t>Blocos</w:t>
            </w:r>
          </w:p>
        </w:tc>
        <w:tc>
          <w:tcPr>
            <w:tcW w:w="292" w:type="pct"/>
            <w:tcBorders>
              <w:top w:val="single" w:sz="4" w:space="0" w:color="auto"/>
            </w:tcBorders>
            <w:shd w:val="clear" w:color="auto" w:fill="auto"/>
          </w:tcPr>
          <w:p w14:paraId="28D31EF3" w14:textId="77777777" w:rsidR="00790B42" w:rsidRPr="00DF3C5A" w:rsidRDefault="00790B42" w:rsidP="00556C09">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DF3C5A">
              <w:rPr>
                <w:rFonts w:cs="Times New Roman"/>
                <w:bCs/>
                <w:sz w:val="20"/>
                <w:szCs w:val="20"/>
              </w:rPr>
              <w:t>3</w:t>
            </w:r>
          </w:p>
        </w:tc>
        <w:tc>
          <w:tcPr>
            <w:tcW w:w="1249" w:type="pct"/>
            <w:tcBorders>
              <w:top w:val="single" w:sz="4" w:space="0" w:color="auto"/>
            </w:tcBorders>
            <w:shd w:val="clear" w:color="auto" w:fill="auto"/>
          </w:tcPr>
          <w:p w14:paraId="46572C0E" w14:textId="77777777" w:rsidR="00790B42" w:rsidRPr="00DF3C5A" w:rsidRDefault="00790B42" w:rsidP="00556C09">
            <w:pPr>
              <w:jc w:val="right"/>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DF3C5A">
              <w:rPr>
                <w:rFonts w:cs="Times New Roman"/>
                <w:bCs/>
                <w:color w:val="000000"/>
                <w:sz w:val="20"/>
                <w:szCs w:val="20"/>
              </w:rPr>
              <w:t>1,14ns</w:t>
            </w:r>
          </w:p>
        </w:tc>
        <w:tc>
          <w:tcPr>
            <w:tcW w:w="1304" w:type="pct"/>
            <w:tcBorders>
              <w:top w:val="single" w:sz="4" w:space="0" w:color="auto"/>
            </w:tcBorders>
            <w:shd w:val="clear" w:color="auto" w:fill="auto"/>
          </w:tcPr>
          <w:p w14:paraId="1941F33C" w14:textId="77777777" w:rsidR="00790B42" w:rsidRPr="00DF3C5A" w:rsidRDefault="00790B42" w:rsidP="00556C09">
            <w:pPr>
              <w:jc w:val="right"/>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DF3C5A">
              <w:rPr>
                <w:rFonts w:cs="Times New Roman"/>
                <w:bCs/>
                <w:color w:val="000000"/>
                <w:sz w:val="20"/>
                <w:szCs w:val="20"/>
              </w:rPr>
              <w:t>1,50ns</w:t>
            </w:r>
          </w:p>
        </w:tc>
        <w:tc>
          <w:tcPr>
            <w:tcW w:w="1036" w:type="pct"/>
            <w:tcBorders>
              <w:top w:val="single" w:sz="4" w:space="0" w:color="auto"/>
            </w:tcBorders>
            <w:shd w:val="clear" w:color="auto" w:fill="auto"/>
          </w:tcPr>
          <w:p w14:paraId="121D1460" w14:textId="77777777" w:rsidR="00790B42" w:rsidRPr="00DF3C5A" w:rsidRDefault="00790B42" w:rsidP="00556C09">
            <w:pPr>
              <w:jc w:val="right"/>
              <w:cnfStyle w:val="000000000000" w:firstRow="0" w:lastRow="0" w:firstColumn="0" w:lastColumn="0" w:oddVBand="0" w:evenVBand="0" w:oddHBand="0" w:evenHBand="0" w:firstRowFirstColumn="0" w:firstRowLastColumn="0" w:lastRowFirstColumn="0" w:lastRowLastColumn="0"/>
              <w:rPr>
                <w:rFonts w:cs="Times New Roman"/>
                <w:bCs/>
                <w:color w:val="000000"/>
                <w:sz w:val="20"/>
                <w:szCs w:val="20"/>
              </w:rPr>
            </w:pPr>
            <w:r w:rsidRPr="00DF3C5A">
              <w:rPr>
                <w:rFonts w:cs="Times New Roman"/>
                <w:bCs/>
                <w:color w:val="000000"/>
                <w:sz w:val="20"/>
                <w:szCs w:val="20"/>
              </w:rPr>
              <w:t>0,79ns</w:t>
            </w:r>
          </w:p>
        </w:tc>
      </w:tr>
      <w:tr w:rsidR="00790B42" w:rsidRPr="00DF3C5A" w14:paraId="4E26A18D" w14:textId="77777777" w:rsidTr="00556C0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119" w:type="pct"/>
            <w:shd w:val="clear" w:color="auto" w:fill="auto"/>
          </w:tcPr>
          <w:p w14:paraId="153E46D6" w14:textId="77777777" w:rsidR="00790B42" w:rsidRPr="00DF3C5A" w:rsidRDefault="00790B42" w:rsidP="00556C09">
            <w:pPr>
              <w:rPr>
                <w:rFonts w:cs="Times New Roman"/>
                <w:b w:val="0"/>
                <w:sz w:val="20"/>
                <w:szCs w:val="20"/>
              </w:rPr>
            </w:pPr>
            <w:r w:rsidRPr="00DF3C5A">
              <w:rPr>
                <w:rFonts w:cs="Times New Roman"/>
                <w:b w:val="0"/>
                <w:sz w:val="20"/>
                <w:szCs w:val="20"/>
              </w:rPr>
              <w:t>Cultivares (C)</w:t>
            </w:r>
          </w:p>
        </w:tc>
        <w:tc>
          <w:tcPr>
            <w:tcW w:w="292" w:type="pct"/>
            <w:shd w:val="clear" w:color="auto" w:fill="auto"/>
          </w:tcPr>
          <w:p w14:paraId="11304102" w14:textId="77777777" w:rsidR="00790B42" w:rsidRPr="00DF3C5A" w:rsidRDefault="00790B42" w:rsidP="00556C09">
            <w:pPr>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DF3C5A">
              <w:rPr>
                <w:rFonts w:cs="Times New Roman"/>
                <w:bCs/>
                <w:sz w:val="20"/>
                <w:szCs w:val="20"/>
              </w:rPr>
              <w:t>3</w:t>
            </w:r>
          </w:p>
        </w:tc>
        <w:tc>
          <w:tcPr>
            <w:tcW w:w="1249" w:type="pct"/>
            <w:shd w:val="clear" w:color="auto" w:fill="auto"/>
          </w:tcPr>
          <w:p w14:paraId="033AB0BA" w14:textId="77777777" w:rsidR="00790B42" w:rsidRPr="00DF3C5A" w:rsidRDefault="00790B42" w:rsidP="00556C09">
            <w:pPr>
              <w:jc w:val="right"/>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DF3C5A">
              <w:rPr>
                <w:rFonts w:cs="Times New Roman"/>
                <w:bCs/>
                <w:color w:val="000000"/>
                <w:sz w:val="20"/>
                <w:szCs w:val="20"/>
              </w:rPr>
              <w:t>8,00**</w:t>
            </w:r>
          </w:p>
        </w:tc>
        <w:tc>
          <w:tcPr>
            <w:tcW w:w="1304" w:type="pct"/>
            <w:shd w:val="clear" w:color="auto" w:fill="auto"/>
          </w:tcPr>
          <w:p w14:paraId="7D9A73DF" w14:textId="77777777" w:rsidR="00790B42" w:rsidRPr="00DF3C5A" w:rsidRDefault="00790B42" w:rsidP="00556C09">
            <w:pPr>
              <w:jc w:val="right"/>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DF3C5A">
              <w:rPr>
                <w:rFonts w:cs="Times New Roman"/>
                <w:bCs/>
                <w:color w:val="000000"/>
                <w:sz w:val="20"/>
                <w:szCs w:val="20"/>
              </w:rPr>
              <w:t>3,96*</w:t>
            </w:r>
          </w:p>
        </w:tc>
        <w:tc>
          <w:tcPr>
            <w:tcW w:w="1036" w:type="pct"/>
            <w:shd w:val="clear" w:color="auto" w:fill="auto"/>
          </w:tcPr>
          <w:p w14:paraId="295C1F39" w14:textId="77777777" w:rsidR="00790B42" w:rsidRPr="00DF3C5A" w:rsidRDefault="00790B42" w:rsidP="00556C09">
            <w:pPr>
              <w:jc w:val="right"/>
              <w:cnfStyle w:val="000000100000" w:firstRow="0" w:lastRow="0" w:firstColumn="0" w:lastColumn="0" w:oddVBand="0" w:evenVBand="0" w:oddHBand="1" w:evenHBand="0" w:firstRowFirstColumn="0" w:firstRowLastColumn="0" w:lastRowFirstColumn="0" w:lastRowLastColumn="0"/>
              <w:rPr>
                <w:rFonts w:cs="Times New Roman"/>
                <w:bCs/>
                <w:color w:val="000000"/>
                <w:sz w:val="20"/>
                <w:szCs w:val="20"/>
              </w:rPr>
            </w:pPr>
            <w:r w:rsidRPr="00DF3C5A">
              <w:rPr>
                <w:rFonts w:cs="Times New Roman"/>
                <w:bCs/>
                <w:color w:val="000000"/>
                <w:sz w:val="20"/>
                <w:szCs w:val="20"/>
              </w:rPr>
              <w:t>1,59ns</w:t>
            </w:r>
          </w:p>
        </w:tc>
      </w:tr>
      <w:tr w:rsidR="00790B42" w:rsidRPr="00DF3C5A" w14:paraId="5E6D90DB" w14:textId="77777777" w:rsidTr="00556C09">
        <w:trPr>
          <w:trHeight w:val="253"/>
        </w:trPr>
        <w:tc>
          <w:tcPr>
            <w:cnfStyle w:val="001000000000" w:firstRow="0" w:lastRow="0" w:firstColumn="1" w:lastColumn="0" w:oddVBand="0" w:evenVBand="0" w:oddHBand="0" w:evenHBand="0" w:firstRowFirstColumn="0" w:firstRowLastColumn="0" w:lastRowFirstColumn="0" w:lastRowLastColumn="0"/>
            <w:tcW w:w="1119" w:type="pct"/>
            <w:shd w:val="clear" w:color="auto" w:fill="auto"/>
          </w:tcPr>
          <w:p w14:paraId="3B1081E1" w14:textId="77777777" w:rsidR="00790B42" w:rsidRPr="00DF3C5A" w:rsidRDefault="00790B42" w:rsidP="00556C09">
            <w:pPr>
              <w:rPr>
                <w:rFonts w:cs="Times New Roman"/>
                <w:b w:val="0"/>
                <w:sz w:val="20"/>
                <w:szCs w:val="20"/>
              </w:rPr>
            </w:pPr>
            <w:r w:rsidRPr="00DF3C5A">
              <w:rPr>
                <w:rFonts w:cs="Times New Roman"/>
                <w:b w:val="0"/>
                <w:sz w:val="20"/>
                <w:szCs w:val="20"/>
              </w:rPr>
              <w:t>Densidades (D)</w:t>
            </w:r>
          </w:p>
        </w:tc>
        <w:tc>
          <w:tcPr>
            <w:tcW w:w="292" w:type="pct"/>
            <w:shd w:val="clear" w:color="auto" w:fill="auto"/>
          </w:tcPr>
          <w:p w14:paraId="03535E8C" w14:textId="77777777" w:rsidR="00790B42" w:rsidRPr="00DF3C5A" w:rsidRDefault="00790B42" w:rsidP="00556C09">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DF3C5A">
              <w:rPr>
                <w:rFonts w:cs="Times New Roman"/>
                <w:bCs/>
                <w:sz w:val="20"/>
                <w:szCs w:val="20"/>
              </w:rPr>
              <w:t>1</w:t>
            </w:r>
          </w:p>
        </w:tc>
        <w:tc>
          <w:tcPr>
            <w:tcW w:w="1249" w:type="pct"/>
            <w:shd w:val="clear" w:color="auto" w:fill="auto"/>
          </w:tcPr>
          <w:p w14:paraId="305ED11D" w14:textId="77777777" w:rsidR="00790B42" w:rsidRPr="00DF3C5A" w:rsidRDefault="00790B42" w:rsidP="00556C09">
            <w:pPr>
              <w:jc w:val="right"/>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DF3C5A">
              <w:rPr>
                <w:rFonts w:cs="Times New Roman"/>
                <w:bCs/>
                <w:color w:val="000000"/>
                <w:sz w:val="20"/>
                <w:szCs w:val="20"/>
              </w:rPr>
              <w:t>0,89</w:t>
            </w:r>
            <w:r w:rsidRPr="00DF3C5A">
              <w:rPr>
                <w:rFonts w:cs="Times New Roman"/>
                <w:bCs/>
                <w:sz w:val="20"/>
                <w:szCs w:val="20"/>
              </w:rPr>
              <w:t>ns</w:t>
            </w:r>
          </w:p>
        </w:tc>
        <w:tc>
          <w:tcPr>
            <w:tcW w:w="1304" w:type="pct"/>
            <w:shd w:val="clear" w:color="auto" w:fill="auto"/>
          </w:tcPr>
          <w:p w14:paraId="40891E7A" w14:textId="77777777" w:rsidR="00790B42" w:rsidRPr="00DF3C5A" w:rsidRDefault="00790B42" w:rsidP="00556C09">
            <w:pPr>
              <w:jc w:val="right"/>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DF3C5A">
              <w:rPr>
                <w:rFonts w:cs="Times New Roman"/>
                <w:bCs/>
                <w:color w:val="000000"/>
                <w:sz w:val="20"/>
                <w:szCs w:val="20"/>
              </w:rPr>
              <w:t>0,47</w:t>
            </w:r>
            <w:r w:rsidRPr="00DF3C5A">
              <w:rPr>
                <w:rFonts w:cs="Times New Roman"/>
                <w:bCs/>
                <w:sz w:val="20"/>
                <w:szCs w:val="20"/>
              </w:rPr>
              <w:t>ns</w:t>
            </w:r>
          </w:p>
        </w:tc>
        <w:tc>
          <w:tcPr>
            <w:tcW w:w="1036" w:type="pct"/>
            <w:shd w:val="clear" w:color="auto" w:fill="auto"/>
          </w:tcPr>
          <w:p w14:paraId="6763101A" w14:textId="77777777" w:rsidR="00790B42" w:rsidRPr="00DF3C5A" w:rsidRDefault="00790B42" w:rsidP="00556C09">
            <w:pPr>
              <w:jc w:val="right"/>
              <w:cnfStyle w:val="000000000000" w:firstRow="0" w:lastRow="0" w:firstColumn="0" w:lastColumn="0" w:oddVBand="0" w:evenVBand="0" w:oddHBand="0" w:evenHBand="0" w:firstRowFirstColumn="0" w:firstRowLastColumn="0" w:lastRowFirstColumn="0" w:lastRowLastColumn="0"/>
              <w:rPr>
                <w:rFonts w:cs="Times New Roman"/>
                <w:bCs/>
                <w:color w:val="000000"/>
                <w:sz w:val="20"/>
                <w:szCs w:val="20"/>
              </w:rPr>
            </w:pPr>
            <w:r w:rsidRPr="00DF3C5A">
              <w:rPr>
                <w:rFonts w:cs="Times New Roman"/>
                <w:bCs/>
                <w:color w:val="000000"/>
                <w:sz w:val="20"/>
                <w:szCs w:val="20"/>
              </w:rPr>
              <w:t>0,08</w:t>
            </w:r>
            <w:r w:rsidRPr="00DF3C5A">
              <w:rPr>
                <w:rFonts w:cs="Times New Roman"/>
                <w:bCs/>
                <w:sz w:val="20"/>
                <w:szCs w:val="20"/>
              </w:rPr>
              <w:t>ns</w:t>
            </w:r>
          </w:p>
        </w:tc>
      </w:tr>
      <w:tr w:rsidR="00790B42" w:rsidRPr="00DF3C5A" w14:paraId="1E92199F" w14:textId="77777777" w:rsidTr="00556C09">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19" w:type="pct"/>
            <w:tcBorders>
              <w:bottom w:val="single" w:sz="4" w:space="0" w:color="auto"/>
            </w:tcBorders>
            <w:shd w:val="clear" w:color="auto" w:fill="auto"/>
          </w:tcPr>
          <w:p w14:paraId="2C5B127A" w14:textId="77777777" w:rsidR="00790B42" w:rsidRPr="00DF3C5A" w:rsidRDefault="00790B42" w:rsidP="00556C09">
            <w:pPr>
              <w:tabs>
                <w:tab w:val="right" w:pos="2176"/>
              </w:tabs>
              <w:rPr>
                <w:rFonts w:cs="Times New Roman"/>
                <w:b w:val="0"/>
                <w:sz w:val="20"/>
                <w:szCs w:val="20"/>
              </w:rPr>
            </w:pPr>
            <w:r w:rsidRPr="00DF3C5A">
              <w:rPr>
                <w:rFonts w:cs="Times New Roman"/>
                <w:b w:val="0"/>
                <w:sz w:val="20"/>
                <w:szCs w:val="20"/>
              </w:rPr>
              <w:t>C x D</w:t>
            </w:r>
          </w:p>
        </w:tc>
        <w:tc>
          <w:tcPr>
            <w:tcW w:w="292" w:type="pct"/>
            <w:tcBorders>
              <w:bottom w:val="single" w:sz="4" w:space="0" w:color="auto"/>
            </w:tcBorders>
            <w:shd w:val="clear" w:color="auto" w:fill="auto"/>
          </w:tcPr>
          <w:p w14:paraId="3CE0A1E5" w14:textId="77777777" w:rsidR="00790B42" w:rsidRPr="00DF3C5A" w:rsidRDefault="00790B42" w:rsidP="00556C09">
            <w:pPr>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DF3C5A">
              <w:rPr>
                <w:rFonts w:cs="Times New Roman"/>
                <w:bCs/>
                <w:sz w:val="20"/>
                <w:szCs w:val="20"/>
              </w:rPr>
              <w:t>3</w:t>
            </w:r>
          </w:p>
        </w:tc>
        <w:tc>
          <w:tcPr>
            <w:tcW w:w="1249" w:type="pct"/>
            <w:tcBorders>
              <w:bottom w:val="single" w:sz="4" w:space="0" w:color="auto"/>
            </w:tcBorders>
            <w:shd w:val="clear" w:color="auto" w:fill="auto"/>
          </w:tcPr>
          <w:p w14:paraId="10AFA44A" w14:textId="77777777" w:rsidR="00790B42" w:rsidRPr="00DF3C5A" w:rsidRDefault="00790B42" w:rsidP="00556C09">
            <w:pPr>
              <w:jc w:val="right"/>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DF3C5A">
              <w:rPr>
                <w:rFonts w:cs="Times New Roman"/>
                <w:bCs/>
                <w:color w:val="000000"/>
                <w:sz w:val="20"/>
                <w:szCs w:val="20"/>
              </w:rPr>
              <w:t>0,77</w:t>
            </w:r>
            <w:r w:rsidRPr="00DF3C5A">
              <w:rPr>
                <w:rFonts w:cs="Times New Roman"/>
                <w:bCs/>
                <w:sz w:val="20"/>
                <w:szCs w:val="20"/>
              </w:rPr>
              <w:t>ns</w:t>
            </w:r>
          </w:p>
        </w:tc>
        <w:tc>
          <w:tcPr>
            <w:tcW w:w="1304" w:type="pct"/>
            <w:tcBorders>
              <w:bottom w:val="single" w:sz="4" w:space="0" w:color="auto"/>
            </w:tcBorders>
            <w:shd w:val="clear" w:color="auto" w:fill="auto"/>
          </w:tcPr>
          <w:p w14:paraId="3D3E530B" w14:textId="77777777" w:rsidR="00790B42" w:rsidRPr="00DF3C5A" w:rsidRDefault="00790B42" w:rsidP="00556C09">
            <w:pPr>
              <w:jc w:val="right"/>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DF3C5A">
              <w:rPr>
                <w:rFonts w:cs="Times New Roman"/>
                <w:bCs/>
                <w:color w:val="000000"/>
                <w:sz w:val="20"/>
                <w:szCs w:val="20"/>
              </w:rPr>
              <w:t>0,79</w:t>
            </w:r>
            <w:r w:rsidRPr="00DF3C5A">
              <w:rPr>
                <w:rFonts w:cs="Times New Roman"/>
                <w:bCs/>
                <w:sz w:val="20"/>
                <w:szCs w:val="20"/>
              </w:rPr>
              <w:t>ns</w:t>
            </w:r>
          </w:p>
        </w:tc>
        <w:tc>
          <w:tcPr>
            <w:tcW w:w="1036" w:type="pct"/>
            <w:tcBorders>
              <w:bottom w:val="single" w:sz="4" w:space="0" w:color="auto"/>
            </w:tcBorders>
            <w:shd w:val="clear" w:color="auto" w:fill="auto"/>
          </w:tcPr>
          <w:p w14:paraId="1B04B4A0" w14:textId="77777777" w:rsidR="00790B42" w:rsidRPr="00DF3C5A" w:rsidRDefault="00790B42" w:rsidP="00556C09">
            <w:pPr>
              <w:jc w:val="right"/>
              <w:cnfStyle w:val="000000100000" w:firstRow="0" w:lastRow="0" w:firstColumn="0" w:lastColumn="0" w:oddVBand="0" w:evenVBand="0" w:oddHBand="1" w:evenHBand="0" w:firstRowFirstColumn="0" w:firstRowLastColumn="0" w:lastRowFirstColumn="0" w:lastRowLastColumn="0"/>
              <w:rPr>
                <w:rFonts w:cs="Times New Roman"/>
                <w:bCs/>
                <w:color w:val="000000"/>
                <w:sz w:val="20"/>
                <w:szCs w:val="20"/>
              </w:rPr>
            </w:pPr>
            <w:r w:rsidRPr="00DF3C5A">
              <w:rPr>
                <w:rFonts w:cs="Times New Roman"/>
                <w:bCs/>
                <w:color w:val="000000"/>
                <w:sz w:val="20"/>
                <w:szCs w:val="20"/>
              </w:rPr>
              <w:t>0,21</w:t>
            </w:r>
            <w:r w:rsidRPr="00DF3C5A">
              <w:rPr>
                <w:rFonts w:cs="Times New Roman"/>
                <w:bCs/>
                <w:sz w:val="20"/>
                <w:szCs w:val="20"/>
              </w:rPr>
              <w:t>ns</w:t>
            </w:r>
          </w:p>
        </w:tc>
      </w:tr>
      <w:tr w:rsidR="00790B42" w:rsidRPr="00DF3C5A" w14:paraId="251230D0" w14:textId="77777777" w:rsidTr="00556C09">
        <w:trPr>
          <w:trHeight w:val="239"/>
        </w:trPr>
        <w:tc>
          <w:tcPr>
            <w:cnfStyle w:val="001000000000" w:firstRow="0" w:lastRow="0" w:firstColumn="1" w:lastColumn="0" w:oddVBand="0" w:evenVBand="0" w:oddHBand="0" w:evenHBand="0" w:firstRowFirstColumn="0" w:firstRowLastColumn="0" w:lastRowFirstColumn="0" w:lastRowLastColumn="0"/>
            <w:tcW w:w="1119" w:type="pct"/>
            <w:tcBorders>
              <w:top w:val="single" w:sz="4" w:space="0" w:color="auto"/>
              <w:bottom w:val="single" w:sz="4" w:space="0" w:color="auto"/>
            </w:tcBorders>
            <w:shd w:val="clear" w:color="auto" w:fill="auto"/>
          </w:tcPr>
          <w:p w14:paraId="65EDA4C7" w14:textId="77777777" w:rsidR="00790B42" w:rsidRPr="00DF3C5A" w:rsidRDefault="00790B42" w:rsidP="00556C09">
            <w:pPr>
              <w:rPr>
                <w:rFonts w:cs="Times New Roman"/>
                <w:b w:val="0"/>
                <w:sz w:val="20"/>
                <w:szCs w:val="20"/>
              </w:rPr>
            </w:pPr>
            <w:r w:rsidRPr="00DF3C5A">
              <w:rPr>
                <w:rFonts w:cs="Times New Roman"/>
                <w:b w:val="0"/>
                <w:sz w:val="20"/>
                <w:szCs w:val="20"/>
              </w:rPr>
              <w:t xml:space="preserve">CV (%) </w:t>
            </w:r>
          </w:p>
        </w:tc>
        <w:tc>
          <w:tcPr>
            <w:tcW w:w="292" w:type="pct"/>
            <w:tcBorders>
              <w:top w:val="single" w:sz="4" w:space="0" w:color="auto"/>
              <w:bottom w:val="single" w:sz="4" w:space="0" w:color="auto"/>
            </w:tcBorders>
            <w:shd w:val="clear" w:color="auto" w:fill="auto"/>
          </w:tcPr>
          <w:p w14:paraId="68D75316" w14:textId="77777777" w:rsidR="00790B42" w:rsidRPr="00DF3C5A" w:rsidRDefault="00790B42" w:rsidP="00556C09">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c>
          <w:tcPr>
            <w:tcW w:w="1249" w:type="pct"/>
            <w:tcBorders>
              <w:top w:val="single" w:sz="4" w:space="0" w:color="auto"/>
              <w:bottom w:val="single" w:sz="4" w:space="0" w:color="auto"/>
            </w:tcBorders>
            <w:shd w:val="clear" w:color="auto" w:fill="auto"/>
          </w:tcPr>
          <w:p w14:paraId="279B694E" w14:textId="77777777" w:rsidR="00790B42" w:rsidRPr="00DF3C5A" w:rsidRDefault="00790B42" w:rsidP="00556C09">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cs="Times New Roman"/>
                <w:bCs/>
                <w:color w:val="000000"/>
                <w:sz w:val="20"/>
                <w:szCs w:val="20"/>
              </w:rPr>
            </w:pPr>
            <w:r w:rsidRPr="00DF3C5A">
              <w:rPr>
                <w:rFonts w:cs="Times New Roman"/>
                <w:bCs/>
                <w:color w:val="000000"/>
                <w:sz w:val="20"/>
                <w:szCs w:val="20"/>
              </w:rPr>
              <w:t>27,15</w:t>
            </w:r>
          </w:p>
        </w:tc>
        <w:tc>
          <w:tcPr>
            <w:tcW w:w="1304" w:type="pct"/>
            <w:tcBorders>
              <w:top w:val="single" w:sz="4" w:space="0" w:color="auto"/>
              <w:bottom w:val="single" w:sz="4" w:space="0" w:color="auto"/>
            </w:tcBorders>
            <w:shd w:val="clear" w:color="auto" w:fill="auto"/>
          </w:tcPr>
          <w:p w14:paraId="1023A7E9" w14:textId="77777777" w:rsidR="00790B42" w:rsidRPr="00DF3C5A" w:rsidRDefault="00790B42" w:rsidP="00556C09">
            <w:pPr>
              <w:jc w:val="right"/>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DF3C5A">
              <w:rPr>
                <w:rFonts w:cs="Times New Roman"/>
                <w:bCs/>
                <w:color w:val="000000"/>
                <w:sz w:val="20"/>
                <w:szCs w:val="20"/>
              </w:rPr>
              <w:t>32,99</w:t>
            </w:r>
          </w:p>
        </w:tc>
        <w:tc>
          <w:tcPr>
            <w:tcW w:w="1036" w:type="pct"/>
            <w:tcBorders>
              <w:top w:val="single" w:sz="4" w:space="0" w:color="auto"/>
              <w:bottom w:val="single" w:sz="4" w:space="0" w:color="auto"/>
            </w:tcBorders>
            <w:shd w:val="clear" w:color="auto" w:fill="auto"/>
          </w:tcPr>
          <w:p w14:paraId="42ED4F90" w14:textId="77777777" w:rsidR="00790B42" w:rsidRPr="00DF3C5A" w:rsidRDefault="00790B42" w:rsidP="00556C09">
            <w:pPr>
              <w:jc w:val="right"/>
              <w:cnfStyle w:val="000000000000" w:firstRow="0" w:lastRow="0" w:firstColumn="0" w:lastColumn="0" w:oddVBand="0" w:evenVBand="0" w:oddHBand="0" w:evenHBand="0" w:firstRowFirstColumn="0" w:firstRowLastColumn="0" w:lastRowFirstColumn="0" w:lastRowLastColumn="0"/>
              <w:rPr>
                <w:rFonts w:cs="Times New Roman"/>
                <w:bCs/>
                <w:color w:val="000000"/>
                <w:sz w:val="20"/>
                <w:szCs w:val="20"/>
              </w:rPr>
            </w:pPr>
            <w:r w:rsidRPr="00DF3C5A">
              <w:rPr>
                <w:rFonts w:cs="Times New Roman"/>
                <w:bCs/>
                <w:color w:val="000000"/>
                <w:sz w:val="20"/>
                <w:szCs w:val="20"/>
              </w:rPr>
              <w:t>16,28</w:t>
            </w:r>
          </w:p>
        </w:tc>
      </w:tr>
      <w:tr w:rsidR="00790B42" w:rsidRPr="00DF3C5A" w14:paraId="4EBBD569" w14:textId="77777777" w:rsidTr="00556C0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119" w:type="pct"/>
            <w:tcBorders>
              <w:top w:val="single" w:sz="4" w:space="0" w:color="auto"/>
              <w:bottom w:val="single" w:sz="4" w:space="0" w:color="auto"/>
            </w:tcBorders>
            <w:shd w:val="clear" w:color="auto" w:fill="auto"/>
          </w:tcPr>
          <w:p w14:paraId="45E76BD0" w14:textId="77777777" w:rsidR="00790B42" w:rsidRPr="00DF3C5A" w:rsidRDefault="00790B42" w:rsidP="00556C09">
            <w:pPr>
              <w:rPr>
                <w:rFonts w:cs="Times New Roman"/>
                <w:b w:val="0"/>
                <w:sz w:val="20"/>
                <w:szCs w:val="20"/>
              </w:rPr>
            </w:pPr>
            <w:r w:rsidRPr="00DF3C5A">
              <w:rPr>
                <w:rFonts w:cs="Times New Roman"/>
                <w:b w:val="0"/>
                <w:sz w:val="20"/>
                <w:szCs w:val="20"/>
              </w:rPr>
              <w:t>Média geral</w:t>
            </w:r>
          </w:p>
        </w:tc>
        <w:tc>
          <w:tcPr>
            <w:tcW w:w="292" w:type="pct"/>
            <w:tcBorders>
              <w:top w:val="single" w:sz="4" w:space="0" w:color="auto"/>
              <w:bottom w:val="single" w:sz="4" w:space="0" w:color="auto"/>
            </w:tcBorders>
            <w:shd w:val="clear" w:color="auto" w:fill="auto"/>
          </w:tcPr>
          <w:p w14:paraId="5A1FD2A4" w14:textId="77777777" w:rsidR="00790B42" w:rsidRPr="00DF3C5A" w:rsidRDefault="00790B42" w:rsidP="00556C09">
            <w:pPr>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p>
        </w:tc>
        <w:tc>
          <w:tcPr>
            <w:tcW w:w="1249" w:type="pct"/>
            <w:tcBorders>
              <w:top w:val="single" w:sz="4" w:space="0" w:color="auto"/>
              <w:bottom w:val="single" w:sz="4" w:space="0" w:color="auto"/>
            </w:tcBorders>
            <w:shd w:val="clear" w:color="auto" w:fill="auto"/>
          </w:tcPr>
          <w:p w14:paraId="11E0D3BE" w14:textId="77777777" w:rsidR="00790B42" w:rsidRPr="00E161E0" w:rsidRDefault="00790B42" w:rsidP="00556C09">
            <w:pPr>
              <w:jc w:val="right"/>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E161E0">
              <w:rPr>
                <w:rFonts w:cs="Times New Roman"/>
                <w:bCs/>
                <w:sz w:val="20"/>
                <w:szCs w:val="20"/>
              </w:rPr>
              <w:t>33,76 t ha</w:t>
            </w:r>
            <w:r w:rsidRPr="00E161E0">
              <w:rPr>
                <w:rFonts w:cs="Times New Roman"/>
                <w:bCs/>
                <w:sz w:val="20"/>
                <w:szCs w:val="20"/>
                <w:vertAlign w:val="superscript"/>
                <w:lang w:eastAsia="fr-FR"/>
              </w:rPr>
              <w:t>-1</w:t>
            </w:r>
          </w:p>
        </w:tc>
        <w:tc>
          <w:tcPr>
            <w:tcW w:w="1304" w:type="pct"/>
            <w:tcBorders>
              <w:top w:val="single" w:sz="4" w:space="0" w:color="auto"/>
              <w:bottom w:val="single" w:sz="4" w:space="0" w:color="auto"/>
            </w:tcBorders>
            <w:shd w:val="clear" w:color="auto" w:fill="auto"/>
          </w:tcPr>
          <w:p w14:paraId="7927E4A8" w14:textId="77777777" w:rsidR="00790B42" w:rsidRPr="00E161E0" w:rsidRDefault="00790B42" w:rsidP="00556C09">
            <w:pPr>
              <w:jc w:val="right"/>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E161E0">
              <w:rPr>
                <w:rFonts w:cs="Times New Roman"/>
                <w:bCs/>
                <w:sz w:val="20"/>
                <w:szCs w:val="20"/>
              </w:rPr>
              <w:t>9,66 t ha</w:t>
            </w:r>
            <w:r w:rsidRPr="00E161E0">
              <w:rPr>
                <w:rFonts w:cs="Times New Roman"/>
                <w:bCs/>
                <w:sz w:val="20"/>
                <w:szCs w:val="20"/>
                <w:vertAlign w:val="superscript"/>
                <w:lang w:eastAsia="fr-FR"/>
              </w:rPr>
              <w:t>-1</w:t>
            </w:r>
          </w:p>
        </w:tc>
        <w:tc>
          <w:tcPr>
            <w:tcW w:w="1036" w:type="pct"/>
            <w:tcBorders>
              <w:top w:val="single" w:sz="4" w:space="0" w:color="auto"/>
              <w:bottom w:val="single" w:sz="4" w:space="0" w:color="auto"/>
            </w:tcBorders>
            <w:shd w:val="clear" w:color="auto" w:fill="auto"/>
          </w:tcPr>
          <w:p w14:paraId="0A7BE98F" w14:textId="574C33EB" w:rsidR="00790B42" w:rsidRPr="00DF3C5A" w:rsidRDefault="00790B42" w:rsidP="00556C09">
            <w:pPr>
              <w:jc w:val="right"/>
              <w:cnfStyle w:val="000000100000" w:firstRow="0" w:lastRow="0" w:firstColumn="0" w:lastColumn="0" w:oddVBand="0" w:evenVBand="0" w:oddHBand="1" w:evenHBand="0" w:firstRowFirstColumn="0" w:firstRowLastColumn="0" w:lastRowFirstColumn="0" w:lastRowLastColumn="0"/>
              <w:rPr>
                <w:rFonts w:cs="Times New Roman"/>
                <w:bCs/>
                <w:color w:val="000000"/>
                <w:sz w:val="20"/>
                <w:szCs w:val="20"/>
              </w:rPr>
            </w:pPr>
            <w:r w:rsidRPr="00DF3C5A">
              <w:rPr>
                <w:rFonts w:cs="Times New Roman"/>
                <w:bCs/>
                <w:color w:val="000000"/>
                <w:sz w:val="20"/>
                <w:szCs w:val="20"/>
              </w:rPr>
              <w:t>28,81%</w:t>
            </w:r>
          </w:p>
        </w:tc>
      </w:tr>
    </w:tbl>
    <w:p w14:paraId="16F6FB68" w14:textId="4D2456CC" w:rsidR="00790B42" w:rsidRPr="00DF3C5A" w:rsidRDefault="00790B42" w:rsidP="00790B42">
      <w:pPr>
        <w:rPr>
          <w:bCs/>
        </w:rPr>
      </w:pPr>
      <w:r w:rsidRPr="00DF3C5A">
        <w:rPr>
          <w:bCs/>
        </w:rPr>
        <w:t>ns: não significativo a 5 % de probabilidade, pelo teste F; **: significativo a 1 % de probabilidade, pelo teste F e *: significativo a 5 % de probabilidade, pelo t</w:t>
      </w:r>
      <w:r w:rsidR="00147716">
        <w:rPr>
          <w:bCs/>
        </w:rPr>
        <w:t xml:space="preserve"> </w:t>
      </w:r>
      <w:r w:rsidRPr="00DF3C5A">
        <w:rPr>
          <w:bCs/>
        </w:rPr>
        <w:t>este F; GL: graus de liberdade; CV: coeficiente de variação.</w:t>
      </w:r>
    </w:p>
    <w:p w14:paraId="78479C20" w14:textId="58E26F86" w:rsidR="00790B42" w:rsidRDefault="00790B42" w:rsidP="00790B42">
      <w:pPr>
        <w:pStyle w:val="texto"/>
      </w:pPr>
      <w:r>
        <w:lastRenderedPageBreak/>
        <w:t>O ponto de corte ou colheita é a base para uma correta produção de silagem. Se tratando especificamente do sorgo, é necessário que a porcentagem de massa seca esteja entre 28 a 33%. Entretanto, caso passe de 37%, a qualidade cai consideravelmente, reduzindo a digestibilidade (</w:t>
      </w:r>
      <w:bookmarkStart w:id="8" w:name="_Hlk206248070"/>
      <w:r w:rsidR="00A06848" w:rsidRPr="00123DB9">
        <w:t>DANTAS</w:t>
      </w:r>
      <w:r w:rsidRPr="00123DB9">
        <w:t xml:space="preserve">, </w:t>
      </w:r>
      <w:r>
        <w:t>2018</w:t>
      </w:r>
      <w:bookmarkEnd w:id="8"/>
      <w:r>
        <w:t xml:space="preserve">). </w:t>
      </w:r>
      <w:r w:rsidR="00123DB9" w:rsidRPr="00123DB9">
        <w:t>Na Tabela 2</w:t>
      </w:r>
      <w:r w:rsidRPr="00123DB9">
        <w:t xml:space="preserve">, </w:t>
      </w:r>
      <w:r>
        <w:t xml:space="preserve">verifica-se que a porcentagem de massa seca está dentro do padrão estabelecido na literatura, com 28,81%. </w:t>
      </w:r>
      <w:bookmarkStart w:id="9" w:name="_Hlk206248063"/>
      <w:r>
        <w:t>Perazzo (2012</w:t>
      </w:r>
      <w:bookmarkEnd w:id="9"/>
      <w:r>
        <w:t>), em seus estudos de avaliação agronômica de cultivares de sorgo no Semiárido, conseguiu valores de porcentagem média de massa seca de 27,08%, confirmando com os resultados desse trabalho.</w:t>
      </w:r>
    </w:p>
    <w:p w14:paraId="62C94B93" w14:textId="5E441CC3" w:rsidR="00200EE0" w:rsidRDefault="00790B42" w:rsidP="00790B42">
      <w:pPr>
        <w:pStyle w:val="texto"/>
      </w:pPr>
      <w:r>
        <w:t>De acordo com a Tabela 2, percebe-se que a variável produtividade de massa verde atingiu maiores valores através da cultivar BRS Ponta Negra (42,84 t ha</w:t>
      </w:r>
      <w:r w:rsidRPr="00790B42">
        <w:rPr>
          <w:vertAlign w:val="superscript"/>
        </w:rPr>
        <w:t>-1</w:t>
      </w:r>
      <w:r>
        <w:t>), não diferindo da IPA 467 (39,95 ha</w:t>
      </w:r>
      <w:r w:rsidRPr="00790B42">
        <w:rPr>
          <w:vertAlign w:val="superscript"/>
        </w:rPr>
        <w:t>-1</w:t>
      </w:r>
      <w:r>
        <w:t>). A IPA 1011 e a Chopper obtiveram valores inferiores (28,85 t ha</w:t>
      </w:r>
      <w:r w:rsidRPr="00790B42">
        <w:rPr>
          <w:vertAlign w:val="superscript"/>
        </w:rPr>
        <w:t>-1</w:t>
      </w:r>
      <w:r>
        <w:t xml:space="preserve"> e 23,41 t ha</w:t>
      </w:r>
      <w:r w:rsidRPr="00790B42">
        <w:rPr>
          <w:vertAlign w:val="superscript"/>
        </w:rPr>
        <w:t>-1</w:t>
      </w:r>
      <w:r>
        <w:t>, respectivamente) à BRS Ponta Negra. Para produtividade de massa seca, a BRS Ponta Negra apresentou destaque com 11,91 t ha</w:t>
      </w:r>
      <w:r w:rsidRPr="00EE7ACF">
        <w:rPr>
          <w:vertAlign w:val="superscript"/>
        </w:rPr>
        <w:t>-1</w:t>
      </w:r>
      <w:r>
        <w:t>, não diferindo da IPA 467 (10,91 t ha</w:t>
      </w:r>
      <w:r w:rsidRPr="00790B42">
        <w:rPr>
          <w:vertAlign w:val="superscript"/>
        </w:rPr>
        <w:t>-1</w:t>
      </w:r>
      <w:r>
        <w:t>) e da IPA 1011 (8,98 t ha</w:t>
      </w:r>
      <w:r w:rsidRPr="00790B42">
        <w:rPr>
          <w:vertAlign w:val="superscript"/>
        </w:rPr>
        <w:t>-1</w:t>
      </w:r>
      <w:r>
        <w:t>), e sendo superior à Chopper (6,83 t ha</w:t>
      </w:r>
      <w:r w:rsidRPr="00790B42">
        <w:rPr>
          <w:vertAlign w:val="superscript"/>
        </w:rPr>
        <w:t>-1</w:t>
      </w:r>
      <w:r>
        <w:t>).</w:t>
      </w:r>
    </w:p>
    <w:p w14:paraId="16335EF5" w14:textId="622D246D" w:rsidR="00790B42" w:rsidRPr="00790B42" w:rsidRDefault="00790B42" w:rsidP="00790B42">
      <w:pPr>
        <w:pStyle w:val="Legenda"/>
        <w:spacing w:before="0"/>
        <w:ind w:left="0"/>
        <w:jc w:val="center"/>
        <w:rPr>
          <w:i w:val="0"/>
          <w:szCs w:val="20"/>
        </w:rPr>
      </w:pPr>
      <w:bookmarkStart w:id="10" w:name="_Toc87532338"/>
      <w:r w:rsidRPr="00790B42">
        <w:rPr>
          <w:i w:val="0"/>
          <w:szCs w:val="20"/>
        </w:rPr>
        <w:t xml:space="preserve">Tabela </w:t>
      </w:r>
      <w:r>
        <w:rPr>
          <w:i w:val="0"/>
          <w:szCs w:val="20"/>
        </w:rPr>
        <w:t>2</w:t>
      </w:r>
      <w:r w:rsidRPr="00790B42">
        <w:rPr>
          <w:i w:val="0"/>
          <w:szCs w:val="20"/>
        </w:rPr>
        <w:t xml:space="preserve"> – </w:t>
      </w:r>
      <w:r w:rsidRPr="00790B42">
        <w:rPr>
          <w:rFonts w:eastAsia="SimSun"/>
          <w:i w:val="0"/>
          <w:szCs w:val="20"/>
        </w:rPr>
        <w:t xml:space="preserve">Médias de </w:t>
      </w:r>
      <w:r w:rsidRPr="00790B42">
        <w:rPr>
          <w:i w:val="0"/>
          <w:szCs w:val="20"/>
          <w:lang w:eastAsia="fr-FR"/>
        </w:rPr>
        <w:t xml:space="preserve">produtividades de massa verde e de massa seca </w:t>
      </w:r>
      <w:r w:rsidRPr="00790B42">
        <w:rPr>
          <w:i w:val="0"/>
          <w:szCs w:val="20"/>
        </w:rPr>
        <w:t>de cultivares de sorgo em função de densidade de plantio em Piranhas, Sertão de Alagoas</w:t>
      </w:r>
      <w:bookmarkEnd w:id="10"/>
    </w:p>
    <w:tbl>
      <w:tblPr>
        <w:tblStyle w:val="Tabelacomgrade"/>
        <w:tblW w:w="8887" w:type="dxa"/>
        <w:tblLook w:val="04A0" w:firstRow="1" w:lastRow="0" w:firstColumn="1" w:lastColumn="0" w:noHBand="0" w:noVBand="1"/>
      </w:tblPr>
      <w:tblGrid>
        <w:gridCol w:w="2122"/>
        <w:gridCol w:w="3428"/>
        <w:gridCol w:w="3337"/>
      </w:tblGrid>
      <w:tr w:rsidR="00790B42" w:rsidRPr="00DF3C5A" w14:paraId="43887973" w14:textId="77777777" w:rsidTr="00556C09">
        <w:trPr>
          <w:trHeight w:val="260"/>
        </w:trPr>
        <w:tc>
          <w:tcPr>
            <w:tcW w:w="0" w:type="auto"/>
            <w:vMerge w:val="restart"/>
            <w:tcBorders>
              <w:top w:val="single" w:sz="4" w:space="0" w:color="auto"/>
              <w:left w:val="nil"/>
              <w:right w:val="nil"/>
            </w:tcBorders>
            <w:vAlign w:val="bottom"/>
          </w:tcPr>
          <w:p w14:paraId="4BCE91C1" w14:textId="77777777" w:rsidR="00790B42" w:rsidRPr="00DF3C5A" w:rsidRDefault="00790B42" w:rsidP="00790B42">
            <w:pPr>
              <w:rPr>
                <w:bCs/>
              </w:rPr>
            </w:pPr>
            <w:r w:rsidRPr="00DF3C5A">
              <w:rPr>
                <w:bCs/>
              </w:rPr>
              <w:t>Cultivares</w:t>
            </w:r>
          </w:p>
        </w:tc>
        <w:tc>
          <w:tcPr>
            <w:tcW w:w="0" w:type="auto"/>
            <w:tcBorders>
              <w:top w:val="single" w:sz="4" w:space="0" w:color="auto"/>
              <w:left w:val="nil"/>
              <w:bottom w:val="single" w:sz="4" w:space="0" w:color="auto"/>
              <w:right w:val="nil"/>
            </w:tcBorders>
          </w:tcPr>
          <w:p w14:paraId="4EBA6E28" w14:textId="77777777" w:rsidR="00790B42" w:rsidRPr="00DF3C5A" w:rsidRDefault="00790B42" w:rsidP="00790B42">
            <w:pPr>
              <w:jc w:val="center"/>
              <w:rPr>
                <w:bCs/>
                <w:color w:val="000000"/>
              </w:rPr>
            </w:pPr>
            <w:r w:rsidRPr="00DF3C5A">
              <w:rPr>
                <w:bCs/>
                <w:color w:val="000000"/>
              </w:rPr>
              <w:t>Produtividade de massa verde</w:t>
            </w:r>
          </w:p>
        </w:tc>
        <w:tc>
          <w:tcPr>
            <w:tcW w:w="0" w:type="auto"/>
            <w:tcBorders>
              <w:top w:val="single" w:sz="4" w:space="0" w:color="auto"/>
              <w:left w:val="nil"/>
              <w:bottom w:val="single" w:sz="4" w:space="0" w:color="auto"/>
              <w:right w:val="nil"/>
            </w:tcBorders>
          </w:tcPr>
          <w:p w14:paraId="6120D496" w14:textId="77777777" w:rsidR="00790B42" w:rsidRPr="00DF3C5A" w:rsidRDefault="00790B42" w:rsidP="00790B42">
            <w:pPr>
              <w:jc w:val="center"/>
              <w:rPr>
                <w:bCs/>
                <w:color w:val="000000"/>
              </w:rPr>
            </w:pPr>
            <w:r w:rsidRPr="00DF3C5A">
              <w:rPr>
                <w:bCs/>
                <w:color w:val="000000"/>
              </w:rPr>
              <w:t>Produtividade de massa seca</w:t>
            </w:r>
          </w:p>
        </w:tc>
      </w:tr>
      <w:tr w:rsidR="00790B42" w:rsidRPr="00DF3C5A" w14:paraId="28AAD6E3" w14:textId="77777777" w:rsidTr="00556C09">
        <w:trPr>
          <w:trHeight w:val="260"/>
        </w:trPr>
        <w:tc>
          <w:tcPr>
            <w:tcW w:w="0" w:type="auto"/>
            <w:vMerge/>
            <w:tcBorders>
              <w:left w:val="nil"/>
              <w:bottom w:val="single" w:sz="4" w:space="0" w:color="auto"/>
              <w:right w:val="nil"/>
            </w:tcBorders>
            <w:vAlign w:val="bottom"/>
          </w:tcPr>
          <w:p w14:paraId="65A80D63" w14:textId="77777777" w:rsidR="00790B42" w:rsidRPr="00DF3C5A" w:rsidRDefault="00790B42" w:rsidP="00790B42">
            <w:pPr>
              <w:rPr>
                <w:bCs/>
              </w:rPr>
            </w:pPr>
          </w:p>
        </w:tc>
        <w:tc>
          <w:tcPr>
            <w:tcW w:w="0" w:type="auto"/>
            <w:gridSpan w:val="2"/>
            <w:tcBorders>
              <w:top w:val="single" w:sz="4" w:space="0" w:color="auto"/>
              <w:left w:val="nil"/>
              <w:bottom w:val="single" w:sz="4" w:space="0" w:color="auto"/>
              <w:right w:val="nil"/>
            </w:tcBorders>
          </w:tcPr>
          <w:p w14:paraId="7B167C48" w14:textId="77777777" w:rsidR="00790B42" w:rsidRPr="00DF3C5A" w:rsidRDefault="00790B42" w:rsidP="00790B42">
            <w:pPr>
              <w:jc w:val="center"/>
              <w:rPr>
                <w:bCs/>
                <w:color w:val="000000"/>
              </w:rPr>
            </w:pPr>
            <w:r w:rsidRPr="000103AA">
              <w:rPr>
                <w:bCs/>
              </w:rPr>
              <w:t>(t ha</w:t>
            </w:r>
            <w:r w:rsidRPr="000103AA">
              <w:rPr>
                <w:bCs/>
                <w:vertAlign w:val="superscript"/>
              </w:rPr>
              <w:t>-1</w:t>
            </w:r>
            <w:r w:rsidRPr="000103AA">
              <w:rPr>
                <w:bCs/>
              </w:rPr>
              <w:t>)</w:t>
            </w:r>
          </w:p>
        </w:tc>
      </w:tr>
      <w:tr w:rsidR="00790B42" w:rsidRPr="00DF3C5A" w14:paraId="5E8AD7CB" w14:textId="77777777" w:rsidTr="00556C09">
        <w:trPr>
          <w:trHeight w:val="260"/>
        </w:trPr>
        <w:tc>
          <w:tcPr>
            <w:tcW w:w="0" w:type="auto"/>
            <w:tcBorders>
              <w:top w:val="single" w:sz="4" w:space="0" w:color="auto"/>
              <w:left w:val="nil"/>
              <w:bottom w:val="nil"/>
              <w:right w:val="nil"/>
            </w:tcBorders>
            <w:vAlign w:val="bottom"/>
          </w:tcPr>
          <w:p w14:paraId="3D027857" w14:textId="77777777" w:rsidR="00790B42" w:rsidRPr="00DF3C5A" w:rsidRDefault="00790B42" w:rsidP="00790B42">
            <w:pPr>
              <w:rPr>
                <w:bCs/>
              </w:rPr>
            </w:pPr>
            <w:r w:rsidRPr="00DF3C5A">
              <w:rPr>
                <w:bCs/>
              </w:rPr>
              <w:t>BRS Ponta Negra</w:t>
            </w:r>
          </w:p>
        </w:tc>
        <w:tc>
          <w:tcPr>
            <w:tcW w:w="0" w:type="auto"/>
            <w:tcBorders>
              <w:top w:val="single" w:sz="4" w:space="0" w:color="auto"/>
              <w:left w:val="nil"/>
              <w:bottom w:val="nil"/>
              <w:right w:val="nil"/>
            </w:tcBorders>
          </w:tcPr>
          <w:p w14:paraId="22CF6C16" w14:textId="77777777" w:rsidR="00790B42" w:rsidRPr="00DF3C5A" w:rsidRDefault="00790B42" w:rsidP="00790B42">
            <w:pPr>
              <w:jc w:val="right"/>
              <w:rPr>
                <w:bCs/>
                <w:color w:val="000000"/>
              </w:rPr>
            </w:pPr>
            <w:r w:rsidRPr="00DF3C5A">
              <w:rPr>
                <w:bCs/>
                <w:color w:val="000000"/>
              </w:rPr>
              <w:t>42</w:t>
            </w:r>
            <w:r>
              <w:rPr>
                <w:bCs/>
                <w:color w:val="000000"/>
              </w:rPr>
              <w:t>,</w:t>
            </w:r>
            <w:r w:rsidRPr="00DF3C5A">
              <w:rPr>
                <w:bCs/>
                <w:color w:val="000000"/>
              </w:rPr>
              <w:t>84 a</w:t>
            </w:r>
            <w:r w:rsidRPr="00DF3C5A">
              <w:rPr>
                <w:bCs/>
                <w:color w:val="000000"/>
                <w:vertAlign w:val="superscript"/>
              </w:rPr>
              <w:t>1</w:t>
            </w:r>
          </w:p>
        </w:tc>
        <w:tc>
          <w:tcPr>
            <w:tcW w:w="0" w:type="auto"/>
            <w:tcBorders>
              <w:top w:val="single" w:sz="4" w:space="0" w:color="auto"/>
              <w:left w:val="nil"/>
              <w:bottom w:val="nil"/>
              <w:right w:val="nil"/>
            </w:tcBorders>
          </w:tcPr>
          <w:p w14:paraId="0A72509A" w14:textId="77777777" w:rsidR="00790B42" w:rsidRPr="00DF3C5A" w:rsidRDefault="00790B42" w:rsidP="00790B42">
            <w:pPr>
              <w:jc w:val="right"/>
              <w:rPr>
                <w:bCs/>
                <w:color w:val="000000"/>
              </w:rPr>
            </w:pPr>
            <w:r w:rsidRPr="00DF3C5A">
              <w:rPr>
                <w:bCs/>
                <w:color w:val="000000"/>
              </w:rPr>
              <w:t>11</w:t>
            </w:r>
            <w:r>
              <w:rPr>
                <w:bCs/>
                <w:color w:val="000000"/>
              </w:rPr>
              <w:t>,</w:t>
            </w:r>
            <w:r w:rsidRPr="00DF3C5A">
              <w:rPr>
                <w:bCs/>
                <w:color w:val="000000"/>
              </w:rPr>
              <w:t>91 a</w:t>
            </w:r>
          </w:p>
        </w:tc>
      </w:tr>
      <w:tr w:rsidR="00790B42" w:rsidRPr="00DF3C5A" w14:paraId="10FED6B8" w14:textId="77777777" w:rsidTr="00556C09">
        <w:trPr>
          <w:trHeight w:val="260"/>
        </w:trPr>
        <w:tc>
          <w:tcPr>
            <w:tcW w:w="0" w:type="auto"/>
            <w:tcBorders>
              <w:top w:val="nil"/>
              <w:left w:val="nil"/>
              <w:bottom w:val="nil"/>
              <w:right w:val="nil"/>
            </w:tcBorders>
            <w:vAlign w:val="bottom"/>
          </w:tcPr>
          <w:p w14:paraId="0F857B43" w14:textId="77777777" w:rsidR="00790B42" w:rsidRPr="00DF3C5A" w:rsidRDefault="00790B42" w:rsidP="00790B42">
            <w:pPr>
              <w:rPr>
                <w:bCs/>
              </w:rPr>
            </w:pPr>
            <w:r w:rsidRPr="00DF3C5A">
              <w:rPr>
                <w:bCs/>
              </w:rPr>
              <w:t>IPA 467</w:t>
            </w:r>
          </w:p>
        </w:tc>
        <w:tc>
          <w:tcPr>
            <w:tcW w:w="0" w:type="auto"/>
            <w:tcBorders>
              <w:top w:val="nil"/>
              <w:left w:val="nil"/>
              <w:bottom w:val="nil"/>
              <w:right w:val="nil"/>
            </w:tcBorders>
          </w:tcPr>
          <w:p w14:paraId="0ED67E21" w14:textId="77777777" w:rsidR="00790B42" w:rsidRPr="00DF3C5A" w:rsidRDefault="00790B42" w:rsidP="00790B42">
            <w:pPr>
              <w:jc w:val="right"/>
              <w:rPr>
                <w:bCs/>
                <w:color w:val="000000"/>
              </w:rPr>
            </w:pPr>
            <w:r w:rsidRPr="00DF3C5A">
              <w:rPr>
                <w:bCs/>
                <w:color w:val="000000"/>
              </w:rPr>
              <w:t>39</w:t>
            </w:r>
            <w:r>
              <w:rPr>
                <w:bCs/>
                <w:color w:val="000000"/>
              </w:rPr>
              <w:t>,</w:t>
            </w:r>
            <w:r w:rsidRPr="00DF3C5A">
              <w:rPr>
                <w:bCs/>
                <w:color w:val="000000"/>
              </w:rPr>
              <w:t>9</w:t>
            </w:r>
            <w:r>
              <w:rPr>
                <w:bCs/>
                <w:color w:val="000000"/>
              </w:rPr>
              <w:t>5</w:t>
            </w:r>
            <w:r w:rsidRPr="00DF3C5A">
              <w:rPr>
                <w:bCs/>
                <w:color w:val="000000"/>
              </w:rPr>
              <w:t xml:space="preserve"> ab</w:t>
            </w:r>
          </w:p>
        </w:tc>
        <w:tc>
          <w:tcPr>
            <w:tcW w:w="0" w:type="auto"/>
            <w:tcBorders>
              <w:top w:val="nil"/>
              <w:left w:val="nil"/>
              <w:bottom w:val="nil"/>
              <w:right w:val="nil"/>
            </w:tcBorders>
          </w:tcPr>
          <w:p w14:paraId="55B161B9" w14:textId="77777777" w:rsidR="00790B42" w:rsidRPr="00DF3C5A" w:rsidRDefault="00790B42" w:rsidP="00790B42">
            <w:pPr>
              <w:jc w:val="right"/>
              <w:rPr>
                <w:bCs/>
                <w:color w:val="000000"/>
              </w:rPr>
            </w:pPr>
            <w:r w:rsidRPr="00DF3C5A">
              <w:rPr>
                <w:bCs/>
                <w:color w:val="000000"/>
              </w:rPr>
              <w:t>10</w:t>
            </w:r>
            <w:r>
              <w:rPr>
                <w:bCs/>
                <w:color w:val="000000"/>
              </w:rPr>
              <w:t>,</w:t>
            </w:r>
            <w:r w:rsidRPr="00DF3C5A">
              <w:rPr>
                <w:bCs/>
                <w:color w:val="000000"/>
              </w:rPr>
              <w:t>91 ab</w:t>
            </w:r>
          </w:p>
        </w:tc>
      </w:tr>
      <w:tr w:rsidR="00790B42" w:rsidRPr="00DF3C5A" w14:paraId="7B7BDC55" w14:textId="77777777" w:rsidTr="00556C09">
        <w:trPr>
          <w:trHeight w:val="260"/>
        </w:trPr>
        <w:tc>
          <w:tcPr>
            <w:tcW w:w="0" w:type="auto"/>
            <w:tcBorders>
              <w:top w:val="nil"/>
              <w:left w:val="nil"/>
              <w:bottom w:val="nil"/>
              <w:right w:val="nil"/>
            </w:tcBorders>
            <w:vAlign w:val="bottom"/>
          </w:tcPr>
          <w:p w14:paraId="1B800286" w14:textId="77777777" w:rsidR="00790B42" w:rsidRPr="00DF3C5A" w:rsidRDefault="00790B42" w:rsidP="00790B42">
            <w:pPr>
              <w:rPr>
                <w:bCs/>
              </w:rPr>
            </w:pPr>
            <w:r w:rsidRPr="00DF3C5A">
              <w:rPr>
                <w:bCs/>
              </w:rPr>
              <w:t>Chopper</w:t>
            </w:r>
          </w:p>
        </w:tc>
        <w:tc>
          <w:tcPr>
            <w:tcW w:w="0" w:type="auto"/>
            <w:tcBorders>
              <w:top w:val="nil"/>
              <w:left w:val="nil"/>
              <w:bottom w:val="nil"/>
              <w:right w:val="nil"/>
            </w:tcBorders>
          </w:tcPr>
          <w:p w14:paraId="18ED9291" w14:textId="77777777" w:rsidR="00790B42" w:rsidRPr="00DF3C5A" w:rsidRDefault="00790B42" w:rsidP="00790B42">
            <w:pPr>
              <w:jc w:val="right"/>
              <w:rPr>
                <w:bCs/>
                <w:color w:val="000000"/>
              </w:rPr>
            </w:pPr>
            <w:r w:rsidRPr="00DF3C5A">
              <w:rPr>
                <w:bCs/>
                <w:color w:val="000000"/>
              </w:rPr>
              <w:t>23</w:t>
            </w:r>
            <w:r>
              <w:rPr>
                <w:bCs/>
                <w:color w:val="000000"/>
              </w:rPr>
              <w:t>,</w:t>
            </w:r>
            <w:r w:rsidRPr="00DF3C5A">
              <w:rPr>
                <w:bCs/>
                <w:color w:val="000000"/>
              </w:rPr>
              <w:t>4</w:t>
            </w:r>
            <w:r>
              <w:rPr>
                <w:bCs/>
                <w:color w:val="000000"/>
              </w:rPr>
              <w:t>1</w:t>
            </w:r>
            <w:r w:rsidRPr="00DF3C5A">
              <w:rPr>
                <w:bCs/>
                <w:color w:val="000000"/>
              </w:rPr>
              <w:t xml:space="preserve"> c</w:t>
            </w:r>
          </w:p>
        </w:tc>
        <w:tc>
          <w:tcPr>
            <w:tcW w:w="0" w:type="auto"/>
            <w:tcBorders>
              <w:top w:val="nil"/>
              <w:left w:val="nil"/>
              <w:bottom w:val="nil"/>
              <w:right w:val="nil"/>
            </w:tcBorders>
          </w:tcPr>
          <w:p w14:paraId="6D1C8DE1" w14:textId="77777777" w:rsidR="00790B42" w:rsidRPr="00DF3C5A" w:rsidRDefault="00790B42" w:rsidP="00790B42">
            <w:pPr>
              <w:jc w:val="right"/>
              <w:rPr>
                <w:bCs/>
                <w:color w:val="000000"/>
              </w:rPr>
            </w:pPr>
            <w:r w:rsidRPr="00DF3C5A">
              <w:rPr>
                <w:bCs/>
                <w:color w:val="000000"/>
              </w:rPr>
              <w:t>6</w:t>
            </w:r>
            <w:r>
              <w:rPr>
                <w:bCs/>
                <w:color w:val="000000"/>
              </w:rPr>
              <w:t>,</w:t>
            </w:r>
            <w:r w:rsidRPr="00DF3C5A">
              <w:rPr>
                <w:bCs/>
                <w:color w:val="000000"/>
              </w:rPr>
              <w:t>83 b</w:t>
            </w:r>
          </w:p>
        </w:tc>
      </w:tr>
      <w:tr w:rsidR="00790B42" w:rsidRPr="00DF3C5A" w14:paraId="4C9409DE" w14:textId="77777777" w:rsidTr="00556C09">
        <w:trPr>
          <w:trHeight w:val="260"/>
        </w:trPr>
        <w:tc>
          <w:tcPr>
            <w:tcW w:w="0" w:type="auto"/>
            <w:tcBorders>
              <w:top w:val="nil"/>
              <w:left w:val="nil"/>
              <w:bottom w:val="single" w:sz="4" w:space="0" w:color="auto"/>
              <w:right w:val="nil"/>
            </w:tcBorders>
            <w:vAlign w:val="bottom"/>
          </w:tcPr>
          <w:p w14:paraId="59C0A2C9" w14:textId="77777777" w:rsidR="00790B42" w:rsidRPr="00DF3C5A" w:rsidRDefault="00790B42" w:rsidP="00790B42">
            <w:pPr>
              <w:rPr>
                <w:bCs/>
              </w:rPr>
            </w:pPr>
            <w:r w:rsidRPr="00DF3C5A">
              <w:rPr>
                <w:bCs/>
              </w:rPr>
              <w:t>IPA 1011</w:t>
            </w:r>
          </w:p>
        </w:tc>
        <w:tc>
          <w:tcPr>
            <w:tcW w:w="0" w:type="auto"/>
            <w:tcBorders>
              <w:top w:val="nil"/>
              <w:left w:val="nil"/>
              <w:bottom w:val="single" w:sz="4" w:space="0" w:color="auto"/>
              <w:right w:val="nil"/>
            </w:tcBorders>
          </w:tcPr>
          <w:p w14:paraId="4E31E73D" w14:textId="77777777" w:rsidR="00790B42" w:rsidRPr="00DF3C5A" w:rsidRDefault="00790B42" w:rsidP="00790B42">
            <w:pPr>
              <w:jc w:val="right"/>
              <w:rPr>
                <w:bCs/>
                <w:color w:val="000000"/>
              </w:rPr>
            </w:pPr>
            <w:r w:rsidRPr="00DF3C5A">
              <w:rPr>
                <w:bCs/>
                <w:color w:val="000000"/>
              </w:rPr>
              <w:t>28</w:t>
            </w:r>
            <w:r>
              <w:rPr>
                <w:bCs/>
                <w:color w:val="000000"/>
              </w:rPr>
              <w:t>,</w:t>
            </w:r>
            <w:r w:rsidRPr="00DF3C5A">
              <w:rPr>
                <w:bCs/>
                <w:color w:val="000000"/>
              </w:rPr>
              <w:t>8</w:t>
            </w:r>
            <w:r>
              <w:rPr>
                <w:bCs/>
                <w:color w:val="000000"/>
              </w:rPr>
              <w:t>5</w:t>
            </w:r>
            <w:r w:rsidRPr="00DF3C5A">
              <w:rPr>
                <w:bCs/>
                <w:color w:val="000000"/>
              </w:rPr>
              <w:t xml:space="preserve"> bc</w:t>
            </w:r>
          </w:p>
        </w:tc>
        <w:tc>
          <w:tcPr>
            <w:tcW w:w="0" w:type="auto"/>
            <w:tcBorders>
              <w:top w:val="nil"/>
              <w:left w:val="nil"/>
              <w:bottom w:val="single" w:sz="4" w:space="0" w:color="auto"/>
              <w:right w:val="nil"/>
            </w:tcBorders>
          </w:tcPr>
          <w:p w14:paraId="6B80F06A" w14:textId="77777777" w:rsidR="00790B42" w:rsidRPr="00DF3C5A" w:rsidRDefault="00790B42" w:rsidP="00790B42">
            <w:pPr>
              <w:jc w:val="right"/>
              <w:rPr>
                <w:bCs/>
                <w:color w:val="000000"/>
              </w:rPr>
            </w:pPr>
            <w:r w:rsidRPr="00DF3C5A">
              <w:rPr>
                <w:bCs/>
                <w:color w:val="000000"/>
              </w:rPr>
              <w:t>8</w:t>
            </w:r>
            <w:r>
              <w:rPr>
                <w:bCs/>
                <w:color w:val="000000"/>
              </w:rPr>
              <w:t>,</w:t>
            </w:r>
            <w:r w:rsidRPr="00DF3C5A">
              <w:rPr>
                <w:bCs/>
                <w:color w:val="000000"/>
              </w:rPr>
              <w:t>98 ab</w:t>
            </w:r>
          </w:p>
        </w:tc>
      </w:tr>
    </w:tbl>
    <w:p w14:paraId="664B711F" w14:textId="77777777" w:rsidR="00790B42" w:rsidRPr="00DF3C5A" w:rsidRDefault="00790B42" w:rsidP="00790B42">
      <w:pPr>
        <w:pStyle w:val="Default"/>
        <w:jc w:val="both"/>
        <w:rPr>
          <w:bCs/>
          <w:color w:val="auto"/>
          <w:sz w:val="20"/>
          <w:szCs w:val="20"/>
          <w:lang w:eastAsia="fr-FR"/>
        </w:rPr>
      </w:pPr>
      <w:r w:rsidRPr="00DF3C5A">
        <w:rPr>
          <w:bCs/>
          <w:color w:val="auto"/>
          <w:sz w:val="20"/>
          <w:szCs w:val="20"/>
          <w:vertAlign w:val="superscript"/>
          <w:lang w:eastAsia="fr-FR"/>
        </w:rPr>
        <w:t>1</w:t>
      </w:r>
      <w:r w:rsidRPr="00DF3C5A">
        <w:rPr>
          <w:bCs/>
          <w:color w:val="auto"/>
          <w:sz w:val="20"/>
          <w:szCs w:val="20"/>
          <w:lang w:eastAsia="fr-FR"/>
        </w:rPr>
        <w:t>Médias seguidas pela mesma letra na coluna não diferem entre si pelo teste de Tukey, a 5 % de probabilidade.</w:t>
      </w:r>
    </w:p>
    <w:p w14:paraId="130D22CC" w14:textId="6A714B53" w:rsidR="00DD7DDB" w:rsidRDefault="00771586" w:rsidP="00A06848">
      <w:pPr>
        <w:spacing w:before="120" w:after="120"/>
        <w:ind w:firstLine="709"/>
        <w:rPr>
          <w:sz w:val="24"/>
          <w:szCs w:val="24"/>
          <w:lang w:val="pt-BR"/>
        </w:rPr>
      </w:pPr>
      <w:bookmarkStart w:id="11" w:name="_Hlk206248085"/>
      <w:r>
        <w:rPr>
          <w:sz w:val="24"/>
          <w:szCs w:val="24"/>
          <w:lang w:val="pt-BR"/>
        </w:rPr>
        <w:t xml:space="preserve">Segundo </w:t>
      </w:r>
      <w:r w:rsidR="00DD7DDB" w:rsidRPr="00DD7DDB">
        <w:rPr>
          <w:sz w:val="24"/>
          <w:szCs w:val="24"/>
          <w:lang w:val="pt-BR"/>
        </w:rPr>
        <w:t xml:space="preserve">Silva (2011), avaliando genótipos de sorgo forrageiro na Zona da Mata de Alagoas, obteve valores de produtividade de massa seca variando de 3,29 </w:t>
      </w:r>
      <w:r w:rsidR="00DD7DDB" w:rsidRPr="00DD7DDB">
        <w:rPr>
          <w:bCs/>
          <w:sz w:val="24"/>
          <w:szCs w:val="24"/>
          <w:lang w:val="pt-BR"/>
        </w:rPr>
        <w:t>t ha</w:t>
      </w:r>
      <w:r w:rsidR="00DD7DDB" w:rsidRPr="00DD7DDB">
        <w:rPr>
          <w:bCs/>
          <w:sz w:val="24"/>
          <w:szCs w:val="24"/>
          <w:vertAlign w:val="superscript"/>
          <w:lang w:val="pt-BR"/>
        </w:rPr>
        <w:t xml:space="preserve">-1 </w:t>
      </w:r>
      <w:r w:rsidR="00DD7DDB" w:rsidRPr="00DD7DDB">
        <w:rPr>
          <w:bCs/>
          <w:sz w:val="24"/>
          <w:szCs w:val="24"/>
          <w:lang w:val="pt-BR"/>
        </w:rPr>
        <w:t>a 6,20 t ha</w:t>
      </w:r>
      <w:r w:rsidR="00DD7DDB" w:rsidRPr="00DD7DDB">
        <w:rPr>
          <w:bCs/>
          <w:sz w:val="24"/>
          <w:szCs w:val="24"/>
          <w:vertAlign w:val="superscript"/>
          <w:lang w:val="pt-BR"/>
        </w:rPr>
        <w:t>-1</w:t>
      </w:r>
      <w:r w:rsidR="00DD7DDB" w:rsidRPr="00DD7DDB">
        <w:rPr>
          <w:bCs/>
          <w:sz w:val="24"/>
          <w:szCs w:val="24"/>
          <w:lang w:val="pt-BR"/>
        </w:rPr>
        <w:t>, nas cultivares IPA 467 e BRS Ponta Negra, respectivamente, com precipitação total no período de 335 mm. Elias (2016), estudando características agronômicas de cultivares de sorgo (BRS 655, BRS 700, BRS 810 e IPA 2502) em sistema de plantio direto no Sertão de Pernambuco, atingiram valores médios de produtividade de massa verde de 7,10 t ha</w:t>
      </w:r>
      <w:r w:rsidR="00DD7DDB" w:rsidRPr="00DD7DDB">
        <w:rPr>
          <w:bCs/>
          <w:sz w:val="24"/>
          <w:szCs w:val="24"/>
          <w:vertAlign w:val="superscript"/>
          <w:lang w:val="pt-BR"/>
        </w:rPr>
        <w:t xml:space="preserve">-1 </w:t>
      </w:r>
      <w:r w:rsidR="00DD7DDB" w:rsidRPr="00DD7DDB">
        <w:rPr>
          <w:bCs/>
          <w:sz w:val="24"/>
          <w:szCs w:val="24"/>
          <w:lang w:val="pt-BR"/>
        </w:rPr>
        <w:t>a 20,77 t ha</w:t>
      </w:r>
      <w:r w:rsidR="00DD7DDB" w:rsidRPr="00DD7DDB">
        <w:rPr>
          <w:bCs/>
          <w:sz w:val="24"/>
          <w:szCs w:val="24"/>
          <w:vertAlign w:val="superscript"/>
          <w:lang w:val="pt-BR"/>
        </w:rPr>
        <w:t>-1</w:t>
      </w:r>
      <w:r w:rsidR="00DD7DDB" w:rsidRPr="00DD7DDB">
        <w:rPr>
          <w:sz w:val="24"/>
          <w:szCs w:val="24"/>
          <w:lang w:val="pt-BR"/>
        </w:rPr>
        <w:t xml:space="preserve"> e</w:t>
      </w:r>
      <w:r w:rsidR="00DD7DDB" w:rsidRPr="00DD7DDB">
        <w:rPr>
          <w:bCs/>
          <w:sz w:val="24"/>
          <w:szCs w:val="24"/>
          <w:lang w:val="pt-BR"/>
        </w:rPr>
        <w:t xml:space="preserve"> de produtividade de massa seca variando de 2,02 t ha</w:t>
      </w:r>
      <w:r w:rsidR="00DD7DDB" w:rsidRPr="00DD7DDB">
        <w:rPr>
          <w:bCs/>
          <w:sz w:val="24"/>
          <w:szCs w:val="24"/>
          <w:vertAlign w:val="superscript"/>
          <w:lang w:val="pt-BR"/>
        </w:rPr>
        <w:t xml:space="preserve">-1 </w:t>
      </w:r>
      <w:r w:rsidR="00DD7DDB" w:rsidRPr="00DD7DDB">
        <w:rPr>
          <w:bCs/>
          <w:sz w:val="24"/>
          <w:szCs w:val="24"/>
          <w:lang w:val="pt-BR"/>
        </w:rPr>
        <w:t>a 6,05 t ha</w:t>
      </w:r>
      <w:r w:rsidR="00DD7DDB" w:rsidRPr="00DD7DDB">
        <w:rPr>
          <w:bCs/>
          <w:sz w:val="24"/>
          <w:szCs w:val="24"/>
          <w:vertAlign w:val="superscript"/>
          <w:lang w:val="pt-BR"/>
        </w:rPr>
        <w:t>-1</w:t>
      </w:r>
      <w:r w:rsidR="00DD7DDB" w:rsidRPr="00DD7DDB">
        <w:rPr>
          <w:bCs/>
          <w:sz w:val="24"/>
          <w:szCs w:val="24"/>
          <w:lang w:val="pt-BR"/>
        </w:rPr>
        <w:t xml:space="preserve"> com apenas 73,4 mm de precipitação pluvial acumulada.</w:t>
      </w:r>
    </w:p>
    <w:bookmarkEnd w:id="11"/>
    <w:p w14:paraId="62C94B99" w14:textId="216130B4" w:rsidR="00B074F6" w:rsidRPr="00001A23" w:rsidRDefault="00790B42" w:rsidP="00A06848">
      <w:pPr>
        <w:pStyle w:val="Ttulo1"/>
      </w:pPr>
      <w:r>
        <w:t>CONCLUSÕES</w:t>
      </w:r>
    </w:p>
    <w:p w14:paraId="09F885ED" w14:textId="6A492D21" w:rsidR="00790B42" w:rsidRDefault="00790B42" w:rsidP="003700BE">
      <w:pPr>
        <w:pStyle w:val="texto"/>
      </w:pPr>
      <w:r>
        <w:t>As densidades de plantio não influenciam o acúmulo de biomassa da parte aérea das cultivares de sorgo. Em ambas as densidades de plantio estudadas, as cultivares BRS Ponta Negra, IPA 467 e IPA 1011 constituem materiais genéticos de elevado potencial de produção de biomassa nas condições de edafoclimáticas do Sertão de Alagoas.</w:t>
      </w:r>
    </w:p>
    <w:p w14:paraId="62C94B9E" w14:textId="59ECD3EB" w:rsidR="00946990" w:rsidRPr="00001A23" w:rsidRDefault="004D2E5D" w:rsidP="00CC5735">
      <w:pPr>
        <w:jc w:val="center"/>
        <w:rPr>
          <w:b/>
          <w:bCs/>
          <w:sz w:val="24"/>
          <w:szCs w:val="24"/>
          <w:lang w:val="pt-BR"/>
        </w:rPr>
      </w:pPr>
      <w:r w:rsidRPr="00001A23">
        <w:rPr>
          <w:b/>
          <w:bCs/>
          <w:sz w:val="24"/>
          <w:szCs w:val="24"/>
          <w:lang w:val="pt-BR"/>
        </w:rPr>
        <w:t>REFERÊNCIAS</w:t>
      </w:r>
    </w:p>
    <w:p w14:paraId="0CE98789" w14:textId="77777777" w:rsidR="00A06848" w:rsidRPr="003700BE" w:rsidRDefault="00A06848" w:rsidP="003700BE">
      <w:pPr>
        <w:pStyle w:val="texto"/>
        <w:spacing w:before="60"/>
        <w:ind w:firstLine="0"/>
        <w:jc w:val="left"/>
        <w:rPr>
          <w:szCs w:val="24"/>
        </w:rPr>
      </w:pPr>
      <w:r w:rsidRPr="003700BE">
        <w:rPr>
          <w:szCs w:val="24"/>
        </w:rPr>
        <w:t xml:space="preserve">ALBUQUERQUE, C. J. B. et al. Espaçamento e densidade de semeadura para cultivares de sorgo granífero no Semiárido. </w:t>
      </w:r>
      <w:r w:rsidRPr="003700BE">
        <w:rPr>
          <w:b/>
          <w:szCs w:val="24"/>
        </w:rPr>
        <w:t>Bragantia</w:t>
      </w:r>
      <w:r w:rsidRPr="003700BE">
        <w:rPr>
          <w:szCs w:val="24"/>
        </w:rPr>
        <w:t xml:space="preserve">, v. 70, n. 2, p. 278-285, 2011. </w:t>
      </w:r>
    </w:p>
    <w:p w14:paraId="76014784" w14:textId="5BCBCB9F" w:rsidR="00A06848" w:rsidRPr="003700BE" w:rsidRDefault="00A06848" w:rsidP="003700BE">
      <w:pPr>
        <w:pStyle w:val="texto"/>
        <w:spacing w:before="60"/>
        <w:ind w:firstLine="0"/>
        <w:jc w:val="left"/>
        <w:rPr>
          <w:rFonts w:eastAsia="TimesNewRomanPSMT"/>
          <w:szCs w:val="24"/>
        </w:rPr>
      </w:pPr>
      <w:r w:rsidRPr="003700BE">
        <w:rPr>
          <w:bCs/>
          <w:szCs w:val="24"/>
        </w:rPr>
        <w:t>ARAÚJO, L</w:t>
      </w:r>
      <w:r w:rsidR="003700BE">
        <w:rPr>
          <w:bCs/>
          <w:szCs w:val="24"/>
        </w:rPr>
        <w:t>.</w:t>
      </w:r>
      <w:r w:rsidRPr="003700BE">
        <w:rPr>
          <w:bCs/>
          <w:szCs w:val="24"/>
        </w:rPr>
        <w:t xml:space="preserve"> B</w:t>
      </w:r>
      <w:r w:rsidR="003700BE">
        <w:rPr>
          <w:bCs/>
          <w:szCs w:val="24"/>
        </w:rPr>
        <w:t>.</w:t>
      </w:r>
      <w:r w:rsidRPr="003700BE">
        <w:rPr>
          <w:bCs/>
          <w:szCs w:val="24"/>
        </w:rPr>
        <w:t>; SILVA, L</w:t>
      </w:r>
      <w:r w:rsidR="003700BE">
        <w:rPr>
          <w:bCs/>
          <w:szCs w:val="24"/>
        </w:rPr>
        <w:t>.</w:t>
      </w:r>
      <w:r w:rsidRPr="003700BE">
        <w:rPr>
          <w:bCs/>
          <w:szCs w:val="24"/>
        </w:rPr>
        <w:t xml:space="preserve"> L</w:t>
      </w:r>
      <w:r w:rsidR="003700BE">
        <w:rPr>
          <w:bCs/>
          <w:szCs w:val="24"/>
        </w:rPr>
        <w:t>.</w:t>
      </w:r>
      <w:r w:rsidRPr="003700BE">
        <w:rPr>
          <w:bCs/>
          <w:szCs w:val="24"/>
        </w:rPr>
        <w:t xml:space="preserve"> </w:t>
      </w:r>
      <w:r w:rsidRPr="003700BE">
        <w:rPr>
          <w:b/>
          <w:bCs/>
          <w:szCs w:val="24"/>
        </w:rPr>
        <w:t>Resposta do sorgo à adubação nitrogenada em um Latossolo Amarelo da Amazônia</w:t>
      </w:r>
      <w:r w:rsidRPr="003700BE">
        <w:rPr>
          <w:szCs w:val="24"/>
        </w:rPr>
        <w:t>.</w:t>
      </w:r>
      <w:r w:rsidRPr="003700BE">
        <w:rPr>
          <w:b/>
          <w:bCs/>
          <w:szCs w:val="24"/>
        </w:rPr>
        <w:t xml:space="preserve"> </w:t>
      </w:r>
      <w:r w:rsidRPr="003700BE">
        <w:rPr>
          <w:bCs/>
          <w:szCs w:val="24"/>
        </w:rPr>
        <w:t xml:space="preserve">2019. 30 f. Monografia (Graduação em Engenharia Agronômica) </w:t>
      </w:r>
      <w:r w:rsidRPr="003700BE">
        <w:rPr>
          <w:szCs w:val="24"/>
        </w:rPr>
        <w:t>–</w:t>
      </w:r>
      <w:r w:rsidRPr="003700BE">
        <w:rPr>
          <w:szCs w:val="24"/>
          <w:shd w:val="clear" w:color="auto" w:fill="EEEEEE"/>
        </w:rPr>
        <w:t> </w:t>
      </w:r>
      <w:r w:rsidRPr="003700BE">
        <w:rPr>
          <w:bCs/>
          <w:szCs w:val="24"/>
        </w:rPr>
        <w:t>Universidade Federal Rural da Amazônia, Belém, 2019.</w:t>
      </w:r>
    </w:p>
    <w:p w14:paraId="2A218E5D" w14:textId="77777777" w:rsidR="00A06848" w:rsidRPr="003700BE" w:rsidRDefault="00A06848" w:rsidP="003700BE">
      <w:pPr>
        <w:spacing w:before="60" w:after="120"/>
        <w:jc w:val="left"/>
        <w:rPr>
          <w:rFonts w:cs="Arial"/>
          <w:sz w:val="24"/>
          <w:szCs w:val="24"/>
          <w:lang w:val="en-US"/>
        </w:rPr>
      </w:pPr>
      <w:r w:rsidRPr="003700BE">
        <w:rPr>
          <w:rFonts w:cs="Arial"/>
          <w:sz w:val="24"/>
          <w:szCs w:val="24"/>
        </w:rPr>
        <w:lastRenderedPageBreak/>
        <w:t xml:space="preserve">AVELINO, P. M. </w:t>
      </w:r>
      <w:r w:rsidRPr="003700BE">
        <w:rPr>
          <w:rFonts w:cs="Arial"/>
          <w:i/>
          <w:iCs/>
          <w:sz w:val="24"/>
          <w:szCs w:val="24"/>
        </w:rPr>
        <w:t>et al.</w:t>
      </w:r>
      <w:r w:rsidRPr="003700BE">
        <w:rPr>
          <w:rFonts w:cs="Arial"/>
          <w:sz w:val="24"/>
          <w:szCs w:val="24"/>
        </w:rPr>
        <w:t xml:space="preserve"> Características agronômicas e estruturais de híbridos de sorgo em função de diferentes densidades de plantio. </w:t>
      </w:r>
      <w:r w:rsidRPr="003700BE">
        <w:rPr>
          <w:rFonts w:cs="Arial"/>
          <w:b/>
          <w:sz w:val="24"/>
          <w:szCs w:val="24"/>
        </w:rPr>
        <w:t>Ciência Agronômica</w:t>
      </w:r>
      <w:r w:rsidRPr="003700BE">
        <w:rPr>
          <w:rFonts w:cs="Arial"/>
          <w:sz w:val="24"/>
          <w:szCs w:val="24"/>
        </w:rPr>
        <w:t>, v. 42, n. 2, p. 534-541, 2011.</w:t>
      </w:r>
    </w:p>
    <w:p w14:paraId="645F3F8E" w14:textId="77777777" w:rsidR="00A06848" w:rsidRPr="003700BE" w:rsidRDefault="00A06848" w:rsidP="003700BE">
      <w:pPr>
        <w:pStyle w:val="texto"/>
        <w:spacing w:before="60"/>
        <w:ind w:firstLine="0"/>
        <w:jc w:val="left"/>
        <w:rPr>
          <w:rFonts w:eastAsia="TimesNewRomanPSMT"/>
          <w:szCs w:val="24"/>
        </w:rPr>
      </w:pPr>
      <w:r w:rsidRPr="003700BE">
        <w:rPr>
          <w:szCs w:val="24"/>
        </w:rPr>
        <w:t xml:space="preserve">CHIELLE, Z. G. </w:t>
      </w:r>
      <w:r w:rsidRPr="003700BE">
        <w:rPr>
          <w:i/>
          <w:iCs/>
          <w:szCs w:val="24"/>
        </w:rPr>
        <w:t>et al.</w:t>
      </w:r>
      <w:r w:rsidRPr="003700BE">
        <w:rPr>
          <w:szCs w:val="24"/>
        </w:rPr>
        <w:t xml:space="preserve"> Desempenho de genótipos de sorgo silageiro no Rio Grande do Sul na safra 2011/2012. </w:t>
      </w:r>
      <w:r w:rsidRPr="003700BE">
        <w:rPr>
          <w:b/>
          <w:bCs/>
          <w:szCs w:val="24"/>
        </w:rPr>
        <w:t>Revista Brasileira de Milho e Sorgo</w:t>
      </w:r>
      <w:r w:rsidRPr="003700BE">
        <w:rPr>
          <w:szCs w:val="24"/>
        </w:rPr>
        <w:t>, v. 12, n. 3, p. 260-269, 2013.</w:t>
      </w:r>
    </w:p>
    <w:p w14:paraId="35160626" w14:textId="77777777" w:rsidR="00A06848" w:rsidRPr="003700BE" w:rsidRDefault="00A06848" w:rsidP="003700BE">
      <w:pPr>
        <w:spacing w:before="60" w:after="120"/>
        <w:jc w:val="left"/>
        <w:rPr>
          <w:rFonts w:cs="Arial"/>
          <w:sz w:val="24"/>
          <w:szCs w:val="24"/>
        </w:rPr>
      </w:pPr>
      <w:r w:rsidRPr="003700BE">
        <w:rPr>
          <w:rFonts w:cs="Arial"/>
          <w:sz w:val="24"/>
          <w:szCs w:val="24"/>
        </w:rPr>
        <w:t xml:space="preserve">COELHO, M. A. </w:t>
      </w:r>
      <w:r w:rsidRPr="003700BE">
        <w:rPr>
          <w:rFonts w:cs="Arial"/>
          <w:i/>
          <w:iCs/>
          <w:sz w:val="24"/>
          <w:szCs w:val="24"/>
        </w:rPr>
        <w:t>et al.</w:t>
      </w:r>
      <w:r w:rsidRPr="003700BE">
        <w:rPr>
          <w:rFonts w:cs="Arial"/>
          <w:sz w:val="24"/>
          <w:szCs w:val="24"/>
        </w:rPr>
        <w:t xml:space="preserve"> Seja doutor do seu sorgo. </w:t>
      </w:r>
      <w:r w:rsidRPr="003700BE">
        <w:rPr>
          <w:rFonts w:cs="Arial"/>
          <w:b/>
          <w:sz w:val="24"/>
          <w:szCs w:val="24"/>
        </w:rPr>
        <w:t>Informações Agronômicas</w:t>
      </w:r>
      <w:r w:rsidRPr="003700BE">
        <w:rPr>
          <w:rFonts w:cs="Arial"/>
          <w:sz w:val="24"/>
          <w:szCs w:val="24"/>
        </w:rPr>
        <w:t xml:space="preserve">, n. 100, 2002. </w:t>
      </w:r>
    </w:p>
    <w:p w14:paraId="28F6B84C" w14:textId="77777777" w:rsidR="00A06848" w:rsidRPr="003700BE" w:rsidRDefault="00A06848" w:rsidP="003700BE">
      <w:pPr>
        <w:spacing w:before="60" w:after="120"/>
        <w:jc w:val="left"/>
        <w:rPr>
          <w:rFonts w:eastAsia="TimesNewRomanPSMT" w:cs="Arial"/>
          <w:sz w:val="24"/>
          <w:szCs w:val="24"/>
        </w:rPr>
      </w:pPr>
      <w:r w:rsidRPr="003700BE">
        <w:rPr>
          <w:rFonts w:cs="Arial"/>
          <w:sz w:val="24"/>
          <w:szCs w:val="24"/>
        </w:rPr>
        <w:t xml:space="preserve">CUNHA, Paulo Almeida de Souza. </w:t>
      </w:r>
      <w:r w:rsidRPr="003700BE">
        <w:rPr>
          <w:rFonts w:cs="Arial"/>
          <w:b/>
          <w:bCs/>
          <w:sz w:val="24"/>
          <w:szCs w:val="24"/>
        </w:rPr>
        <w:t>Produção de fitomassa fresca e seca e de grãos de sorgo (</w:t>
      </w:r>
      <w:r w:rsidRPr="003700BE">
        <w:rPr>
          <w:rFonts w:cs="Arial"/>
          <w:b/>
          <w:bCs/>
          <w:i/>
          <w:iCs/>
          <w:sz w:val="24"/>
          <w:szCs w:val="24"/>
        </w:rPr>
        <w:t xml:space="preserve">Sorghum bicolor </w:t>
      </w:r>
      <w:r w:rsidRPr="003700BE">
        <w:rPr>
          <w:rFonts w:cs="Arial"/>
          <w:b/>
          <w:bCs/>
          <w:sz w:val="24"/>
          <w:szCs w:val="24"/>
        </w:rPr>
        <w:t>L. Moench) sob adubação orgânica e mineral</w:t>
      </w:r>
      <w:r w:rsidRPr="003700BE">
        <w:rPr>
          <w:rFonts w:cs="Arial"/>
          <w:sz w:val="24"/>
          <w:szCs w:val="24"/>
        </w:rPr>
        <w:t>.</w:t>
      </w:r>
      <w:r w:rsidRPr="003700BE">
        <w:rPr>
          <w:rFonts w:cs="Arial"/>
          <w:b/>
          <w:bCs/>
          <w:sz w:val="24"/>
          <w:szCs w:val="24"/>
        </w:rPr>
        <w:t xml:space="preserve"> </w:t>
      </w:r>
      <w:r w:rsidRPr="003700BE">
        <w:rPr>
          <w:rFonts w:cs="Arial"/>
          <w:sz w:val="24"/>
          <w:szCs w:val="24"/>
        </w:rPr>
        <w:t>2012. 41 f. Monografia (Graduação em Engenharia Agronômica) – Universidade Federal da Paraíba, Centro de Ciências Agrárias, Areia, 2012.</w:t>
      </w:r>
    </w:p>
    <w:p w14:paraId="2DF0D069" w14:textId="24AC313E" w:rsidR="00A06848" w:rsidRPr="003700BE" w:rsidRDefault="003700BE" w:rsidP="003700BE">
      <w:pPr>
        <w:pStyle w:val="texto"/>
        <w:spacing w:before="60"/>
        <w:ind w:firstLine="0"/>
        <w:jc w:val="left"/>
        <w:rPr>
          <w:szCs w:val="24"/>
        </w:rPr>
      </w:pPr>
      <w:r w:rsidRPr="003700BE">
        <w:rPr>
          <w:szCs w:val="24"/>
          <w:shd w:val="clear" w:color="auto" w:fill="FFFFFF"/>
        </w:rPr>
        <w:t>DANTAS, T. F.</w:t>
      </w:r>
      <w:r>
        <w:rPr>
          <w:szCs w:val="24"/>
          <w:shd w:val="clear" w:color="auto" w:fill="FFFFFF"/>
        </w:rPr>
        <w:t xml:space="preserve"> </w:t>
      </w:r>
      <w:r w:rsidRPr="003700BE">
        <w:rPr>
          <w:i/>
          <w:iCs/>
          <w:szCs w:val="24"/>
          <w:shd w:val="clear" w:color="auto" w:fill="FFFFFF"/>
        </w:rPr>
        <w:t>et al.</w:t>
      </w:r>
      <w:r w:rsidRPr="003700BE">
        <w:rPr>
          <w:szCs w:val="24"/>
          <w:shd w:val="clear" w:color="auto" w:fill="FFFFFF"/>
        </w:rPr>
        <w:t xml:space="preserve"> Avaliação do sorgo forrageiro em diferentes épocas de colheita. </w:t>
      </w:r>
      <w:r w:rsidRPr="003700BE">
        <w:rPr>
          <w:i/>
          <w:iCs/>
          <w:szCs w:val="24"/>
          <w:shd w:val="clear" w:color="auto" w:fill="FFFFFF"/>
        </w:rPr>
        <w:t>In:</w:t>
      </w:r>
      <w:r w:rsidRPr="003700BE">
        <w:rPr>
          <w:szCs w:val="24"/>
          <w:shd w:val="clear" w:color="auto" w:fill="FFFFFF"/>
        </w:rPr>
        <w:t xml:space="preserve"> COLOMBO, A. S.</w:t>
      </w:r>
      <w:r>
        <w:rPr>
          <w:szCs w:val="24"/>
          <w:shd w:val="clear" w:color="auto" w:fill="FFFFFF"/>
        </w:rPr>
        <w:t xml:space="preserve"> </w:t>
      </w:r>
      <w:r w:rsidRPr="003700BE">
        <w:rPr>
          <w:i/>
          <w:iCs/>
          <w:szCs w:val="24"/>
          <w:shd w:val="clear" w:color="auto" w:fill="FFFFFF"/>
        </w:rPr>
        <w:t>et al.</w:t>
      </w:r>
      <w:r w:rsidRPr="003700BE">
        <w:rPr>
          <w:szCs w:val="24"/>
          <w:shd w:val="clear" w:color="auto" w:fill="FFFFFF"/>
        </w:rPr>
        <w:t xml:space="preserve"> (Org.). </w:t>
      </w:r>
      <w:r w:rsidRPr="003700BE">
        <w:rPr>
          <w:b/>
          <w:bCs/>
          <w:szCs w:val="24"/>
          <w:shd w:val="clear" w:color="auto" w:fill="FFFFFF"/>
        </w:rPr>
        <w:t>Mobilizar o Conhecimento para Alimentar o Brasil</w:t>
      </w:r>
      <w:r w:rsidRPr="003700BE">
        <w:rPr>
          <w:szCs w:val="24"/>
          <w:shd w:val="clear" w:color="auto" w:fill="FFFFFF"/>
        </w:rPr>
        <w:t>. 1ed. São Paulo: Centro Paula Souza, 2018. v. 1, p. 67-79.</w:t>
      </w:r>
    </w:p>
    <w:p w14:paraId="3297AE6A" w14:textId="20FBE330" w:rsidR="00A06848" w:rsidRPr="003700BE" w:rsidRDefault="00A06848" w:rsidP="003700BE">
      <w:pPr>
        <w:pStyle w:val="texto"/>
        <w:spacing w:before="60"/>
        <w:ind w:firstLine="0"/>
        <w:jc w:val="left"/>
        <w:rPr>
          <w:szCs w:val="24"/>
        </w:rPr>
      </w:pPr>
      <w:r w:rsidRPr="003700BE">
        <w:rPr>
          <w:szCs w:val="24"/>
        </w:rPr>
        <w:t xml:space="preserve">ELIAS, O. F. A. S. </w:t>
      </w:r>
      <w:r w:rsidRPr="003700BE">
        <w:rPr>
          <w:i/>
          <w:iCs/>
          <w:szCs w:val="24"/>
        </w:rPr>
        <w:t>et al.</w:t>
      </w:r>
      <w:r w:rsidRPr="003700BE">
        <w:rPr>
          <w:szCs w:val="24"/>
        </w:rPr>
        <w:t xml:space="preserve"> </w:t>
      </w:r>
      <w:r w:rsidRPr="003700BE">
        <w:rPr>
          <w:bCs/>
          <w:szCs w:val="24"/>
        </w:rPr>
        <w:t>Características agronômicas de cultivares de sorgo em sistema de plantio direto no</w:t>
      </w:r>
      <w:r w:rsidRPr="003700BE">
        <w:rPr>
          <w:szCs w:val="24"/>
        </w:rPr>
        <w:t xml:space="preserve"> </w:t>
      </w:r>
      <w:r w:rsidRPr="003700BE">
        <w:rPr>
          <w:bCs/>
          <w:szCs w:val="24"/>
        </w:rPr>
        <w:t>Semiárido de Pernambuco</w:t>
      </w:r>
      <w:r w:rsidRPr="003700BE">
        <w:rPr>
          <w:szCs w:val="24"/>
        </w:rPr>
        <w:t xml:space="preserve">. </w:t>
      </w:r>
      <w:r w:rsidRPr="003700BE">
        <w:rPr>
          <w:b/>
          <w:szCs w:val="24"/>
        </w:rPr>
        <w:t>Ciência Agrícola</w:t>
      </w:r>
      <w:r w:rsidRPr="003700BE">
        <w:rPr>
          <w:szCs w:val="24"/>
        </w:rPr>
        <w:t xml:space="preserve">, v. 14, n. 1, p. 29-36, 2016. </w:t>
      </w:r>
    </w:p>
    <w:p w14:paraId="05796535" w14:textId="1D2C689D" w:rsidR="003700BE" w:rsidRPr="003700BE" w:rsidRDefault="003700BE" w:rsidP="003700BE">
      <w:pPr>
        <w:spacing w:before="60" w:after="120"/>
        <w:jc w:val="left"/>
        <w:rPr>
          <w:rFonts w:cs="Arial"/>
          <w:sz w:val="24"/>
          <w:szCs w:val="24"/>
        </w:rPr>
      </w:pPr>
      <w:r w:rsidRPr="003700BE">
        <w:rPr>
          <w:rFonts w:cs="Arial"/>
          <w:sz w:val="24"/>
          <w:szCs w:val="24"/>
          <w:shd w:val="clear" w:color="auto" w:fill="FFFFFF"/>
        </w:rPr>
        <w:t>FERREIRA, D. F. Sisvar: a computer statistical analysis system. </w:t>
      </w:r>
      <w:r w:rsidRPr="003700BE">
        <w:rPr>
          <w:rStyle w:val="Forte"/>
          <w:rFonts w:cs="Arial"/>
          <w:sz w:val="24"/>
          <w:szCs w:val="24"/>
          <w:shd w:val="clear" w:color="auto" w:fill="FFFFFF"/>
        </w:rPr>
        <w:t>Ciência e Agrotecnologia</w:t>
      </w:r>
      <w:r w:rsidRPr="003700BE">
        <w:rPr>
          <w:rFonts w:cs="Arial"/>
          <w:sz w:val="24"/>
          <w:szCs w:val="24"/>
          <w:shd w:val="clear" w:color="auto" w:fill="FFFFFF"/>
        </w:rPr>
        <w:t>, v. 35, n. 6, p. 1039-1042, 2011.</w:t>
      </w:r>
    </w:p>
    <w:p w14:paraId="3984B191" w14:textId="6D9C2700" w:rsidR="003700BE" w:rsidRPr="003700BE" w:rsidRDefault="003700BE" w:rsidP="003700BE">
      <w:pPr>
        <w:spacing w:before="60" w:after="120"/>
        <w:jc w:val="left"/>
        <w:rPr>
          <w:rFonts w:cs="Arial"/>
          <w:color w:val="000000" w:themeColor="text1"/>
          <w:w w:val="105"/>
          <w:sz w:val="24"/>
          <w:szCs w:val="24"/>
        </w:rPr>
      </w:pPr>
      <w:r w:rsidRPr="003700BE">
        <w:rPr>
          <w:rFonts w:cs="Arial"/>
          <w:color w:val="000000" w:themeColor="text1"/>
          <w:w w:val="105"/>
          <w:sz w:val="24"/>
          <w:szCs w:val="24"/>
        </w:rPr>
        <w:t>MAY,</w:t>
      </w:r>
      <w:r w:rsidRPr="003700BE">
        <w:rPr>
          <w:rFonts w:cs="Arial"/>
          <w:color w:val="000000" w:themeColor="text1"/>
          <w:spacing w:val="-9"/>
          <w:w w:val="105"/>
          <w:sz w:val="24"/>
          <w:szCs w:val="24"/>
        </w:rPr>
        <w:t xml:space="preserve"> </w:t>
      </w:r>
      <w:r w:rsidRPr="003700BE">
        <w:rPr>
          <w:rFonts w:cs="Arial"/>
          <w:color w:val="000000" w:themeColor="text1"/>
          <w:w w:val="105"/>
          <w:sz w:val="24"/>
          <w:szCs w:val="24"/>
        </w:rPr>
        <w:t>A.; SILVA, D. D.; SANTOS, F. C.</w:t>
      </w:r>
      <w:r w:rsidRPr="003700BE">
        <w:rPr>
          <w:rFonts w:cs="Arial"/>
          <w:color w:val="000000" w:themeColor="text1"/>
          <w:spacing w:val="-9"/>
          <w:w w:val="105"/>
          <w:sz w:val="24"/>
          <w:szCs w:val="24"/>
        </w:rPr>
        <w:t xml:space="preserve"> </w:t>
      </w:r>
      <w:r w:rsidRPr="003700BE">
        <w:rPr>
          <w:rFonts w:cs="Arial"/>
          <w:b/>
          <w:bCs/>
          <w:color w:val="000000" w:themeColor="text1"/>
          <w:w w:val="105"/>
          <w:sz w:val="24"/>
          <w:szCs w:val="24"/>
        </w:rPr>
        <w:t>Cultivo</w:t>
      </w:r>
      <w:r w:rsidRPr="003700BE">
        <w:rPr>
          <w:rFonts w:cs="Arial"/>
          <w:b/>
          <w:bCs/>
          <w:color w:val="000000" w:themeColor="text1"/>
          <w:spacing w:val="-9"/>
          <w:w w:val="105"/>
          <w:sz w:val="24"/>
          <w:szCs w:val="24"/>
        </w:rPr>
        <w:t xml:space="preserve"> </w:t>
      </w:r>
      <w:r w:rsidRPr="003700BE">
        <w:rPr>
          <w:rFonts w:cs="Arial"/>
          <w:b/>
          <w:bCs/>
          <w:color w:val="000000" w:themeColor="text1"/>
          <w:w w:val="105"/>
          <w:sz w:val="24"/>
          <w:szCs w:val="24"/>
        </w:rPr>
        <w:t>do</w:t>
      </w:r>
      <w:r w:rsidRPr="003700BE">
        <w:rPr>
          <w:rFonts w:cs="Arial"/>
          <w:b/>
          <w:bCs/>
          <w:color w:val="000000" w:themeColor="text1"/>
          <w:spacing w:val="-12"/>
          <w:w w:val="105"/>
          <w:sz w:val="24"/>
          <w:szCs w:val="24"/>
        </w:rPr>
        <w:t xml:space="preserve"> </w:t>
      </w:r>
      <w:r w:rsidRPr="003700BE">
        <w:rPr>
          <w:rFonts w:cs="Arial"/>
          <w:b/>
          <w:bCs/>
          <w:color w:val="000000" w:themeColor="text1"/>
          <w:w w:val="105"/>
          <w:sz w:val="24"/>
          <w:szCs w:val="24"/>
        </w:rPr>
        <w:t>sorgo</w:t>
      </w:r>
      <w:r w:rsidRPr="003700BE">
        <w:rPr>
          <w:rFonts w:cs="Arial"/>
          <w:b/>
          <w:bCs/>
          <w:color w:val="000000" w:themeColor="text1"/>
          <w:spacing w:val="-8"/>
          <w:w w:val="105"/>
          <w:sz w:val="24"/>
          <w:szCs w:val="24"/>
        </w:rPr>
        <w:t xml:space="preserve"> </w:t>
      </w:r>
      <w:r w:rsidRPr="003700BE">
        <w:rPr>
          <w:rFonts w:cs="Arial"/>
          <w:b/>
          <w:bCs/>
          <w:color w:val="000000" w:themeColor="text1"/>
          <w:w w:val="105"/>
          <w:sz w:val="24"/>
          <w:szCs w:val="24"/>
        </w:rPr>
        <w:t>biomassa</w:t>
      </w:r>
      <w:r w:rsidRPr="003700BE">
        <w:rPr>
          <w:rFonts w:cs="Arial"/>
          <w:b/>
          <w:bCs/>
          <w:color w:val="000000" w:themeColor="text1"/>
          <w:spacing w:val="1"/>
          <w:w w:val="105"/>
          <w:sz w:val="24"/>
          <w:szCs w:val="24"/>
        </w:rPr>
        <w:t xml:space="preserve"> </w:t>
      </w:r>
      <w:r w:rsidRPr="003700BE">
        <w:rPr>
          <w:rFonts w:cs="Arial"/>
          <w:b/>
          <w:bCs/>
          <w:color w:val="000000" w:themeColor="text1"/>
          <w:w w:val="105"/>
          <w:sz w:val="24"/>
          <w:szCs w:val="24"/>
        </w:rPr>
        <w:t>para</w:t>
      </w:r>
      <w:r w:rsidRPr="003700BE">
        <w:rPr>
          <w:rFonts w:cs="Arial"/>
          <w:b/>
          <w:bCs/>
          <w:color w:val="000000" w:themeColor="text1"/>
          <w:spacing w:val="-9"/>
          <w:w w:val="105"/>
          <w:sz w:val="24"/>
          <w:szCs w:val="24"/>
        </w:rPr>
        <w:t xml:space="preserve"> </w:t>
      </w:r>
      <w:r w:rsidRPr="003700BE">
        <w:rPr>
          <w:rFonts w:cs="Arial"/>
          <w:b/>
          <w:bCs/>
          <w:color w:val="000000" w:themeColor="text1"/>
          <w:w w:val="105"/>
          <w:sz w:val="24"/>
          <w:szCs w:val="24"/>
        </w:rPr>
        <w:t>cogeracão</w:t>
      </w:r>
      <w:r w:rsidRPr="003700BE">
        <w:rPr>
          <w:rFonts w:cs="Arial"/>
          <w:b/>
          <w:bCs/>
          <w:color w:val="000000" w:themeColor="text1"/>
          <w:spacing w:val="-1"/>
          <w:w w:val="105"/>
          <w:sz w:val="24"/>
          <w:szCs w:val="24"/>
        </w:rPr>
        <w:t xml:space="preserve"> </w:t>
      </w:r>
      <w:r w:rsidRPr="003700BE">
        <w:rPr>
          <w:rFonts w:cs="Arial"/>
          <w:b/>
          <w:bCs/>
          <w:color w:val="000000" w:themeColor="text1"/>
          <w:w w:val="105"/>
          <w:sz w:val="24"/>
          <w:szCs w:val="24"/>
        </w:rPr>
        <w:t>de</w:t>
      </w:r>
      <w:r w:rsidRPr="003700BE">
        <w:rPr>
          <w:rFonts w:cs="Arial"/>
          <w:b/>
          <w:bCs/>
          <w:color w:val="000000" w:themeColor="text1"/>
          <w:spacing w:val="-11"/>
          <w:w w:val="105"/>
          <w:sz w:val="24"/>
          <w:szCs w:val="24"/>
        </w:rPr>
        <w:t xml:space="preserve"> </w:t>
      </w:r>
      <w:r w:rsidRPr="003700BE">
        <w:rPr>
          <w:rFonts w:cs="Arial"/>
          <w:b/>
          <w:bCs/>
          <w:color w:val="000000" w:themeColor="text1"/>
          <w:w w:val="105"/>
          <w:sz w:val="24"/>
          <w:szCs w:val="24"/>
        </w:rPr>
        <w:t>energia</w:t>
      </w:r>
      <w:r w:rsidRPr="003700BE">
        <w:rPr>
          <w:rFonts w:cs="Arial"/>
          <w:b/>
          <w:bCs/>
          <w:color w:val="000000" w:themeColor="text1"/>
          <w:spacing w:val="-2"/>
          <w:w w:val="105"/>
          <w:sz w:val="24"/>
          <w:szCs w:val="24"/>
        </w:rPr>
        <w:t xml:space="preserve"> </w:t>
      </w:r>
      <w:r w:rsidRPr="003700BE">
        <w:rPr>
          <w:rFonts w:cs="Arial"/>
          <w:b/>
          <w:bCs/>
          <w:color w:val="000000" w:themeColor="text1"/>
          <w:w w:val="105"/>
          <w:sz w:val="24"/>
          <w:szCs w:val="24"/>
        </w:rPr>
        <w:t>elétrica</w:t>
      </w:r>
      <w:r w:rsidRPr="003700BE">
        <w:rPr>
          <w:rFonts w:cs="Arial"/>
          <w:color w:val="000000" w:themeColor="text1"/>
          <w:spacing w:val="1"/>
          <w:w w:val="105"/>
          <w:sz w:val="24"/>
          <w:szCs w:val="24"/>
        </w:rPr>
        <w:t xml:space="preserve">. </w:t>
      </w:r>
      <w:r w:rsidRPr="003700BE">
        <w:rPr>
          <w:rFonts w:cs="Arial"/>
          <w:color w:val="000000" w:themeColor="text1"/>
          <w:w w:val="105"/>
          <w:sz w:val="24"/>
          <w:szCs w:val="24"/>
        </w:rPr>
        <w:t>Sete Lagoas: Embrapa Milho e Sorgo, 2013. 69 p.</w:t>
      </w:r>
    </w:p>
    <w:p w14:paraId="4CB15B8B" w14:textId="5FED32E7" w:rsidR="00A06848" w:rsidRPr="003700BE" w:rsidRDefault="003700BE" w:rsidP="003700BE">
      <w:pPr>
        <w:tabs>
          <w:tab w:val="left" w:pos="3170"/>
        </w:tabs>
        <w:spacing w:before="60" w:after="120"/>
        <w:jc w:val="left"/>
        <w:rPr>
          <w:rFonts w:cs="Arial"/>
          <w:sz w:val="24"/>
          <w:szCs w:val="24"/>
        </w:rPr>
      </w:pPr>
      <w:r w:rsidRPr="003700BE">
        <w:rPr>
          <w:rFonts w:cs="Arial"/>
          <w:bCs/>
          <w:sz w:val="24"/>
          <w:szCs w:val="24"/>
        </w:rPr>
        <w:t xml:space="preserve">PERAZZO, </w:t>
      </w:r>
      <w:r>
        <w:rPr>
          <w:rFonts w:cs="Arial"/>
          <w:bCs/>
          <w:sz w:val="24"/>
          <w:szCs w:val="24"/>
        </w:rPr>
        <w:t>A.</w:t>
      </w:r>
      <w:r w:rsidRPr="003700BE">
        <w:rPr>
          <w:rFonts w:cs="Arial"/>
          <w:bCs/>
          <w:sz w:val="24"/>
          <w:szCs w:val="24"/>
        </w:rPr>
        <w:t xml:space="preserve"> F. </w:t>
      </w:r>
      <w:r w:rsidRPr="003700BE">
        <w:rPr>
          <w:rFonts w:cs="Arial"/>
          <w:b/>
          <w:bCs/>
          <w:sz w:val="24"/>
          <w:szCs w:val="24"/>
        </w:rPr>
        <w:t>Avaliação agronômica de cultivares de sorgo no semiárido</w:t>
      </w:r>
      <w:r w:rsidRPr="003700BE">
        <w:rPr>
          <w:rFonts w:cs="Arial"/>
          <w:bCs/>
          <w:sz w:val="24"/>
          <w:szCs w:val="24"/>
        </w:rPr>
        <w:t xml:space="preserve">. 2012. 62 f. Dissertação (Mestrado em Zootecnia) – </w:t>
      </w:r>
      <w:r w:rsidRPr="003700BE">
        <w:rPr>
          <w:rFonts w:cs="Arial"/>
          <w:sz w:val="24"/>
          <w:szCs w:val="24"/>
        </w:rPr>
        <w:t>Universidade Federal da Bahia, Salvador, 2012.</w:t>
      </w:r>
    </w:p>
    <w:p w14:paraId="20C2AE65" w14:textId="007DF1C5" w:rsidR="00A06848" w:rsidRPr="003700BE" w:rsidRDefault="00A06848" w:rsidP="003700BE">
      <w:pPr>
        <w:spacing w:before="60" w:after="120"/>
        <w:jc w:val="left"/>
        <w:rPr>
          <w:rFonts w:cs="Arial"/>
          <w:bCs/>
          <w:sz w:val="24"/>
          <w:szCs w:val="24"/>
        </w:rPr>
      </w:pPr>
      <w:r w:rsidRPr="003700BE">
        <w:rPr>
          <w:rFonts w:cs="Arial"/>
          <w:sz w:val="24"/>
          <w:szCs w:val="24"/>
        </w:rPr>
        <w:t xml:space="preserve">PEREIRA FILHO, I. A. </w:t>
      </w:r>
      <w:r w:rsidRPr="003700BE">
        <w:rPr>
          <w:rFonts w:cs="Arial"/>
          <w:i/>
          <w:iCs/>
          <w:sz w:val="24"/>
          <w:szCs w:val="24"/>
        </w:rPr>
        <w:t>et al.</w:t>
      </w:r>
      <w:r w:rsidRPr="003700BE">
        <w:rPr>
          <w:rFonts w:cs="Arial"/>
          <w:sz w:val="24"/>
          <w:szCs w:val="24"/>
        </w:rPr>
        <w:t xml:space="preserve"> </w:t>
      </w:r>
      <w:r w:rsidRPr="003700BE">
        <w:rPr>
          <w:rFonts w:cs="Arial"/>
          <w:bCs/>
          <w:sz w:val="24"/>
          <w:szCs w:val="24"/>
        </w:rPr>
        <w:t>Avaliação de cultivares de sorgo sacarino [</w:t>
      </w:r>
      <w:r w:rsidRPr="003700BE">
        <w:rPr>
          <w:rFonts w:cs="Arial"/>
          <w:bCs/>
          <w:i/>
          <w:iCs/>
          <w:sz w:val="24"/>
          <w:szCs w:val="24"/>
        </w:rPr>
        <w:t xml:space="preserve">Sorghum bicolor </w:t>
      </w:r>
      <w:r w:rsidRPr="003700BE">
        <w:rPr>
          <w:rFonts w:cs="Arial"/>
          <w:bCs/>
          <w:sz w:val="24"/>
          <w:szCs w:val="24"/>
        </w:rPr>
        <w:t>(L.) Moench] em diferentes densidades de semeadura visando a características importantes na produção de etanol.</w:t>
      </w:r>
      <w:r w:rsidRPr="003700BE">
        <w:rPr>
          <w:rFonts w:cs="Arial"/>
          <w:b/>
          <w:bCs/>
          <w:sz w:val="24"/>
          <w:szCs w:val="24"/>
        </w:rPr>
        <w:t xml:space="preserve"> </w:t>
      </w:r>
      <w:r w:rsidRPr="003700BE">
        <w:rPr>
          <w:rFonts w:cs="Arial"/>
          <w:b/>
          <w:sz w:val="24"/>
          <w:szCs w:val="24"/>
        </w:rPr>
        <w:t>Revista Brasileira de Milho e Sorgo</w:t>
      </w:r>
      <w:r w:rsidRPr="003700BE">
        <w:rPr>
          <w:rFonts w:cs="Arial"/>
          <w:sz w:val="24"/>
          <w:szCs w:val="24"/>
        </w:rPr>
        <w:t>, v. 12, n. 2, p. 118-127, 2013</w:t>
      </w:r>
      <w:r w:rsidRPr="003700BE">
        <w:rPr>
          <w:rFonts w:cs="Arial"/>
          <w:bCs/>
          <w:sz w:val="24"/>
          <w:szCs w:val="24"/>
        </w:rPr>
        <w:t xml:space="preserve">. </w:t>
      </w:r>
    </w:p>
    <w:p w14:paraId="67A9202C" w14:textId="184943E1" w:rsidR="00A06848" w:rsidRPr="003700BE" w:rsidRDefault="00A06848" w:rsidP="003700BE">
      <w:pPr>
        <w:spacing w:before="60" w:after="120"/>
        <w:jc w:val="left"/>
        <w:rPr>
          <w:rFonts w:cs="Arial"/>
          <w:sz w:val="24"/>
          <w:szCs w:val="24"/>
          <w:lang w:val="en-US"/>
        </w:rPr>
      </w:pPr>
      <w:r w:rsidRPr="003700BE">
        <w:rPr>
          <w:rFonts w:cs="Arial"/>
          <w:sz w:val="24"/>
          <w:szCs w:val="24"/>
        </w:rPr>
        <w:t xml:space="preserve">SILVA, D. F. </w:t>
      </w:r>
      <w:r w:rsidRPr="003700BE">
        <w:rPr>
          <w:rFonts w:cs="Arial"/>
          <w:i/>
          <w:iCs/>
          <w:sz w:val="24"/>
          <w:szCs w:val="24"/>
        </w:rPr>
        <w:t>et al.</w:t>
      </w:r>
      <w:r w:rsidRPr="003700BE">
        <w:rPr>
          <w:rFonts w:cs="Arial"/>
          <w:sz w:val="24"/>
          <w:szCs w:val="24"/>
        </w:rPr>
        <w:t xml:space="preserve"> </w:t>
      </w:r>
      <w:r w:rsidRPr="003700BE">
        <w:rPr>
          <w:rFonts w:cs="Arial"/>
          <w:bCs/>
          <w:sz w:val="24"/>
          <w:szCs w:val="24"/>
        </w:rPr>
        <w:t xml:space="preserve">Características morfológicas, melhoramento genético e densidade de plantio das culturas do sorgo e do milho: uma revisão. </w:t>
      </w:r>
      <w:r w:rsidRPr="003700BE">
        <w:rPr>
          <w:rFonts w:cs="Arial"/>
          <w:b/>
          <w:sz w:val="24"/>
          <w:szCs w:val="24"/>
          <w:lang w:val="en-US"/>
        </w:rPr>
        <w:t>Society and Development</w:t>
      </w:r>
      <w:r w:rsidRPr="003700BE">
        <w:rPr>
          <w:rFonts w:cs="Arial"/>
          <w:bCs/>
          <w:sz w:val="24"/>
          <w:szCs w:val="24"/>
          <w:lang w:val="en-US"/>
        </w:rPr>
        <w:t xml:space="preserve">, </w:t>
      </w:r>
      <w:r w:rsidRPr="003700BE">
        <w:rPr>
          <w:rFonts w:cs="Arial"/>
          <w:sz w:val="24"/>
          <w:szCs w:val="24"/>
          <w:lang w:val="en-US"/>
        </w:rPr>
        <w:t>v. 10, n. 3, p. 01-09, 2021.</w:t>
      </w:r>
    </w:p>
    <w:p w14:paraId="271F1A53" w14:textId="5FD54828" w:rsidR="00A06848" w:rsidRPr="003700BE" w:rsidRDefault="00A06848" w:rsidP="003700BE">
      <w:pPr>
        <w:tabs>
          <w:tab w:val="left" w:pos="3170"/>
        </w:tabs>
        <w:spacing w:before="60" w:after="120"/>
        <w:jc w:val="left"/>
        <w:rPr>
          <w:rFonts w:cs="Arial"/>
          <w:sz w:val="24"/>
          <w:szCs w:val="24"/>
        </w:rPr>
      </w:pPr>
      <w:r w:rsidRPr="003700BE">
        <w:rPr>
          <w:rFonts w:cs="Arial"/>
          <w:sz w:val="24"/>
          <w:szCs w:val="24"/>
        </w:rPr>
        <w:t xml:space="preserve">TABOSA, J. N. Comportamento de cultivares de sorgo forrageiro em diferentes ambientes agroecológicos dos estados de Pernambuco e Alagoas. </w:t>
      </w:r>
      <w:r w:rsidRPr="003700BE">
        <w:rPr>
          <w:rFonts w:cs="Arial"/>
          <w:b/>
          <w:bCs/>
          <w:sz w:val="24"/>
          <w:szCs w:val="24"/>
        </w:rPr>
        <w:t>Revista Brasileira de Milho e Sorgo</w:t>
      </w:r>
      <w:r w:rsidRPr="003700BE">
        <w:rPr>
          <w:rFonts w:cs="Arial"/>
          <w:sz w:val="24"/>
          <w:szCs w:val="24"/>
        </w:rPr>
        <w:t xml:space="preserve">, v. 1, n. 2, p. 47-58, 2002. </w:t>
      </w:r>
    </w:p>
    <w:p w14:paraId="4DBDC31D" w14:textId="7DA8FF75" w:rsidR="00A06848" w:rsidRPr="003700BE" w:rsidRDefault="00A06848" w:rsidP="003700BE">
      <w:pPr>
        <w:tabs>
          <w:tab w:val="left" w:pos="3170"/>
        </w:tabs>
        <w:spacing w:before="60" w:after="120"/>
        <w:jc w:val="left"/>
        <w:rPr>
          <w:rFonts w:cs="Arial"/>
          <w:sz w:val="24"/>
          <w:szCs w:val="24"/>
        </w:rPr>
      </w:pPr>
      <w:r w:rsidRPr="003700BE">
        <w:rPr>
          <w:rFonts w:cs="Arial"/>
          <w:sz w:val="24"/>
          <w:szCs w:val="24"/>
        </w:rPr>
        <w:t xml:space="preserve">TABOSA, J. N.; TAVARES FILHO, J. J.; BRITO, A. R. Sorgo forrageiro. In: CAVALCANTI, F. J. A. (Coord.). </w:t>
      </w:r>
      <w:r w:rsidRPr="003700BE">
        <w:rPr>
          <w:rFonts w:cs="Arial"/>
          <w:b/>
          <w:bCs/>
          <w:sz w:val="24"/>
          <w:szCs w:val="24"/>
        </w:rPr>
        <w:t>Recomendações de adubação para o Estado de Pernambuco:</w:t>
      </w:r>
      <w:r w:rsidRPr="003700BE">
        <w:rPr>
          <w:rFonts w:cs="Arial"/>
          <w:sz w:val="24"/>
          <w:szCs w:val="24"/>
        </w:rPr>
        <w:t xml:space="preserve"> 2ª aproximação. 3. ed. rev. Recife: IPA, 2008. p. 191.</w:t>
      </w:r>
    </w:p>
    <w:sectPr w:rsidR="00A06848" w:rsidRPr="003700BE" w:rsidSect="00666873">
      <w:headerReference w:type="default" r:id="rId12"/>
      <w:type w:val="continuous"/>
      <w:pgSz w:w="11906" w:h="16838" w:code="9"/>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CD06" w14:textId="77777777" w:rsidR="0019167B" w:rsidRDefault="0019167B">
      <w:r>
        <w:separator/>
      </w:r>
    </w:p>
  </w:endnote>
  <w:endnote w:type="continuationSeparator" w:id="0">
    <w:p w14:paraId="47B60D6A" w14:textId="77777777" w:rsidR="0019167B" w:rsidRDefault="0019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BF8A" w14:textId="1CDF4C03" w:rsidR="00556C09" w:rsidRDefault="00556C09">
    <w:pPr>
      <w:pStyle w:val="Rodap"/>
    </w:pPr>
  </w:p>
  <w:p w14:paraId="59BC5823" w14:textId="77777777" w:rsidR="00556C09" w:rsidRDefault="00556C0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7A65" w14:textId="77777777" w:rsidR="00556C09" w:rsidRDefault="00556C09">
    <w:pPr>
      <w:pStyle w:val="Rodap"/>
    </w:pPr>
  </w:p>
  <w:p w14:paraId="33D5373B" w14:textId="77777777" w:rsidR="00556C09" w:rsidRDefault="00556C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3B07E" w14:textId="77777777" w:rsidR="0019167B" w:rsidRDefault="0019167B">
      <w:r>
        <w:separator/>
      </w:r>
    </w:p>
  </w:footnote>
  <w:footnote w:type="continuationSeparator" w:id="0">
    <w:p w14:paraId="41E3AC87" w14:textId="77777777" w:rsidR="0019167B" w:rsidRDefault="0019167B">
      <w:r>
        <w:continuationSeparator/>
      </w:r>
    </w:p>
  </w:footnote>
  <w:footnote w:id="1">
    <w:p w14:paraId="14646E66" w14:textId="2DE67C93" w:rsidR="00556C09" w:rsidRPr="001E79E0" w:rsidRDefault="00556C09">
      <w:pPr>
        <w:pStyle w:val="Textodenotaderodap"/>
        <w:rPr>
          <w:lang w:val="pt-BR"/>
        </w:rPr>
      </w:pPr>
      <w:r>
        <w:rPr>
          <w:rStyle w:val="Refdenotaderodap"/>
        </w:rPr>
        <w:footnoteRef/>
      </w:r>
      <w:r>
        <w:rPr>
          <w:lang w:val="pt-BR"/>
        </w:rPr>
        <w:t>Graduando em Engenharia Agronômica, Instituto Federal de Alagoas, ajsn4@aluno.ifal.edu.br</w:t>
      </w:r>
    </w:p>
  </w:footnote>
  <w:footnote w:id="2">
    <w:p w14:paraId="41A681A8" w14:textId="7E45D902" w:rsidR="00556C09" w:rsidRPr="001E79E0" w:rsidRDefault="00556C09" w:rsidP="001E79E0">
      <w:pPr>
        <w:pStyle w:val="Textodenotaderodap"/>
        <w:rPr>
          <w:lang w:val="pt-BR"/>
        </w:rPr>
      </w:pPr>
      <w:r>
        <w:rPr>
          <w:rStyle w:val="Refdenotaderodap"/>
        </w:rPr>
        <w:footnoteRef/>
      </w:r>
      <w:r>
        <w:rPr>
          <w:lang w:val="pt-BR"/>
        </w:rPr>
        <w:t xml:space="preserve">Graduanda em </w:t>
      </w:r>
      <w:r w:rsidRPr="00B325CB">
        <w:rPr>
          <w:lang w:val="pt-BR"/>
        </w:rPr>
        <w:t xml:space="preserve">Engenharia Agronômica, Ifal, </w:t>
      </w:r>
      <w:r w:rsidRPr="007C7D9E">
        <w:rPr>
          <w:i/>
          <w:iCs/>
          <w:lang w:val="pt-BR"/>
        </w:rPr>
        <w:t>Campus</w:t>
      </w:r>
      <w:r w:rsidRPr="00B325CB">
        <w:rPr>
          <w:lang w:val="pt-BR"/>
        </w:rPr>
        <w:t xml:space="preserve"> Piranhas.</w:t>
      </w:r>
    </w:p>
  </w:footnote>
  <w:footnote w:id="3">
    <w:p w14:paraId="24868060" w14:textId="65C2EE56" w:rsidR="00556C09" w:rsidRPr="001E79E0" w:rsidRDefault="00556C09" w:rsidP="001E79E0">
      <w:pPr>
        <w:pStyle w:val="Textodenotaderodap"/>
        <w:rPr>
          <w:lang w:val="pt-BR"/>
        </w:rPr>
      </w:pPr>
      <w:r>
        <w:rPr>
          <w:rStyle w:val="Refdenotaderodap"/>
        </w:rPr>
        <w:footnoteRef/>
      </w:r>
      <w:r>
        <w:rPr>
          <w:lang w:val="pt-BR"/>
        </w:rPr>
        <w:t xml:space="preserve">Graduando em </w:t>
      </w:r>
      <w:r w:rsidRPr="00B325CB">
        <w:rPr>
          <w:lang w:val="pt-BR"/>
        </w:rPr>
        <w:t xml:space="preserve">Engenharia Agronômica, Ifal, </w:t>
      </w:r>
      <w:r w:rsidRPr="007C7D9E">
        <w:rPr>
          <w:i/>
          <w:iCs/>
          <w:lang w:val="pt-BR"/>
        </w:rPr>
        <w:t>Campus</w:t>
      </w:r>
      <w:r w:rsidRPr="00B325CB">
        <w:rPr>
          <w:lang w:val="pt-BR"/>
        </w:rPr>
        <w:t xml:space="preserve"> Piranhas.</w:t>
      </w:r>
    </w:p>
  </w:footnote>
  <w:footnote w:id="4">
    <w:p w14:paraId="56F7966D" w14:textId="023E40DF" w:rsidR="00556C09" w:rsidRPr="001E79E0" w:rsidRDefault="00556C09" w:rsidP="001E79E0">
      <w:pPr>
        <w:pStyle w:val="Textodenotaderodap"/>
        <w:rPr>
          <w:lang w:val="pt-BR"/>
        </w:rPr>
      </w:pPr>
      <w:r>
        <w:rPr>
          <w:rStyle w:val="Refdenotaderodap"/>
        </w:rPr>
        <w:footnoteRef/>
      </w:r>
      <w:r>
        <w:rPr>
          <w:lang w:val="pt-BR"/>
        </w:rPr>
        <w:t xml:space="preserve">Graduando em </w:t>
      </w:r>
      <w:r w:rsidRPr="00B325CB">
        <w:rPr>
          <w:lang w:val="pt-BR"/>
        </w:rPr>
        <w:t xml:space="preserve">Engenharia Agronômica, Ifal, </w:t>
      </w:r>
      <w:r w:rsidRPr="007C7D9E">
        <w:rPr>
          <w:i/>
          <w:iCs/>
          <w:lang w:val="pt-BR"/>
        </w:rPr>
        <w:t>Campus</w:t>
      </w:r>
      <w:r w:rsidRPr="00B325CB">
        <w:rPr>
          <w:lang w:val="pt-BR"/>
        </w:rPr>
        <w:t xml:space="preserve"> Piranhas.</w:t>
      </w:r>
    </w:p>
  </w:footnote>
  <w:footnote w:id="5">
    <w:p w14:paraId="3040ADE0" w14:textId="294B6682" w:rsidR="00556C09" w:rsidRPr="001E79E0" w:rsidRDefault="00556C09" w:rsidP="00F52312">
      <w:pPr>
        <w:pStyle w:val="Textodenotaderodap"/>
        <w:rPr>
          <w:lang w:val="pt-BR"/>
        </w:rPr>
      </w:pPr>
      <w:r>
        <w:rPr>
          <w:rStyle w:val="Refdenotaderodap"/>
        </w:rPr>
        <w:footnoteRef/>
      </w:r>
      <w:r>
        <w:rPr>
          <w:lang w:val="pt-BR"/>
        </w:rPr>
        <w:t xml:space="preserve">Graduando em </w:t>
      </w:r>
      <w:r w:rsidRPr="00B325CB">
        <w:rPr>
          <w:lang w:val="pt-BR"/>
        </w:rPr>
        <w:t xml:space="preserve">Engenharia Agronômica, Ifal, </w:t>
      </w:r>
      <w:r w:rsidRPr="007C7D9E">
        <w:rPr>
          <w:i/>
          <w:iCs/>
          <w:lang w:val="pt-BR"/>
        </w:rPr>
        <w:t>Campus</w:t>
      </w:r>
      <w:r w:rsidRPr="00B325CB">
        <w:rPr>
          <w:lang w:val="pt-BR"/>
        </w:rPr>
        <w:t xml:space="preserve"> Piranhas.</w:t>
      </w:r>
    </w:p>
  </w:footnote>
  <w:footnote w:id="6">
    <w:p w14:paraId="54234E43" w14:textId="4CA8453F" w:rsidR="00556C09" w:rsidRPr="001E79E0" w:rsidRDefault="00556C09" w:rsidP="007C7D9E">
      <w:pPr>
        <w:pStyle w:val="Textodenotaderodap"/>
        <w:rPr>
          <w:lang w:val="pt-BR"/>
        </w:rPr>
      </w:pPr>
      <w:r>
        <w:rPr>
          <w:rStyle w:val="Refdenotaderodap"/>
        </w:rPr>
        <w:footnoteRef/>
      </w:r>
      <w:r>
        <w:rPr>
          <w:lang w:val="pt-BR"/>
        </w:rPr>
        <w:t xml:space="preserve">Graduando em Engenharia Agronômica, Ifal, </w:t>
      </w:r>
      <w:r w:rsidRPr="00B02351">
        <w:rPr>
          <w:i/>
          <w:iCs/>
          <w:lang w:val="pt-BR"/>
        </w:rPr>
        <w:t>Campus</w:t>
      </w:r>
      <w:r>
        <w:rPr>
          <w:lang w:val="pt-BR"/>
        </w:rPr>
        <w:t xml:space="preserve"> Piranhas.</w:t>
      </w:r>
    </w:p>
  </w:footnote>
  <w:footnote w:id="7">
    <w:p w14:paraId="578004FA" w14:textId="77777777" w:rsidR="00556C09" w:rsidRPr="001E79E0" w:rsidRDefault="00556C09" w:rsidP="007C7D9E">
      <w:pPr>
        <w:pStyle w:val="Textodenotaderodap"/>
        <w:rPr>
          <w:lang w:val="pt-BR"/>
        </w:rPr>
      </w:pPr>
      <w:r>
        <w:rPr>
          <w:rStyle w:val="Refdenotaderodap"/>
        </w:rPr>
        <w:footnoteRef/>
      </w:r>
      <w:r>
        <w:rPr>
          <w:lang w:val="pt-BR"/>
        </w:rPr>
        <w:t xml:space="preserve">Doutoranda em Engenharia Industrial, Professora de Agroindústria do Ifal, </w:t>
      </w:r>
      <w:r w:rsidRPr="00B02351">
        <w:rPr>
          <w:i/>
          <w:iCs/>
          <w:lang w:val="pt-BR"/>
        </w:rPr>
        <w:t>Campus</w:t>
      </w:r>
      <w:r>
        <w:rPr>
          <w:lang w:val="pt-BR"/>
        </w:rPr>
        <w:t xml:space="preserve"> Piranhas.   </w:t>
      </w:r>
    </w:p>
  </w:footnote>
  <w:footnote w:id="8">
    <w:p w14:paraId="654BD1C5" w14:textId="77777777" w:rsidR="00556C09" w:rsidRPr="001E79E0" w:rsidRDefault="00556C09" w:rsidP="007C7D9E">
      <w:pPr>
        <w:pStyle w:val="Textodenotaderodap"/>
        <w:rPr>
          <w:lang w:val="pt-BR"/>
        </w:rPr>
      </w:pPr>
      <w:r>
        <w:rPr>
          <w:rStyle w:val="Refdenotaderodap"/>
        </w:rPr>
        <w:footnoteRef/>
      </w:r>
      <w:r>
        <w:t xml:space="preserve">Doutor em Fitotecnia, Professor de Engenharia Agronômica do Ifal, </w:t>
      </w:r>
      <w:r w:rsidRPr="007C7D9E">
        <w:rPr>
          <w:i/>
          <w:iCs/>
        </w:rPr>
        <w:t>Campus</w:t>
      </w:r>
      <w:r>
        <w:t xml:space="preserve"> Piranhas.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2318" w14:textId="327A3F27" w:rsidR="00556C09" w:rsidRDefault="00556C09" w:rsidP="00F9377A">
    <w:pPr>
      <w:pStyle w:val="Cabealho"/>
      <w:ind w:left="-737"/>
      <w:jc w:val="center"/>
      <w:rPr>
        <w:i/>
        <w:iCs/>
        <w:color w:val="808080"/>
        <w:sz w:val="18"/>
        <w:szCs w:val="18"/>
        <w:lang w:val="pt-BR"/>
      </w:rPr>
    </w:pPr>
    <w:r>
      <w:rPr>
        <w:i/>
        <w:iCs/>
        <w:noProof/>
        <w:color w:val="808080"/>
        <w:sz w:val="18"/>
        <w:szCs w:val="18"/>
        <w:lang w:val="pt-BR" w:eastAsia="pt-BR"/>
      </w:rPr>
      <w:drawing>
        <wp:anchor distT="0" distB="0" distL="114300" distR="114300" simplePos="0" relativeHeight="251658240" behindDoc="1" locked="0" layoutInCell="1" allowOverlap="1" wp14:anchorId="49DBDAC2" wp14:editId="2277FBD8">
          <wp:simplePos x="0" y="0"/>
          <wp:positionH relativeFrom="margin">
            <wp:align>center</wp:align>
          </wp:positionH>
          <wp:positionV relativeFrom="paragraph">
            <wp:posOffset>5163</wp:posOffset>
          </wp:positionV>
          <wp:extent cx="2133853" cy="938254"/>
          <wp:effectExtent l="0" t="0" r="0" b="0"/>
          <wp:wrapNone/>
          <wp:docPr id="708131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38A24" w14:textId="16D58DF7" w:rsidR="00556C09" w:rsidRPr="00E95812" w:rsidRDefault="00556C09" w:rsidP="0052282A">
    <w:pPr>
      <w:pStyle w:val="Cabealho"/>
      <w:jc w:val="right"/>
      <w:rPr>
        <w:i/>
        <w:iCs/>
        <w:color w:val="808080"/>
        <w:sz w:val="18"/>
        <w:szCs w:val="18"/>
        <w:lang w:val="pt-BR"/>
      </w:rPr>
    </w:pPr>
    <w:r>
      <w:rPr>
        <w:noProof/>
        <w:lang w:val="pt-BR" w:eastAsia="pt-BR"/>
      </w:rPr>
      <w:drawing>
        <wp:anchor distT="0" distB="0" distL="114300" distR="114300" simplePos="0" relativeHeight="251659264" behindDoc="1" locked="0" layoutInCell="1" allowOverlap="1" wp14:anchorId="3AD66F03" wp14:editId="70FC8356">
          <wp:simplePos x="0" y="0"/>
          <wp:positionH relativeFrom="margin">
            <wp:posOffset>275700</wp:posOffset>
          </wp:positionH>
          <wp:positionV relativeFrom="paragraph">
            <wp:posOffset>8172</wp:posOffset>
          </wp:positionV>
          <wp:extent cx="601345" cy="874395"/>
          <wp:effectExtent l="0" t="0" r="8255" b="1905"/>
          <wp:wrapNone/>
          <wp:docPr id="179816408"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808080"/>
        <w:sz w:val="18"/>
        <w:szCs w:val="18"/>
        <w:lang w:val="pt-BR"/>
      </w:rPr>
      <w:t xml:space="preserve">  30 de agosto a 03 de setembro de 2025</w:t>
    </w:r>
  </w:p>
  <w:p w14:paraId="21F1BBC7" w14:textId="00709800" w:rsidR="00556C09" w:rsidRDefault="00556C09" w:rsidP="00F9377A">
    <w:pPr>
      <w:pStyle w:val="Cabealho"/>
      <w:ind w:left="-737"/>
      <w:jc w:val="center"/>
      <w:rPr>
        <w:i/>
        <w:iCs/>
        <w:color w:val="808080"/>
        <w:sz w:val="18"/>
        <w:szCs w:val="18"/>
        <w:lang w:val="pt-BR"/>
      </w:rPr>
    </w:pPr>
  </w:p>
  <w:p w14:paraId="6D2CB01D" w14:textId="5669CBF1" w:rsidR="00556C09" w:rsidRDefault="00556C09" w:rsidP="00427842">
    <w:pPr>
      <w:pStyle w:val="Cabealho"/>
      <w:ind w:left="-737"/>
      <w:rPr>
        <w:i/>
        <w:iCs/>
        <w:color w:val="808080"/>
        <w:sz w:val="18"/>
        <w:szCs w:val="18"/>
        <w:lang w:val="pt-BR"/>
      </w:rPr>
    </w:pPr>
  </w:p>
  <w:p w14:paraId="081C5CF7" w14:textId="77777777" w:rsidR="00556C09" w:rsidRDefault="00556C09" w:rsidP="00F9377A">
    <w:pPr>
      <w:pStyle w:val="Cabealho"/>
      <w:ind w:left="-737"/>
      <w:jc w:val="center"/>
      <w:rPr>
        <w:i/>
        <w:iCs/>
        <w:color w:val="808080"/>
        <w:sz w:val="18"/>
        <w:szCs w:val="18"/>
        <w:lang w:val="pt-BR"/>
      </w:rPr>
    </w:pPr>
  </w:p>
  <w:p w14:paraId="4F089F3A" w14:textId="72B97456" w:rsidR="00556C09" w:rsidRDefault="00556C09" w:rsidP="00F9377A">
    <w:pPr>
      <w:pStyle w:val="Cabealho"/>
      <w:ind w:left="-737"/>
      <w:jc w:val="center"/>
      <w:rPr>
        <w:i/>
        <w:iCs/>
        <w:color w:val="808080"/>
        <w:sz w:val="18"/>
        <w:szCs w:val="18"/>
        <w:lang w:val="pt-BR"/>
      </w:rPr>
    </w:pPr>
  </w:p>
  <w:p w14:paraId="1DC8D4F1" w14:textId="77777777" w:rsidR="00556C09" w:rsidRDefault="00556C09" w:rsidP="00AA7AD6">
    <w:pPr>
      <w:pStyle w:val="Cabealho"/>
      <w:rPr>
        <w:i/>
        <w:iCs/>
        <w:color w:val="808080"/>
        <w:sz w:val="18"/>
        <w:szCs w:val="18"/>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6270" w14:textId="77777777" w:rsidR="00556C09" w:rsidRDefault="00556C09" w:rsidP="00F9377A">
    <w:pPr>
      <w:pStyle w:val="Cabealho"/>
      <w:ind w:left="-737"/>
      <w:jc w:val="center"/>
      <w:rPr>
        <w:i/>
        <w:iCs/>
        <w:color w:val="808080"/>
        <w:sz w:val="18"/>
        <w:szCs w:val="18"/>
        <w:lang w:val="pt-BR"/>
      </w:rPr>
    </w:pPr>
    <w:r>
      <w:rPr>
        <w:noProof/>
        <w:lang w:val="pt-BR" w:eastAsia="pt-BR"/>
      </w:rPr>
      <w:drawing>
        <wp:anchor distT="0" distB="0" distL="114300" distR="114300" simplePos="0" relativeHeight="251662336" behindDoc="1" locked="0" layoutInCell="1" allowOverlap="1" wp14:anchorId="4B36F9A9" wp14:editId="17149533">
          <wp:simplePos x="0" y="0"/>
          <wp:positionH relativeFrom="margin">
            <wp:posOffset>275590</wp:posOffset>
          </wp:positionH>
          <wp:positionV relativeFrom="paragraph">
            <wp:posOffset>50927</wp:posOffset>
          </wp:positionV>
          <wp:extent cx="601345" cy="874395"/>
          <wp:effectExtent l="0" t="0" r="8255" b="1905"/>
          <wp:wrapNone/>
          <wp:docPr id="387862560"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color w:val="808080"/>
        <w:sz w:val="18"/>
        <w:szCs w:val="18"/>
        <w:lang w:val="pt-BR" w:eastAsia="pt-BR"/>
      </w:rPr>
      <w:drawing>
        <wp:anchor distT="0" distB="0" distL="114300" distR="114300" simplePos="0" relativeHeight="251661312" behindDoc="1" locked="0" layoutInCell="1" allowOverlap="1" wp14:anchorId="0BAC7FFA" wp14:editId="73B64101">
          <wp:simplePos x="0" y="0"/>
          <wp:positionH relativeFrom="margin">
            <wp:align>center</wp:align>
          </wp:positionH>
          <wp:positionV relativeFrom="paragraph">
            <wp:posOffset>5163</wp:posOffset>
          </wp:positionV>
          <wp:extent cx="2133853" cy="938254"/>
          <wp:effectExtent l="0" t="0" r="0" b="0"/>
          <wp:wrapNone/>
          <wp:docPr id="19754068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C1D6F" w14:textId="77777777" w:rsidR="00556C09" w:rsidRPr="00E95812" w:rsidRDefault="00556C09" w:rsidP="0052282A">
    <w:pPr>
      <w:pStyle w:val="Cabealho"/>
      <w:jc w:val="right"/>
      <w:rPr>
        <w:i/>
        <w:iCs/>
        <w:color w:val="808080"/>
        <w:sz w:val="18"/>
        <w:szCs w:val="18"/>
        <w:lang w:val="pt-BR"/>
      </w:rPr>
    </w:pPr>
    <w:r>
      <w:rPr>
        <w:i/>
        <w:iCs/>
        <w:color w:val="808080"/>
        <w:sz w:val="18"/>
        <w:szCs w:val="18"/>
        <w:lang w:val="pt-BR"/>
      </w:rPr>
      <w:t xml:space="preserve">  30 de agosto a 03 de setembro de 2025</w:t>
    </w:r>
  </w:p>
  <w:p w14:paraId="46C1EE63" w14:textId="77777777" w:rsidR="00556C09" w:rsidRDefault="00556C09" w:rsidP="00F9377A">
    <w:pPr>
      <w:pStyle w:val="Cabealho"/>
      <w:ind w:left="-737"/>
      <w:jc w:val="center"/>
      <w:rPr>
        <w:i/>
        <w:iCs/>
        <w:color w:val="808080"/>
        <w:sz w:val="18"/>
        <w:szCs w:val="18"/>
        <w:lang w:val="pt-BR"/>
      </w:rPr>
    </w:pPr>
  </w:p>
  <w:p w14:paraId="18E3153F" w14:textId="77777777" w:rsidR="00556C09" w:rsidRDefault="00556C09" w:rsidP="00427842">
    <w:pPr>
      <w:pStyle w:val="Cabealho"/>
      <w:ind w:left="-737"/>
      <w:rPr>
        <w:i/>
        <w:iCs/>
        <w:color w:val="808080"/>
        <w:sz w:val="18"/>
        <w:szCs w:val="18"/>
        <w:lang w:val="pt-BR"/>
      </w:rPr>
    </w:pPr>
  </w:p>
  <w:p w14:paraId="5AB2DE16" w14:textId="77777777" w:rsidR="00556C09" w:rsidRDefault="00556C09" w:rsidP="00F9377A">
    <w:pPr>
      <w:pStyle w:val="Cabealho"/>
      <w:ind w:left="-737"/>
      <w:jc w:val="center"/>
      <w:rPr>
        <w:i/>
        <w:iCs/>
        <w:color w:val="808080"/>
        <w:sz w:val="18"/>
        <w:szCs w:val="18"/>
        <w:lang w:val="pt-BR"/>
      </w:rPr>
    </w:pPr>
  </w:p>
  <w:p w14:paraId="1AFEE7C8" w14:textId="77777777" w:rsidR="00556C09" w:rsidRDefault="00556C09" w:rsidP="00F9377A">
    <w:pPr>
      <w:pStyle w:val="Cabealho"/>
      <w:ind w:left="-737"/>
      <w:jc w:val="center"/>
      <w:rPr>
        <w:i/>
        <w:iCs/>
        <w:color w:val="808080"/>
        <w:sz w:val="18"/>
        <w:szCs w:val="18"/>
        <w:lang w:val="pt-BR"/>
      </w:rPr>
    </w:pPr>
  </w:p>
  <w:p w14:paraId="400EABD0" w14:textId="77777777" w:rsidR="00556C09" w:rsidRDefault="00556C09" w:rsidP="00AA7AD6">
    <w:pPr>
      <w:pStyle w:val="Cabealho"/>
      <w:rPr>
        <w:i/>
        <w:iCs/>
        <w:color w:val="808080"/>
        <w:sz w:val="18"/>
        <w:szCs w:val="18"/>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4BC6" w14:textId="77777777" w:rsidR="00556C09" w:rsidRPr="00C106F7" w:rsidRDefault="00556C09" w:rsidP="00C106F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4"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5"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9" w15:restartNumberingAfterBreak="0">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15:restartNumberingAfterBreak="0">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17"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18"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19" w15:restartNumberingAfterBreak="0">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4"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28"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num w:numId="1">
    <w:abstractNumId w:val="7"/>
  </w:num>
  <w:num w:numId="2">
    <w:abstractNumId w:val="5"/>
  </w:num>
  <w:num w:numId="3">
    <w:abstractNumId w:val="10"/>
  </w:num>
  <w:num w:numId="4">
    <w:abstractNumId w:val="13"/>
  </w:num>
  <w:num w:numId="5">
    <w:abstractNumId w:val="26"/>
  </w:num>
  <w:num w:numId="6">
    <w:abstractNumId w:val="27"/>
  </w:num>
  <w:num w:numId="7">
    <w:abstractNumId w:val="0"/>
  </w:num>
  <w:num w:numId="8">
    <w:abstractNumId w:val="12"/>
  </w:num>
  <w:num w:numId="9">
    <w:abstractNumId w:val="23"/>
  </w:num>
  <w:num w:numId="10">
    <w:abstractNumId w:val="20"/>
  </w:num>
  <w:num w:numId="11">
    <w:abstractNumId w:val="18"/>
  </w:num>
  <w:num w:numId="12">
    <w:abstractNumId w:val="14"/>
  </w:num>
  <w:num w:numId="13">
    <w:abstractNumId w:val="2"/>
  </w:num>
  <w:num w:numId="14">
    <w:abstractNumId w:val="3"/>
  </w:num>
  <w:num w:numId="15">
    <w:abstractNumId w:val="11"/>
  </w:num>
  <w:num w:numId="16">
    <w:abstractNumId w:val="8"/>
  </w:num>
  <w:num w:numId="17">
    <w:abstractNumId w:val="16"/>
  </w:num>
  <w:num w:numId="18">
    <w:abstractNumId w:val="17"/>
  </w:num>
  <w:num w:numId="19">
    <w:abstractNumId w:val="28"/>
  </w:num>
  <w:num w:numId="20">
    <w:abstractNumId w:val="1"/>
  </w:num>
  <w:num w:numId="21">
    <w:abstractNumId w:val="24"/>
  </w:num>
  <w:num w:numId="22">
    <w:abstractNumId w:val="4"/>
  </w:num>
  <w:num w:numId="23">
    <w:abstractNumId w:val="15"/>
  </w:num>
  <w:num w:numId="24">
    <w:abstractNumId w:val="25"/>
  </w:num>
  <w:num w:numId="25">
    <w:abstractNumId w:val="22"/>
  </w:num>
  <w:num w:numId="26">
    <w:abstractNumId w:val="21"/>
  </w:num>
  <w:num w:numId="27">
    <w:abstractNumId w:val="19"/>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4B"/>
    <w:rsid w:val="000019B1"/>
    <w:rsid w:val="00001A23"/>
    <w:rsid w:val="00001EC8"/>
    <w:rsid w:val="00007B94"/>
    <w:rsid w:val="00016625"/>
    <w:rsid w:val="00022191"/>
    <w:rsid w:val="00026E84"/>
    <w:rsid w:val="000300B7"/>
    <w:rsid w:val="00032B91"/>
    <w:rsid w:val="00032CD7"/>
    <w:rsid w:val="0003765F"/>
    <w:rsid w:val="00047306"/>
    <w:rsid w:val="000550D5"/>
    <w:rsid w:val="00055BEC"/>
    <w:rsid w:val="00056447"/>
    <w:rsid w:val="00060E4A"/>
    <w:rsid w:val="00066E9D"/>
    <w:rsid w:val="00067585"/>
    <w:rsid w:val="00073A18"/>
    <w:rsid w:val="000756C2"/>
    <w:rsid w:val="000910C0"/>
    <w:rsid w:val="000B1783"/>
    <w:rsid w:val="000B1D0D"/>
    <w:rsid w:val="000C0D32"/>
    <w:rsid w:val="000C3934"/>
    <w:rsid w:val="000D2C31"/>
    <w:rsid w:val="000D66F1"/>
    <w:rsid w:val="00101B30"/>
    <w:rsid w:val="0010368D"/>
    <w:rsid w:val="00116359"/>
    <w:rsid w:val="0012226A"/>
    <w:rsid w:val="00123DB9"/>
    <w:rsid w:val="00126BC5"/>
    <w:rsid w:val="00143910"/>
    <w:rsid w:val="00147716"/>
    <w:rsid w:val="00150876"/>
    <w:rsid w:val="00163993"/>
    <w:rsid w:val="00164BBD"/>
    <w:rsid w:val="001745C4"/>
    <w:rsid w:val="0017757F"/>
    <w:rsid w:val="0019167B"/>
    <w:rsid w:val="0019531B"/>
    <w:rsid w:val="001A0F88"/>
    <w:rsid w:val="001A15D9"/>
    <w:rsid w:val="001B38FB"/>
    <w:rsid w:val="001B7828"/>
    <w:rsid w:val="001C12C0"/>
    <w:rsid w:val="001C18F0"/>
    <w:rsid w:val="001D35C6"/>
    <w:rsid w:val="001E09A3"/>
    <w:rsid w:val="001E468E"/>
    <w:rsid w:val="001E54D9"/>
    <w:rsid w:val="001E79E0"/>
    <w:rsid w:val="00200EE0"/>
    <w:rsid w:val="00214C55"/>
    <w:rsid w:val="002170C3"/>
    <w:rsid w:val="002257A5"/>
    <w:rsid w:val="00231618"/>
    <w:rsid w:val="00241A5E"/>
    <w:rsid w:val="00242913"/>
    <w:rsid w:val="0024555C"/>
    <w:rsid w:val="002469E9"/>
    <w:rsid w:val="002471BA"/>
    <w:rsid w:val="00255B6C"/>
    <w:rsid w:val="00263687"/>
    <w:rsid w:val="002650C5"/>
    <w:rsid w:val="0027369D"/>
    <w:rsid w:val="0028361F"/>
    <w:rsid w:val="00293F58"/>
    <w:rsid w:val="002B5E5D"/>
    <w:rsid w:val="002C767A"/>
    <w:rsid w:val="002D0C6F"/>
    <w:rsid w:val="002D39C0"/>
    <w:rsid w:val="002F145A"/>
    <w:rsid w:val="002F5656"/>
    <w:rsid w:val="002F5951"/>
    <w:rsid w:val="00323551"/>
    <w:rsid w:val="003413B1"/>
    <w:rsid w:val="003700BE"/>
    <w:rsid w:val="00393414"/>
    <w:rsid w:val="003A1093"/>
    <w:rsid w:val="003A1A27"/>
    <w:rsid w:val="003A6F1D"/>
    <w:rsid w:val="003B1CC8"/>
    <w:rsid w:val="003D634B"/>
    <w:rsid w:val="003D7D92"/>
    <w:rsid w:val="003E256B"/>
    <w:rsid w:val="003E70A2"/>
    <w:rsid w:val="00410619"/>
    <w:rsid w:val="00427842"/>
    <w:rsid w:val="004443B1"/>
    <w:rsid w:val="00454EA5"/>
    <w:rsid w:val="004643AE"/>
    <w:rsid w:val="00474A87"/>
    <w:rsid w:val="00481C0B"/>
    <w:rsid w:val="00487F46"/>
    <w:rsid w:val="00494EE5"/>
    <w:rsid w:val="004C489F"/>
    <w:rsid w:val="004C4C12"/>
    <w:rsid w:val="004D03A7"/>
    <w:rsid w:val="004D0843"/>
    <w:rsid w:val="004D2E5D"/>
    <w:rsid w:val="004D5806"/>
    <w:rsid w:val="004E7137"/>
    <w:rsid w:val="004E7868"/>
    <w:rsid w:val="004F0258"/>
    <w:rsid w:val="004F7806"/>
    <w:rsid w:val="00501D26"/>
    <w:rsid w:val="00507357"/>
    <w:rsid w:val="0051356C"/>
    <w:rsid w:val="0052282A"/>
    <w:rsid w:val="00522CCB"/>
    <w:rsid w:val="00523622"/>
    <w:rsid w:val="005309DE"/>
    <w:rsid w:val="00556C09"/>
    <w:rsid w:val="005576C8"/>
    <w:rsid w:val="0057626B"/>
    <w:rsid w:val="0058376C"/>
    <w:rsid w:val="00583857"/>
    <w:rsid w:val="005B1819"/>
    <w:rsid w:val="005B5987"/>
    <w:rsid w:val="005D11A2"/>
    <w:rsid w:val="005D3BBB"/>
    <w:rsid w:val="005E2945"/>
    <w:rsid w:val="005F2DCA"/>
    <w:rsid w:val="00611AFC"/>
    <w:rsid w:val="00615765"/>
    <w:rsid w:val="00630530"/>
    <w:rsid w:val="00635CCC"/>
    <w:rsid w:val="00643E0A"/>
    <w:rsid w:val="00666873"/>
    <w:rsid w:val="00692042"/>
    <w:rsid w:val="006B1DE6"/>
    <w:rsid w:val="006B2A0F"/>
    <w:rsid w:val="006B471C"/>
    <w:rsid w:val="006B56B2"/>
    <w:rsid w:val="006C71AD"/>
    <w:rsid w:val="006D0BF7"/>
    <w:rsid w:val="006D6ECB"/>
    <w:rsid w:val="006D710A"/>
    <w:rsid w:val="006E12D8"/>
    <w:rsid w:val="006E1460"/>
    <w:rsid w:val="006E2624"/>
    <w:rsid w:val="006F067A"/>
    <w:rsid w:val="006F1459"/>
    <w:rsid w:val="006F5AC7"/>
    <w:rsid w:val="006F762D"/>
    <w:rsid w:val="007048B8"/>
    <w:rsid w:val="0071229A"/>
    <w:rsid w:val="0073209A"/>
    <w:rsid w:val="00742D72"/>
    <w:rsid w:val="00747ADB"/>
    <w:rsid w:val="00751B4B"/>
    <w:rsid w:val="00752B5D"/>
    <w:rsid w:val="00763B1D"/>
    <w:rsid w:val="00763F82"/>
    <w:rsid w:val="00771586"/>
    <w:rsid w:val="00790B42"/>
    <w:rsid w:val="00793AFF"/>
    <w:rsid w:val="007A6879"/>
    <w:rsid w:val="007C7D9E"/>
    <w:rsid w:val="007D774C"/>
    <w:rsid w:val="007E292A"/>
    <w:rsid w:val="007E3B09"/>
    <w:rsid w:val="007E5F69"/>
    <w:rsid w:val="008001D1"/>
    <w:rsid w:val="00805A73"/>
    <w:rsid w:val="00807615"/>
    <w:rsid w:val="00811A9E"/>
    <w:rsid w:val="00820EC2"/>
    <w:rsid w:val="008243C8"/>
    <w:rsid w:val="008447E1"/>
    <w:rsid w:val="008712C1"/>
    <w:rsid w:val="008731AD"/>
    <w:rsid w:val="008B4AEF"/>
    <w:rsid w:val="008B5D29"/>
    <w:rsid w:val="008C57FB"/>
    <w:rsid w:val="008D2A4B"/>
    <w:rsid w:val="008D449E"/>
    <w:rsid w:val="008E3075"/>
    <w:rsid w:val="008E3F5F"/>
    <w:rsid w:val="008E576B"/>
    <w:rsid w:val="008F099A"/>
    <w:rsid w:val="008F5803"/>
    <w:rsid w:val="00903A76"/>
    <w:rsid w:val="00913538"/>
    <w:rsid w:val="009135E7"/>
    <w:rsid w:val="0091596E"/>
    <w:rsid w:val="00917CE7"/>
    <w:rsid w:val="00927374"/>
    <w:rsid w:val="00927951"/>
    <w:rsid w:val="0093620F"/>
    <w:rsid w:val="00946990"/>
    <w:rsid w:val="00950CA7"/>
    <w:rsid w:val="009561BD"/>
    <w:rsid w:val="0096067C"/>
    <w:rsid w:val="009773AD"/>
    <w:rsid w:val="00977FB7"/>
    <w:rsid w:val="0098384C"/>
    <w:rsid w:val="00995F33"/>
    <w:rsid w:val="009978AB"/>
    <w:rsid w:val="009A20D7"/>
    <w:rsid w:val="009B4867"/>
    <w:rsid w:val="009E472C"/>
    <w:rsid w:val="009F0065"/>
    <w:rsid w:val="009F4503"/>
    <w:rsid w:val="00A06848"/>
    <w:rsid w:val="00A12347"/>
    <w:rsid w:val="00A23BEC"/>
    <w:rsid w:val="00A27277"/>
    <w:rsid w:val="00A33F6C"/>
    <w:rsid w:val="00A5232C"/>
    <w:rsid w:val="00A60E95"/>
    <w:rsid w:val="00A74E4A"/>
    <w:rsid w:val="00A82674"/>
    <w:rsid w:val="00A9601F"/>
    <w:rsid w:val="00AA3CD8"/>
    <w:rsid w:val="00AA7AD6"/>
    <w:rsid w:val="00AB3689"/>
    <w:rsid w:val="00AB4F92"/>
    <w:rsid w:val="00AB54DF"/>
    <w:rsid w:val="00AB5564"/>
    <w:rsid w:val="00AC01A7"/>
    <w:rsid w:val="00AC44C8"/>
    <w:rsid w:val="00AD5E40"/>
    <w:rsid w:val="00AE50D5"/>
    <w:rsid w:val="00AE6E5C"/>
    <w:rsid w:val="00AE752E"/>
    <w:rsid w:val="00AF40BE"/>
    <w:rsid w:val="00AF53BE"/>
    <w:rsid w:val="00AF6C36"/>
    <w:rsid w:val="00B074F6"/>
    <w:rsid w:val="00B14A66"/>
    <w:rsid w:val="00B30162"/>
    <w:rsid w:val="00B325CB"/>
    <w:rsid w:val="00B34870"/>
    <w:rsid w:val="00B57D03"/>
    <w:rsid w:val="00B95D23"/>
    <w:rsid w:val="00BA0926"/>
    <w:rsid w:val="00BA6C7F"/>
    <w:rsid w:val="00BA7CDC"/>
    <w:rsid w:val="00BB05B1"/>
    <w:rsid w:val="00BC5ABC"/>
    <w:rsid w:val="00BD1AE0"/>
    <w:rsid w:val="00BD2B9C"/>
    <w:rsid w:val="00BD30AD"/>
    <w:rsid w:val="00BD4A2D"/>
    <w:rsid w:val="00BE35CF"/>
    <w:rsid w:val="00BE4D31"/>
    <w:rsid w:val="00BE66DB"/>
    <w:rsid w:val="00BE7BB5"/>
    <w:rsid w:val="00BF434F"/>
    <w:rsid w:val="00BF735D"/>
    <w:rsid w:val="00C106F7"/>
    <w:rsid w:val="00C16A5F"/>
    <w:rsid w:val="00C17DB8"/>
    <w:rsid w:val="00C24F16"/>
    <w:rsid w:val="00C2630F"/>
    <w:rsid w:val="00C26BBA"/>
    <w:rsid w:val="00C333BE"/>
    <w:rsid w:val="00C40089"/>
    <w:rsid w:val="00C40C54"/>
    <w:rsid w:val="00C5439B"/>
    <w:rsid w:val="00C61A29"/>
    <w:rsid w:val="00C70765"/>
    <w:rsid w:val="00C80028"/>
    <w:rsid w:val="00C8755F"/>
    <w:rsid w:val="00C90476"/>
    <w:rsid w:val="00C94273"/>
    <w:rsid w:val="00C96CF6"/>
    <w:rsid w:val="00CB1935"/>
    <w:rsid w:val="00CB690F"/>
    <w:rsid w:val="00CC11D7"/>
    <w:rsid w:val="00CC5735"/>
    <w:rsid w:val="00CC73DA"/>
    <w:rsid w:val="00CD09F1"/>
    <w:rsid w:val="00CE0BB3"/>
    <w:rsid w:val="00CF53E6"/>
    <w:rsid w:val="00D009B2"/>
    <w:rsid w:val="00D052B2"/>
    <w:rsid w:val="00D24C8F"/>
    <w:rsid w:val="00D36948"/>
    <w:rsid w:val="00D43FAB"/>
    <w:rsid w:val="00D46245"/>
    <w:rsid w:val="00D51CFD"/>
    <w:rsid w:val="00D53D44"/>
    <w:rsid w:val="00D711EA"/>
    <w:rsid w:val="00D715EA"/>
    <w:rsid w:val="00D72A77"/>
    <w:rsid w:val="00D743A7"/>
    <w:rsid w:val="00D75192"/>
    <w:rsid w:val="00D9172C"/>
    <w:rsid w:val="00DA1700"/>
    <w:rsid w:val="00DB262B"/>
    <w:rsid w:val="00DB4FFE"/>
    <w:rsid w:val="00DC37BC"/>
    <w:rsid w:val="00DC5E42"/>
    <w:rsid w:val="00DD7DDB"/>
    <w:rsid w:val="00DE0271"/>
    <w:rsid w:val="00DF0CBB"/>
    <w:rsid w:val="00DF3670"/>
    <w:rsid w:val="00DF6AF8"/>
    <w:rsid w:val="00E0392F"/>
    <w:rsid w:val="00E1467A"/>
    <w:rsid w:val="00E27178"/>
    <w:rsid w:val="00E348EF"/>
    <w:rsid w:val="00E500B8"/>
    <w:rsid w:val="00E5152B"/>
    <w:rsid w:val="00E62984"/>
    <w:rsid w:val="00E70CCB"/>
    <w:rsid w:val="00E7713E"/>
    <w:rsid w:val="00E847A5"/>
    <w:rsid w:val="00E84FEB"/>
    <w:rsid w:val="00E85F1E"/>
    <w:rsid w:val="00E941FC"/>
    <w:rsid w:val="00E94256"/>
    <w:rsid w:val="00E95812"/>
    <w:rsid w:val="00E968E7"/>
    <w:rsid w:val="00EB00D9"/>
    <w:rsid w:val="00EB0BB6"/>
    <w:rsid w:val="00EB374E"/>
    <w:rsid w:val="00EB67F7"/>
    <w:rsid w:val="00EB732E"/>
    <w:rsid w:val="00EC5786"/>
    <w:rsid w:val="00ED0F86"/>
    <w:rsid w:val="00ED4028"/>
    <w:rsid w:val="00EE7ACF"/>
    <w:rsid w:val="00EF3E49"/>
    <w:rsid w:val="00EF41F1"/>
    <w:rsid w:val="00EF7F14"/>
    <w:rsid w:val="00F05249"/>
    <w:rsid w:val="00F20833"/>
    <w:rsid w:val="00F364BB"/>
    <w:rsid w:val="00F52312"/>
    <w:rsid w:val="00F76A8B"/>
    <w:rsid w:val="00F80913"/>
    <w:rsid w:val="00F85701"/>
    <w:rsid w:val="00F867FE"/>
    <w:rsid w:val="00F87BE3"/>
    <w:rsid w:val="00F9377A"/>
    <w:rsid w:val="00F9655D"/>
    <w:rsid w:val="00FA0240"/>
    <w:rsid w:val="00FB3B01"/>
    <w:rsid w:val="00FB5DDE"/>
    <w:rsid w:val="00FC42D1"/>
    <w:rsid w:val="00FC4B3C"/>
    <w:rsid w:val="00FE0E22"/>
    <w:rsid w:val="00FE6557"/>
    <w:rsid w:val="00FF024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94B78"/>
  <w15:chartTrackingRefBased/>
  <w15:docId w15:val="{82B9BCF2-4FF2-47F8-AAAA-17127111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A3"/>
    <w:pPr>
      <w:jc w:val="both"/>
    </w:pPr>
    <w:rPr>
      <w:rFonts w:ascii="Arial" w:hAnsi="Arial"/>
      <w:lang w:val="en-GB"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lang w:val="pt-BR"/>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lang w:val="pt-BR"/>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35"/>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qFormat/>
    <w:rsid w:val="0091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3E256B"/>
    <w:pPr>
      <w:spacing w:before="120" w:after="120"/>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val="pt-BR"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val="pt-BR"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customStyle="1" w:styleId="MenoPendente1">
    <w:name w:val="Menção Pendente1"/>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 w:type="table" w:customStyle="1" w:styleId="TabeladeLista1Clara1">
    <w:name w:val="Tabela de Lista 1 Clara1"/>
    <w:basedOn w:val="Tabelanormal"/>
    <w:uiPriority w:val="46"/>
    <w:rsid w:val="00790B42"/>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5907B-0182-4ED3-A334-D09C57AC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5</Pages>
  <Words>2196</Words>
  <Characters>11862</Characters>
  <Application>Microsoft Office Word</Application>
  <DocSecurity>0</DocSecurity>
  <Lines>98</Lines>
  <Paragraphs>28</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Abstract template for the IDS 2006</vt:lpstr>
      <vt:lpstr>Abstract template for the IDS 2006</vt:lpstr>
      <vt:lpstr>Abstract template for the IDS 2006</vt:lpstr>
    </vt:vector>
  </TitlesOfParts>
  <Company>SZIE FFT</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ÊNIO</cp:lastModifiedBy>
  <cp:revision>107</cp:revision>
  <cp:lastPrinted>2006-01-16T18:53:00Z</cp:lastPrinted>
  <dcterms:created xsi:type="dcterms:W3CDTF">2021-07-20T03:05:00Z</dcterms:created>
  <dcterms:modified xsi:type="dcterms:W3CDTF">2025-08-21T01:26:00Z</dcterms:modified>
</cp:coreProperties>
</file>