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8E5F" w14:textId="311FC350" w:rsidR="00AD5889" w:rsidRPr="00AD5889" w:rsidRDefault="00AD5889" w:rsidP="00AD588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5889">
        <w:rPr>
          <w:rFonts w:ascii="Arial" w:hAnsi="Arial" w:cs="Arial"/>
          <w:b/>
          <w:bCs/>
          <w:color w:val="000000" w:themeColor="text1"/>
          <w:sz w:val="28"/>
          <w:szCs w:val="28"/>
        </w:rPr>
        <w:t>PÓ</w:t>
      </w:r>
      <w:r w:rsidR="004B1A83" w:rsidRPr="00AD58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2AE7E26D" w:rsidRPr="00AD5889">
        <w:rPr>
          <w:rFonts w:ascii="Arial" w:hAnsi="Arial" w:cs="Arial"/>
          <w:b/>
          <w:bCs/>
          <w:color w:val="000000" w:themeColor="text1"/>
          <w:sz w:val="28"/>
          <w:szCs w:val="28"/>
        </w:rPr>
        <w:t>DA CONCHA DO MEXILHÃO-DOURADO CONTROLA</w:t>
      </w:r>
      <w:r w:rsidRPr="00AD58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661FEF65" w14:textId="722FE2EF" w:rsidR="009646FD" w:rsidRPr="009646FD" w:rsidRDefault="2AE7E26D" w:rsidP="009646F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58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NEMATOIDE-DAS-GALHAS </w:t>
      </w:r>
      <w:r w:rsidR="00AD5889" w:rsidRPr="00AD5889">
        <w:rPr>
          <w:rFonts w:ascii="Arial" w:hAnsi="Arial" w:cs="Arial"/>
          <w:b/>
          <w:bCs/>
          <w:color w:val="000000" w:themeColor="text1"/>
          <w:sz w:val="28"/>
          <w:szCs w:val="28"/>
        </w:rPr>
        <w:t>NA CULTURA DO</w:t>
      </w:r>
      <w:r w:rsidRPr="00AD58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70963" w:rsidRPr="00AD5889">
        <w:rPr>
          <w:rFonts w:ascii="Arial" w:hAnsi="Arial" w:cs="Arial"/>
          <w:b/>
          <w:bCs/>
          <w:color w:val="000000" w:themeColor="text1"/>
          <w:sz w:val="28"/>
          <w:szCs w:val="28"/>
        </w:rPr>
        <w:t>QUIABEIRO</w:t>
      </w:r>
    </w:p>
    <w:p w14:paraId="7B73CD6A" w14:textId="0C2F4A15" w:rsidR="005134E2" w:rsidRDefault="00AD5889" w:rsidP="009A6AAF">
      <w:pPr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0C1ACB">
        <w:rPr>
          <w:rFonts w:ascii="Arial" w:hAnsi="Arial" w:cs="Arial"/>
          <w:color w:val="000000" w:themeColor="text1"/>
          <w:sz w:val="20"/>
          <w:szCs w:val="20"/>
        </w:rPr>
        <w:t>Ester da Silva Costa</w:t>
      </w:r>
      <w:r w:rsidR="00F90276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</w:p>
    <w:p w14:paraId="2576CD8E" w14:textId="6DD80989" w:rsidR="00F90276" w:rsidRDefault="00F90276" w:rsidP="00F90276">
      <w:pPr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C1ACB">
        <w:rPr>
          <w:rFonts w:ascii="Arial" w:hAnsi="Arial" w:cs="Arial"/>
          <w:color w:val="000000" w:themeColor="text1"/>
          <w:sz w:val="20"/>
          <w:szCs w:val="20"/>
        </w:rPr>
        <w:t>Cathylen</w:t>
      </w:r>
      <w:proofErr w:type="spellEnd"/>
      <w:r w:rsidRPr="000C1ACB">
        <w:rPr>
          <w:rFonts w:ascii="Arial" w:hAnsi="Arial" w:cs="Arial"/>
          <w:color w:val="000000" w:themeColor="text1"/>
          <w:sz w:val="20"/>
          <w:szCs w:val="20"/>
        </w:rPr>
        <w:t xml:space="preserve"> Almeida Félix Galindo</w:t>
      </w:r>
      <w:r w:rsidR="00B301D7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</w:p>
    <w:p w14:paraId="1EDCE67F" w14:textId="77777777" w:rsidR="00C16C9A" w:rsidRPr="000C1ACB" w:rsidRDefault="00C16C9A" w:rsidP="00C16C9A">
      <w:pPr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C1ACB">
        <w:rPr>
          <w:rFonts w:ascii="Arial" w:hAnsi="Arial" w:cs="Arial"/>
          <w:color w:val="000000" w:themeColor="text1"/>
          <w:sz w:val="20"/>
          <w:szCs w:val="20"/>
        </w:rPr>
        <w:t>Rayane da Silva Santos</w:t>
      </w:r>
      <w:r w:rsidRPr="000C1A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</w:p>
    <w:p w14:paraId="592A3506" w14:textId="62D37958" w:rsidR="00C16C9A" w:rsidRDefault="00AD5889" w:rsidP="00C16C9A">
      <w:pPr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Luiz Filipe</w:t>
      </w:r>
      <w:r w:rsidR="00C16C9A" w:rsidRPr="000C1ACB">
        <w:rPr>
          <w:rFonts w:ascii="Arial" w:hAnsi="Arial" w:cs="Arial"/>
          <w:color w:val="000000" w:themeColor="text1"/>
          <w:sz w:val="20"/>
          <w:szCs w:val="20"/>
        </w:rPr>
        <w:t xml:space="preserve"> Barbosa Varjão</w:t>
      </w:r>
      <w:r w:rsidR="00C16C9A" w:rsidRPr="000C1A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4</w:t>
      </w:r>
      <w:r w:rsidR="00C16C9A" w:rsidRPr="000C1A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5C7F01C" w14:textId="09F5C444" w:rsidR="009A6AAF" w:rsidRPr="009A6AAF" w:rsidRDefault="009A6AAF" w:rsidP="009A6AAF">
      <w:pPr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9A6AAF">
        <w:rPr>
          <w:rFonts w:ascii="Arial" w:hAnsi="Arial" w:cs="Arial"/>
          <w:color w:val="000000" w:themeColor="text1"/>
          <w:sz w:val="20"/>
          <w:szCs w:val="20"/>
        </w:rPr>
        <w:t>Yasmin Vitória da Silva Rocha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5</w:t>
      </w:r>
    </w:p>
    <w:p w14:paraId="330530B1" w14:textId="71298ED0" w:rsidR="00C16C9A" w:rsidRPr="000C1ACB" w:rsidRDefault="0061353D" w:rsidP="00C16C9A">
      <w:pPr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0C1ACB">
        <w:rPr>
          <w:rFonts w:ascii="Arial" w:hAnsi="Arial" w:cs="Arial"/>
          <w:color w:val="000000" w:themeColor="text1"/>
          <w:sz w:val="20"/>
          <w:szCs w:val="20"/>
        </w:rPr>
        <w:t>Ma</w:t>
      </w:r>
      <w:r w:rsidR="009646FD">
        <w:rPr>
          <w:rFonts w:ascii="Arial" w:hAnsi="Arial" w:cs="Arial"/>
          <w:color w:val="000000" w:themeColor="text1"/>
          <w:sz w:val="20"/>
          <w:szCs w:val="20"/>
        </w:rPr>
        <w:t>r</w:t>
      </w:r>
      <w:r w:rsidRPr="000C1ACB">
        <w:rPr>
          <w:rFonts w:ascii="Arial" w:hAnsi="Arial" w:cs="Arial"/>
          <w:color w:val="000000" w:themeColor="text1"/>
          <w:sz w:val="20"/>
          <w:szCs w:val="20"/>
        </w:rPr>
        <w:t>ciele</w:t>
      </w:r>
      <w:proofErr w:type="spellEnd"/>
      <w:r w:rsidRPr="000C1ACB">
        <w:rPr>
          <w:rFonts w:ascii="Arial" w:hAnsi="Arial" w:cs="Arial"/>
          <w:color w:val="000000" w:themeColor="text1"/>
          <w:sz w:val="20"/>
          <w:szCs w:val="20"/>
        </w:rPr>
        <w:t xml:space="preserve"> Muniz dos Santos</w:t>
      </w:r>
      <w:r w:rsidR="00C16C9A" w:rsidRPr="000C1A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6</w:t>
      </w:r>
    </w:p>
    <w:p w14:paraId="6929C2A7" w14:textId="6015306D" w:rsidR="00C16C9A" w:rsidRPr="000C1ACB" w:rsidRDefault="00C16C9A" w:rsidP="00C16C9A">
      <w:pPr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C1ACB">
        <w:rPr>
          <w:rFonts w:ascii="Arial" w:hAnsi="Arial" w:cs="Arial"/>
          <w:color w:val="000000" w:themeColor="text1"/>
          <w:sz w:val="20"/>
          <w:szCs w:val="20"/>
        </w:rPr>
        <w:t>Ronny Francisco Marques de Souza</w:t>
      </w:r>
      <w:r w:rsidRPr="000C1A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7</w:t>
      </w:r>
    </w:p>
    <w:p w14:paraId="021D5E08" w14:textId="193E71F4" w:rsidR="00C16C9A" w:rsidRPr="000C1ACB" w:rsidRDefault="00C16C9A" w:rsidP="00C16C9A">
      <w:pPr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C1ACB">
        <w:rPr>
          <w:rFonts w:ascii="Arial" w:hAnsi="Arial" w:cs="Arial"/>
          <w:color w:val="000000" w:themeColor="text1"/>
          <w:sz w:val="20"/>
          <w:szCs w:val="20"/>
        </w:rPr>
        <w:t>Kleyton Danilo da Silva Costa</w:t>
      </w:r>
      <w:r w:rsidRPr="000C1ACB">
        <w:rPr>
          <w:rFonts w:ascii="Arial" w:hAnsi="Arial" w:cs="Arial"/>
          <w:color w:val="000000" w:themeColor="text1"/>
          <w:sz w:val="20"/>
          <w:szCs w:val="20"/>
          <w:vertAlign w:val="superscript"/>
        </w:rPr>
        <w:t>8</w:t>
      </w:r>
    </w:p>
    <w:p w14:paraId="3BAD18D2" w14:textId="77777777" w:rsidR="00C16C9A" w:rsidRPr="000C1ACB" w:rsidRDefault="00C16C9A" w:rsidP="00C16C9A">
      <w:pPr>
        <w:pStyle w:val="Ttulo1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1ACB">
        <w:rPr>
          <w:rFonts w:ascii="Arial" w:hAnsi="Arial" w:cs="Arial"/>
          <w:b/>
          <w:bCs/>
          <w:color w:val="000000" w:themeColor="text1"/>
          <w:sz w:val="24"/>
          <w:szCs w:val="24"/>
        </w:rPr>
        <w:t>INTRODUÇÃO</w:t>
      </w:r>
    </w:p>
    <w:p w14:paraId="6486873D" w14:textId="6258AB22" w:rsidR="006651BB" w:rsidRDefault="006651BB" w:rsidP="00303573">
      <w:pPr>
        <w:spacing w:after="120" w:line="24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6651BB">
        <w:rPr>
          <w:rFonts w:ascii="Arial" w:eastAsia="Arial" w:hAnsi="Arial" w:cs="Arial"/>
          <w:color w:val="000000" w:themeColor="text1"/>
        </w:rPr>
        <w:t>A cultura do quiabeiro (</w:t>
      </w:r>
      <w:proofErr w:type="spellStart"/>
      <w:r w:rsidRPr="006651BB">
        <w:rPr>
          <w:rFonts w:ascii="Arial" w:eastAsia="Arial" w:hAnsi="Arial" w:cs="Arial"/>
          <w:i/>
          <w:iCs/>
          <w:color w:val="000000" w:themeColor="text1"/>
        </w:rPr>
        <w:t>Abelmoschus</w:t>
      </w:r>
      <w:proofErr w:type="spellEnd"/>
      <w:r w:rsidRPr="006651B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6651BB">
        <w:rPr>
          <w:rFonts w:ascii="Arial" w:eastAsia="Arial" w:hAnsi="Arial" w:cs="Arial"/>
          <w:i/>
          <w:iCs/>
          <w:color w:val="000000" w:themeColor="text1"/>
        </w:rPr>
        <w:t>esculentus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 L</w:t>
      </w:r>
      <w:r w:rsidR="009646FD">
        <w:rPr>
          <w:rFonts w:ascii="Arial" w:eastAsia="Arial" w:hAnsi="Arial" w:cs="Arial"/>
          <w:color w:val="000000" w:themeColor="text1"/>
        </w:rPr>
        <w:t>.</w:t>
      </w:r>
      <w:r w:rsidRPr="006651BB">
        <w:rPr>
          <w:rFonts w:ascii="Arial" w:eastAsia="Arial" w:hAnsi="Arial" w:cs="Arial"/>
          <w:color w:val="000000" w:themeColor="text1"/>
        </w:rPr>
        <w:t>) apresenta grande importância socioeconômica</w:t>
      </w:r>
      <w:r>
        <w:rPr>
          <w:rFonts w:ascii="Arial" w:eastAsia="Arial" w:hAnsi="Arial" w:cs="Arial"/>
          <w:color w:val="000000" w:themeColor="text1"/>
        </w:rPr>
        <w:t xml:space="preserve"> no Brasil </w:t>
      </w:r>
      <w:r w:rsidRPr="006651BB">
        <w:rPr>
          <w:rFonts w:ascii="Arial" w:eastAsia="Arial" w:hAnsi="Arial" w:cs="Arial"/>
          <w:color w:val="000000" w:themeColor="text1"/>
        </w:rPr>
        <w:t>onde é amplamente cultivado por agricultores familiares</w:t>
      </w:r>
      <w:r>
        <w:rPr>
          <w:rFonts w:ascii="Arial" w:eastAsia="Arial" w:hAnsi="Arial" w:cs="Arial"/>
          <w:color w:val="000000" w:themeColor="text1"/>
        </w:rPr>
        <w:t xml:space="preserve">. </w:t>
      </w:r>
      <w:r w:rsidRPr="006651BB">
        <w:rPr>
          <w:rFonts w:ascii="Arial" w:eastAsia="Arial" w:hAnsi="Arial" w:cs="Arial"/>
          <w:color w:val="000000" w:themeColor="text1"/>
        </w:rPr>
        <w:t>Essa hortaliça contribui significativamente para a segurança alimentar e geração de renda em pequenas propriedades, além de apresentar potencial de valorização nas cadeias produtivas por meio da produção de sementes híbridas e sistemas de cultivo intensivo (</w:t>
      </w:r>
      <w:r w:rsidR="00303573" w:rsidRPr="000C1ACB">
        <w:rPr>
          <w:rFonts w:ascii="Arial" w:eastAsia="Arial" w:hAnsi="Arial" w:cs="Arial"/>
          <w:color w:val="000000" w:themeColor="text1"/>
        </w:rPr>
        <w:t>ASHRAF et al., 2019</w:t>
      </w:r>
      <w:r w:rsidRPr="006651BB">
        <w:rPr>
          <w:rFonts w:ascii="Arial" w:eastAsia="Arial" w:hAnsi="Arial" w:cs="Arial"/>
          <w:color w:val="000000" w:themeColor="text1"/>
        </w:rPr>
        <w:t xml:space="preserve">). O quiabo também possui elevado valor nutricional, sendo fonte de fibras, vitaminas e minerais, o que amplia sua importância para populações com vulnerabilidade nutricional (GALATI, 2013). </w:t>
      </w:r>
    </w:p>
    <w:p w14:paraId="107B22C8" w14:textId="143E346B" w:rsidR="00F31473" w:rsidRDefault="006651BB" w:rsidP="00303573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 xml:space="preserve">Contudo, </w:t>
      </w:r>
      <w:r w:rsidR="00E43B90">
        <w:rPr>
          <w:rFonts w:ascii="Arial" w:eastAsia="Arial" w:hAnsi="Arial" w:cs="Arial"/>
          <w:color w:val="000000" w:themeColor="text1"/>
        </w:rPr>
        <w:t xml:space="preserve">o </w:t>
      </w:r>
      <w:r w:rsidR="00030A40" w:rsidRPr="000C1ACB">
        <w:rPr>
          <w:rFonts w:ascii="Arial" w:hAnsi="Arial" w:cs="Arial"/>
        </w:rPr>
        <w:t xml:space="preserve">quiabeiro </w:t>
      </w:r>
      <w:r w:rsidR="00E43B90">
        <w:rPr>
          <w:rFonts w:ascii="Arial" w:hAnsi="Arial" w:cs="Arial"/>
        </w:rPr>
        <w:t>possui</w:t>
      </w:r>
      <w:r>
        <w:rPr>
          <w:rFonts w:ascii="Arial" w:hAnsi="Arial" w:cs="Arial"/>
        </w:rPr>
        <w:t xml:space="preserve"> elevada</w:t>
      </w:r>
      <w:r w:rsidR="00030A40" w:rsidRPr="000C1ACB">
        <w:rPr>
          <w:rFonts w:ascii="Arial" w:hAnsi="Arial" w:cs="Arial"/>
        </w:rPr>
        <w:t xml:space="preserve"> suscetibilidade ao nematoide</w:t>
      </w:r>
      <w:r w:rsidR="00E43B90">
        <w:rPr>
          <w:rFonts w:ascii="Arial" w:hAnsi="Arial" w:cs="Arial"/>
        </w:rPr>
        <w:t>-das-galhas que causa a</w:t>
      </w:r>
      <w:r w:rsidR="00E43B90" w:rsidRPr="00E43B90">
        <w:rPr>
          <w:rFonts w:ascii="Arial" w:hAnsi="Arial" w:cs="Arial"/>
        </w:rPr>
        <w:t xml:space="preserve"> formação de galhas </w:t>
      </w:r>
      <w:r w:rsidR="00E43B90">
        <w:rPr>
          <w:rFonts w:ascii="Arial" w:hAnsi="Arial" w:cs="Arial"/>
        </w:rPr>
        <w:t xml:space="preserve">e </w:t>
      </w:r>
      <w:r w:rsidR="00E43B90" w:rsidRPr="00E43B90">
        <w:rPr>
          <w:rFonts w:ascii="Arial" w:hAnsi="Arial" w:cs="Arial"/>
        </w:rPr>
        <w:t>promovem disfunções no sistema vascular da raiz, resultando em sintomas de deficiência nutricional</w:t>
      </w:r>
      <w:r w:rsidR="003035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cau</w:t>
      </w:r>
      <w:r w:rsidR="00030A40" w:rsidRPr="000C1ACB">
        <w:rPr>
          <w:rFonts w:ascii="Arial" w:hAnsi="Arial" w:cs="Arial"/>
        </w:rPr>
        <w:t>sa</w:t>
      </w:r>
      <w:r w:rsidR="00303573">
        <w:rPr>
          <w:rFonts w:ascii="Arial" w:hAnsi="Arial" w:cs="Arial"/>
        </w:rPr>
        <w:t>ndo</w:t>
      </w:r>
      <w:r w:rsidR="00030A40" w:rsidRPr="000C1ACB">
        <w:rPr>
          <w:rFonts w:ascii="Arial" w:hAnsi="Arial" w:cs="Arial"/>
        </w:rPr>
        <w:t xml:space="preserve"> prejuízos econômicos com maior intensidade em regiões quentes e em solos </w:t>
      </w:r>
      <w:r w:rsidR="00303573" w:rsidRPr="000C1ACB">
        <w:rPr>
          <w:rFonts w:ascii="Arial" w:hAnsi="Arial" w:cs="Arial"/>
        </w:rPr>
        <w:t>arenosos</w:t>
      </w:r>
      <w:r w:rsidR="00303573" w:rsidRPr="00E43B90">
        <w:rPr>
          <w:rFonts w:ascii="Arial" w:hAnsi="Arial" w:cs="Arial"/>
        </w:rPr>
        <w:t xml:space="preserve"> (</w:t>
      </w:r>
      <w:r w:rsidR="00303573">
        <w:rPr>
          <w:rFonts w:ascii="Arial" w:hAnsi="Arial" w:cs="Arial"/>
        </w:rPr>
        <w:t>SILVA</w:t>
      </w:r>
      <w:r w:rsidR="00303573" w:rsidRPr="00E43B90">
        <w:rPr>
          <w:rFonts w:ascii="Arial" w:hAnsi="Arial" w:cs="Arial"/>
        </w:rPr>
        <w:t xml:space="preserve"> et al., 202</w:t>
      </w:r>
      <w:r w:rsidR="00303573">
        <w:rPr>
          <w:rFonts w:ascii="Arial" w:hAnsi="Arial" w:cs="Arial"/>
        </w:rPr>
        <w:t xml:space="preserve">3). </w:t>
      </w:r>
      <w:r w:rsidR="00030A40" w:rsidRPr="000C1ACB">
        <w:rPr>
          <w:rFonts w:ascii="Arial" w:hAnsi="Arial" w:cs="Arial"/>
        </w:rPr>
        <w:t xml:space="preserve"> </w:t>
      </w:r>
      <w:r w:rsidR="00042938" w:rsidRPr="00F31473">
        <w:rPr>
          <w:rFonts w:ascii="Arial" w:hAnsi="Arial" w:cs="Arial"/>
        </w:rPr>
        <w:t xml:space="preserve">No intuito de </w:t>
      </w:r>
      <w:r w:rsidR="004B1A83">
        <w:rPr>
          <w:rFonts w:ascii="Arial" w:hAnsi="Arial" w:cs="Arial"/>
        </w:rPr>
        <w:t xml:space="preserve">amenizar </w:t>
      </w:r>
      <w:r w:rsidR="00E43B90">
        <w:rPr>
          <w:rFonts w:ascii="Arial" w:hAnsi="Arial" w:cs="Arial"/>
        </w:rPr>
        <w:t>os danos causados</w:t>
      </w:r>
      <w:r w:rsidR="00042938" w:rsidRPr="00F31473">
        <w:rPr>
          <w:rFonts w:ascii="Arial" w:hAnsi="Arial" w:cs="Arial"/>
        </w:rPr>
        <w:t xml:space="preserve"> por nematoides-das-galhas, várias</w:t>
      </w:r>
      <w:r w:rsidR="00C16C9A" w:rsidRPr="00F31473">
        <w:rPr>
          <w:rFonts w:ascii="Arial" w:hAnsi="Arial" w:cs="Arial"/>
        </w:rPr>
        <w:t xml:space="preserve"> estratégias têm sido utilizadas. </w:t>
      </w:r>
      <w:r w:rsidR="00F31473" w:rsidRPr="00F31473">
        <w:rPr>
          <w:rFonts w:ascii="Arial" w:hAnsi="Arial" w:cs="Arial"/>
        </w:rPr>
        <w:t xml:space="preserve">Uma delas que tem sido eficiente é </w:t>
      </w:r>
      <w:r w:rsidR="00E43B90">
        <w:rPr>
          <w:rFonts w:ascii="Arial" w:hAnsi="Arial" w:cs="Arial"/>
        </w:rPr>
        <w:t xml:space="preserve">a </w:t>
      </w:r>
      <w:r w:rsidR="00F31473" w:rsidRPr="00F31473">
        <w:rPr>
          <w:rFonts w:ascii="Arial" w:hAnsi="Arial" w:cs="Arial"/>
        </w:rPr>
        <w:t xml:space="preserve">utilização de </w:t>
      </w:r>
      <w:r w:rsidR="00C16C9A" w:rsidRPr="00F31473">
        <w:rPr>
          <w:rFonts w:ascii="Arial" w:hAnsi="Arial" w:cs="Arial"/>
        </w:rPr>
        <w:t>carbonato de cálcio (</w:t>
      </w:r>
      <w:proofErr w:type="spellStart"/>
      <w:r w:rsidR="00C16C9A" w:rsidRPr="00F31473">
        <w:rPr>
          <w:rFonts w:ascii="Arial" w:hAnsi="Arial" w:cs="Arial"/>
        </w:rPr>
        <w:t>CaCO</w:t>
      </w:r>
      <w:proofErr w:type="spellEnd"/>
      <w:r w:rsidR="00C16C9A" w:rsidRPr="00F31473">
        <w:rPr>
          <w:rFonts w:ascii="Cambria Math" w:hAnsi="Cambria Math" w:cs="Cambria Math"/>
        </w:rPr>
        <w:t>₃</w:t>
      </w:r>
      <w:r w:rsidR="00C16C9A" w:rsidRPr="00F31473">
        <w:rPr>
          <w:rFonts w:ascii="Arial" w:hAnsi="Arial" w:cs="Arial"/>
        </w:rPr>
        <w:t xml:space="preserve">) </w:t>
      </w:r>
      <w:r w:rsidR="00F31473" w:rsidRPr="00F31473">
        <w:rPr>
          <w:rFonts w:ascii="Arial" w:hAnsi="Arial" w:cs="Arial"/>
        </w:rPr>
        <w:t xml:space="preserve">complementando o manejo </w:t>
      </w:r>
      <w:r w:rsidR="00E43B90">
        <w:rPr>
          <w:rFonts w:ascii="Arial" w:hAnsi="Arial" w:cs="Arial"/>
        </w:rPr>
        <w:t>integrado</w:t>
      </w:r>
      <w:r w:rsidR="00F31473" w:rsidRPr="00F31473">
        <w:rPr>
          <w:rFonts w:ascii="Arial" w:hAnsi="Arial" w:cs="Arial"/>
        </w:rPr>
        <w:t xml:space="preserve">, principalmente pela sua capacidade de modificar o ambiente do solo e induzir resistência sistêmica nas plantas </w:t>
      </w:r>
      <w:r w:rsidR="00C16C9A" w:rsidRPr="00F31473">
        <w:rPr>
          <w:rFonts w:ascii="Arial" w:hAnsi="Arial" w:cs="Arial"/>
        </w:rPr>
        <w:t>(</w:t>
      </w:r>
      <w:r w:rsidR="00F31473" w:rsidRPr="00F31473">
        <w:rPr>
          <w:rFonts w:ascii="Arial" w:hAnsi="Arial" w:cs="Arial"/>
        </w:rPr>
        <w:t>FAVORETO et al., 2019</w:t>
      </w:r>
      <w:r w:rsidR="00C16C9A" w:rsidRPr="00F31473">
        <w:rPr>
          <w:rFonts w:ascii="Arial" w:hAnsi="Arial" w:cs="Arial"/>
        </w:rPr>
        <w:t xml:space="preserve">). </w:t>
      </w:r>
    </w:p>
    <w:p w14:paraId="76C7AF4B" w14:textId="77777777" w:rsidR="009646FD" w:rsidRDefault="00F73D0F" w:rsidP="009646FD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ptos" w:hAnsi="Arial" w:cs="Arial"/>
        </w:rPr>
        <w:t>A</w:t>
      </w:r>
      <w:r w:rsidR="006C367A" w:rsidRPr="006C367A">
        <w:rPr>
          <w:rFonts w:ascii="Arial" w:eastAsia="Aptos" w:hAnsi="Arial" w:cs="Arial"/>
        </w:rPr>
        <w:t xml:space="preserve"> espécie exótica </w:t>
      </w:r>
      <w:r>
        <w:rPr>
          <w:rFonts w:ascii="Arial" w:eastAsia="Aptos" w:hAnsi="Arial" w:cs="Arial"/>
        </w:rPr>
        <w:t xml:space="preserve">e </w:t>
      </w:r>
      <w:r w:rsidR="006C367A" w:rsidRPr="006C367A">
        <w:rPr>
          <w:rFonts w:ascii="Arial" w:eastAsia="Aptos" w:hAnsi="Arial" w:cs="Arial"/>
        </w:rPr>
        <w:t>invasora de origem chinesa, o mexilhão-dourado (</w:t>
      </w:r>
      <w:proofErr w:type="spellStart"/>
      <w:r w:rsidR="006C367A" w:rsidRPr="006C367A">
        <w:rPr>
          <w:rFonts w:ascii="Arial" w:eastAsia="Aptos" w:hAnsi="Arial" w:cs="Arial"/>
          <w:i/>
          <w:iCs/>
        </w:rPr>
        <w:t>Limnoperna</w:t>
      </w:r>
      <w:proofErr w:type="spellEnd"/>
      <w:r w:rsidR="006C367A" w:rsidRPr="006C367A">
        <w:rPr>
          <w:rFonts w:ascii="Arial" w:eastAsia="Aptos" w:hAnsi="Arial" w:cs="Arial"/>
          <w:i/>
          <w:iCs/>
        </w:rPr>
        <w:t xml:space="preserve"> fortunei</w:t>
      </w:r>
      <w:r w:rsidR="006C367A" w:rsidRPr="006C367A">
        <w:rPr>
          <w:rFonts w:ascii="Arial" w:eastAsia="Aptos" w:hAnsi="Arial" w:cs="Arial"/>
        </w:rPr>
        <w:t>)</w:t>
      </w:r>
      <w:r>
        <w:rPr>
          <w:rFonts w:ascii="Arial" w:eastAsia="Aptos" w:hAnsi="Arial" w:cs="Arial"/>
        </w:rPr>
        <w:t>, possui elevados teores de carbonato de cálcio em sua concha</w:t>
      </w:r>
      <w:r w:rsidR="00303573">
        <w:rPr>
          <w:rFonts w:ascii="Arial" w:eastAsia="Aptos" w:hAnsi="Arial" w:cs="Arial"/>
        </w:rPr>
        <w:t>, chegando até a elevados teores, como 90%</w:t>
      </w:r>
      <w:r>
        <w:rPr>
          <w:rFonts w:ascii="Arial" w:eastAsia="Aptos" w:hAnsi="Arial" w:cs="Arial"/>
        </w:rPr>
        <w:t xml:space="preserve"> </w:t>
      </w:r>
      <w:r w:rsidR="006C367A" w:rsidRPr="006C367A">
        <w:rPr>
          <w:rFonts w:ascii="Arial" w:eastAsia="Aptos" w:hAnsi="Arial" w:cs="Arial"/>
        </w:rPr>
        <w:t>(</w:t>
      </w:r>
      <w:r w:rsidR="006C367A" w:rsidRPr="006C367A">
        <w:rPr>
          <w:rFonts w:ascii="Arial" w:hAnsi="Arial" w:cs="Arial"/>
        </w:rPr>
        <w:t>CATALDO, 2012)</w:t>
      </w:r>
      <w:r>
        <w:rPr>
          <w:rFonts w:ascii="Arial" w:eastAsia="Aptos" w:hAnsi="Arial" w:cs="Arial"/>
        </w:rPr>
        <w:t xml:space="preserve">. </w:t>
      </w:r>
      <w:r w:rsidR="00303573">
        <w:rPr>
          <w:rFonts w:ascii="Arial" w:eastAsia="Aptos" w:hAnsi="Arial" w:cs="Arial"/>
        </w:rPr>
        <w:t>Est</w:t>
      </w:r>
      <w:r w:rsidR="00C16C9A" w:rsidRPr="00D21653">
        <w:rPr>
          <w:rFonts w:ascii="Arial" w:eastAsia="Aptos" w:hAnsi="Arial" w:cs="Arial"/>
        </w:rPr>
        <w:t xml:space="preserve">a espécie foi detectada </w:t>
      </w:r>
      <w:r w:rsidR="00303573">
        <w:rPr>
          <w:rFonts w:ascii="Arial" w:eastAsia="Aptos" w:hAnsi="Arial" w:cs="Arial"/>
        </w:rPr>
        <w:t>n</w:t>
      </w:r>
      <w:r w:rsidR="00303573" w:rsidRPr="00D21653">
        <w:rPr>
          <w:rFonts w:ascii="Arial" w:eastAsia="Aptos" w:hAnsi="Arial" w:cs="Arial"/>
        </w:rPr>
        <w:t>o sertão de Alagoas,</w:t>
      </w:r>
      <w:r w:rsidR="00303573">
        <w:rPr>
          <w:rFonts w:ascii="Arial" w:eastAsia="Aptos" w:hAnsi="Arial" w:cs="Arial"/>
        </w:rPr>
        <w:t xml:space="preserve"> principalmente </w:t>
      </w:r>
      <w:r w:rsidR="00C16C9A" w:rsidRPr="00D21653">
        <w:rPr>
          <w:rFonts w:ascii="Arial" w:eastAsia="Aptos" w:hAnsi="Arial" w:cs="Arial"/>
        </w:rPr>
        <w:t>em sistemas de adução de água e no Canal do Sertão, além de estar se espalhando pelo baixo rio São Francisco (</w:t>
      </w:r>
      <w:r w:rsidR="00D21653" w:rsidRPr="00D21653">
        <w:rPr>
          <w:rFonts w:ascii="Arial" w:eastAsia="Aptos" w:hAnsi="Arial" w:cs="Arial"/>
        </w:rPr>
        <w:t>SANTOS et al.</w:t>
      </w:r>
      <w:r w:rsidR="00C16C9A" w:rsidRPr="00D21653">
        <w:rPr>
          <w:rFonts w:ascii="Arial" w:eastAsia="Aptos" w:hAnsi="Arial" w:cs="Arial"/>
        </w:rPr>
        <w:t xml:space="preserve">, 2022).  </w:t>
      </w:r>
      <w:r w:rsidR="000C52C9">
        <w:rPr>
          <w:rFonts w:ascii="Arial" w:eastAsia="Aptos" w:hAnsi="Arial" w:cs="Arial"/>
        </w:rPr>
        <w:t>Deste modo</w:t>
      </w:r>
      <w:r w:rsidR="00C16C9A" w:rsidRPr="00D21653">
        <w:rPr>
          <w:rFonts w:ascii="Arial" w:eastAsia="Aptos" w:hAnsi="Arial" w:cs="Arial"/>
        </w:rPr>
        <w:t>, o reaproveitamento da concha do</w:t>
      </w:r>
      <w:r w:rsidR="00C16C9A" w:rsidRPr="00D21653">
        <w:rPr>
          <w:rFonts w:ascii="Arial" w:hAnsi="Arial" w:cs="Arial"/>
        </w:rPr>
        <w:t xml:space="preserve"> mexilhão-dourado, </w:t>
      </w:r>
      <w:r>
        <w:rPr>
          <w:rFonts w:ascii="Arial" w:hAnsi="Arial" w:cs="Arial"/>
        </w:rPr>
        <w:t xml:space="preserve">para a produção de um pó para aplicação no solo </w:t>
      </w:r>
      <w:r w:rsidR="00C16C9A" w:rsidRPr="00D21653">
        <w:rPr>
          <w:rFonts w:ascii="Arial" w:hAnsi="Arial" w:cs="Arial"/>
        </w:rPr>
        <w:t>pode mitigar os problemas causados por sua invasão e as perdas causadas pelo nematoide-das-</w:t>
      </w:r>
      <w:r w:rsidR="00C16C9A" w:rsidRPr="00F73D0F">
        <w:rPr>
          <w:rFonts w:ascii="Arial" w:hAnsi="Arial" w:cs="Arial"/>
        </w:rPr>
        <w:t>galhas na produtividade d</w:t>
      </w:r>
      <w:r w:rsidR="00A02FEB" w:rsidRPr="00F73D0F">
        <w:rPr>
          <w:rFonts w:ascii="Arial" w:hAnsi="Arial" w:cs="Arial"/>
        </w:rPr>
        <w:t>o</w:t>
      </w:r>
      <w:r w:rsidR="00C16C9A" w:rsidRPr="00F73D0F">
        <w:rPr>
          <w:rFonts w:ascii="Arial" w:hAnsi="Arial" w:cs="Arial"/>
        </w:rPr>
        <w:t xml:space="preserve"> </w:t>
      </w:r>
      <w:r w:rsidR="000C1ACB" w:rsidRPr="00F73D0F">
        <w:rPr>
          <w:rFonts w:ascii="Arial" w:hAnsi="Arial" w:cs="Arial"/>
        </w:rPr>
        <w:t>quiabeiro</w:t>
      </w:r>
      <w:r w:rsidR="00C16C9A" w:rsidRPr="00F73D0F">
        <w:rPr>
          <w:rFonts w:ascii="Arial" w:hAnsi="Arial" w:cs="Arial"/>
        </w:rPr>
        <w:t>.</w:t>
      </w:r>
      <w:r w:rsidR="00C16C9A" w:rsidRPr="000C1ACB">
        <w:rPr>
          <w:rFonts w:ascii="Arial" w:hAnsi="Arial" w:cs="Arial"/>
        </w:rPr>
        <w:t xml:space="preserve"> </w:t>
      </w:r>
      <w:r w:rsidR="009646FD">
        <w:rPr>
          <w:rFonts w:ascii="Arial" w:hAnsi="Arial" w:cs="Arial"/>
        </w:rPr>
        <w:t xml:space="preserve">Portanto o objetivo deste trabalho foi utilizar o </w:t>
      </w:r>
      <w:r w:rsidR="009646FD" w:rsidRPr="009646FD">
        <w:rPr>
          <w:rFonts w:ascii="Arial" w:hAnsi="Arial" w:cs="Arial"/>
          <w:color w:val="000000" w:themeColor="text1"/>
        </w:rPr>
        <w:t>pó da concha do mexilhão-dourado</w:t>
      </w:r>
      <w:r w:rsidR="009646FD">
        <w:rPr>
          <w:rFonts w:ascii="Arial" w:hAnsi="Arial" w:cs="Arial"/>
          <w:color w:val="000000" w:themeColor="text1"/>
        </w:rPr>
        <w:t xml:space="preserve"> no</w:t>
      </w:r>
      <w:r w:rsidR="009646FD" w:rsidRPr="009646FD">
        <w:rPr>
          <w:rFonts w:ascii="Arial" w:hAnsi="Arial" w:cs="Arial"/>
          <w:color w:val="000000" w:themeColor="text1"/>
        </w:rPr>
        <w:t xml:space="preserve"> control</w:t>
      </w:r>
      <w:r w:rsidR="009646FD">
        <w:rPr>
          <w:rFonts w:ascii="Arial" w:hAnsi="Arial" w:cs="Arial"/>
          <w:color w:val="000000" w:themeColor="text1"/>
        </w:rPr>
        <w:t xml:space="preserve">e do </w:t>
      </w:r>
      <w:r w:rsidR="009646FD" w:rsidRPr="009646FD">
        <w:rPr>
          <w:rFonts w:ascii="Arial" w:hAnsi="Arial" w:cs="Arial"/>
          <w:color w:val="000000" w:themeColor="text1"/>
        </w:rPr>
        <w:t>nematoide-das-galhas na cultura do quiabeiro</w:t>
      </w:r>
      <w:r w:rsidR="009646FD">
        <w:rPr>
          <w:rFonts w:ascii="Arial" w:hAnsi="Arial" w:cs="Arial"/>
          <w:color w:val="000000" w:themeColor="text1"/>
        </w:rPr>
        <w:t>.</w:t>
      </w:r>
    </w:p>
    <w:p w14:paraId="5C970E11" w14:textId="7920B4DE" w:rsidR="00C16C9A" w:rsidRDefault="00C16C9A" w:rsidP="009646FD">
      <w:pPr>
        <w:spacing w:after="0" w:line="240" w:lineRule="auto"/>
        <w:jc w:val="both"/>
        <w:rPr>
          <w:rFonts w:ascii="Arial" w:hAnsi="Arial" w:cs="Arial"/>
        </w:rPr>
      </w:pPr>
      <w:r w:rsidRPr="000C1ACB">
        <w:rPr>
          <w:rFonts w:ascii="Arial" w:hAnsi="Arial" w:cs="Arial"/>
        </w:rPr>
        <w:t>_____________________________________</w:t>
      </w:r>
    </w:p>
    <w:p w14:paraId="654DE564" w14:textId="07F4F214" w:rsidR="00F73D0F" w:rsidRDefault="009646FD" w:rsidP="00F73D0F">
      <w:pPr>
        <w:pStyle w:val="Textodenotaderodap"/>
        <w:rPr>
          <w:rFonts w:cs="Arial"/>
          <w:color w:val="000000" w:themeColor="text1"/>
          <w:lang w:val="pt-BR"/>
        </w:rPr>
      </w:pPr>
      <w:r>
        <w:rPr>
          <w:rStyle w:val="Refdenotaderodap"/>
          <w:rFonts w:cs="Arial"/>
          <w:color w:val="000000" w:themeColor="text1"/>
          <w:sz w:val="18"/>
          <w:szCs w:val="18"/>
          <w:lang w:val="pt-BR"/>
        </w:rPr>
        <w:t>1</w:t>
      </w:r>
      <w:r w:rsidR="00F73D0F" w:rsidRPr="000C1ACB">
        <w:rPr>
          <w:rFonts w:cs="Arial"/>
          <w:color w:val="000000" w:themeColor="text1"/>
          <w:lang w:val="pt-BR"/>
        </w:rPr>
        <w:t xml:space="preserve">Mestranda em Proteção de Plantas - Universidade Federal de Alagoas – </w:t>
      </w:r>
      <w:r w:rsidR="00F73D0F" w:rsidRPr="000C1ACB">
        <w:rPr>
          <w:rFonts w:cs="Arial"/>
          <w:i/>
          <w:iCs/>
          <w:color w:val="000000" w:themeColor="text1"/>
          <w:lang w:val="pt-BR"/>
        </w:rPr>
        <w:t>Campus</w:t>
      </w:r>
      <w:r w:rsidR="00F73D0F" w:rsidRPr="000C1ACB">
        <w:rPr>
          <w:rFonts w:cs="Arial"/>
          <w:color w:val="000000" w:themeColor="text1"/>
          <w:lang w:val="pt-BR"/>
        </w:rPr>
        <w:t xml:space="preserve"> de Engenharia e Ciências Agrárias, </w:t>
      </w:r>
      <w:hyperlink r:id="rId7" w:history="1">
        <w:r w:rsidRPr="001F6EA6">
          <w:rPr>
            <w:rStyle w:val="Hyperlink"/>
            <w:rFonts w:cs="Arial"/>
            <w:lang w:val="pt-BR"/>
          </w:rPr>
          <w:t>esterdasilvaacosta@gmail.com</w:t>
        </w:r>
      </w:hyperlink>
    </w:p>
    <w:p w14:paraId="5BD1B65D" w14:textId="24AA208E" w:rsidR="009646FD" w:rsidRDefault="009646FD" w:rsidP="009646FD">
      <w:pPr>
        <w:pStyle w:val="Textodenotaderodap"/>
        <w:rPr>
          <w:rFonts w:cs="Arial"/>
          <w:color w:val="000000" w:themeColor="text1"/>
          <w:lang w:val="pt-BR"/>
        </w:rPr>
      </w:pPr>
      <w:r>
        <w:rPr>
          <w:rFonts w:cs="Arial"/>
          <w:color w:val="000000" w:themeColor="text1"/>
          <w:sz w:val="18"/>
          <w:szCs w:val="18"/>
          <w:vertAlign w:val="superscript"/>
          <w:lang w:val="pt-BR"/>
        </w:rPr>
        <w:t>2</w:t>
      </w:r>
      <w:r w:rsidRPr="000C1ACB">
        <w:rPr>
          <w:rFonts w:cs="Arial"/>
          <w:color w:val="000000" w:themeColor="text1"/>
          <w:lang w:val="pt-BR"/>
        </w:rPr>
        <w:t>Mestra em Produção Agrícola, Universidade Federal Rural de Pernambuco.</w:t>
      </w:r>
    </w:p>
    <w:p w14:paraId="69A25E37" w14:textId="308C6B6C" w:rsidR="00C16C9A" w:rsidRPr="000C1ACB" w:rsidRDefault="00C16C9A" w:rsidP="0061353D">
      <w:pPr>
        <w:pStyle w:val="Textodenotaderodap"/>
        <w:rPr>
          <w:rFonts w:cs="Arial"/>
          <w:color w:val="000000" w:themeColor="text1"/>
          <w:lang w:val="pt-BR"/>
        </w:rPr>
      </w:pPr>
      <w:r w:rsidRPr="000C1ACB">
        <w:rPr>
          <w:rStyle w:val="Refdenotaderodap"/>
          <w:rFonts w:cs="Arial"/>
          <w:color w:val="000000" w:themeColor="text1"/>
          <w:lang w:val="pt-BR"/>
        </w:rPr>
        <w:t>3</w:t>
      </w:r>
      <w:r w:rsidRPr="000C1ACB">
        <w:rPr>
          <w:rFonts w:cs="Arial"/>
          <w:color w:val="000000" w:themeColor="text1"/>
          <w:vertAlign w:val="superscript"/>
          <w:lang w:val="pt-BR"/>
        </w:rPr>
        <w:t xml:space="preserve">,4, 5, 6 </w:t>
      </w:r>
      <w:r w:rsidRPr="000C1ACB">
        <w:rPr>
          <w:rFonts w:cs="Arial"/>
          <w:color w:val="000000" w:themeColor="text1"/>
          <w:lang w:val="pt-BR"/>
        </w:rPr>
        <w:t>Graduandos em Engenharia Agronômica, Instituto Federal de Alagoas.</w:t>
      </w:r>
    </w:p>
    <w:p w14:paraId="15055B92" w14:textId="3EE963E2" w:rsidR="00C16C9A" w:rsidRPr="000C1ACB" w:rsidRDefault="0061353D" w:rsidP="0061353D">
      <w:pPr>
        <w:pStyle w:val="Textodenotaderodap"/>
        <w:rPr>
          <w:rFonts w:cs="Arial"/>
          <w:color w:val="000000" w:themeColor="text1"/>
          <w:lang w:val="pt-BR"/>
        </w:rPr>
      </w:pPr>
      <w:r w:rsidRPr="000C1ACB">
        <w:rPr>
          <w:rFonts w:cs="Arial"/>
          <w:color w:val="000000" w:themeColor="text1"/>
          <w:vertAlign w:val="superscript"/>
          <w:lang w:val="pt-BR"/>
        </w:rPr>
        <w:t>7,8</w:t>
      </w:r>
      <w:r w:rsidR="00C16C9A" w:rsidRPr="000C1ACB">
        <w:rPr>
          <w:rFonts w:cs="Arial"/>
          <w:color w:val="000000" w:themeColor="text1"/>
          <w:vertAlign w:val="superscript"/>
          <w:lang w:val="pt-BR"/>
        </w:rPr>
        <w:t xml:space="preserve"> </w:t>
      </w:r>
      <w:r w:rsidR="00C16C9A" w:rsidRPr="000C1ACB">
        <w:rPr>
          <w:rFonts w:cs="Arial"/>
          <w:color w:val="000000" w:themeColor="text1"/>
          <w:lang w:val="pt-BR"/>
        </w:rPr>
        <w:t>Professor</w:t>
      </w:r>
      <w:r w:rsidRPr="000C1ACB">
        <w:rPr>
          <w:rFonts w:cs="Arial"/>
          <w:color w:val="000000" w:themeColor="text1"/>
          <w:lang w:val="pt-BR"/>
        </w:rPr>
        <w:t>es</w:t>
      </w:r>
      <w:r w:rsidR="00C16C9A" w:rsidRPr="000C1ACB">
        <w:rPr>
          <w:rFonts w:cs="Arial"/>
          <w:color w:val="000000" w:themeColor="text1"/>
          <w:lang w:val="pt-BR"/>
        </w:rPr>
        <w:t xml:space="preserve"> Doutor</w:t>
      </w:r>
      <w:r w:rsidRPr="000C1ACB">
        <w:rPr>
          <w:rFonts w:cs="Arial"/>
          <w:color w:val="000000" w:themeColor="text1"/>
          <w:lang w:val="pt-BR"/>
        </w:rPr>
        <w:t>es</w:t>
      </w:r>
      <w:r w:rsidR="00C16C9A" w:rsidRPr="000C1ACB">
        <w:rPr>
          <w:rFonts w:cs="Arial"/>
          <w:color w:val="000000" w:themeColor="text1"/>
          <w:lang w:val="pt-BR"/>
        </w:rPr>
        <w:t xml:space="preserve"> - Instituto Federal de Alagoas/Pós-Graduação em Proteção de Plantas - Universidade Federal de Alagoas.</w:t>
      </w:r>
    </w:p>
    <w:p w14:paraId="09969F9F" w14:textId="77777777" w:rsidR="00C16C9A" w:rsidRPr="000C1ACB" w:rsidRDefault="00C16C9A" w:rsidP="00C16C9A">
      <w:pPr>
        <w:pStyle w:val="Ttulo1"/>
        <w:numPr>
          <w:ilvl w:val="0"/>
          <w:numId w:val="2"/>
        </w:numPr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</w:pPr>
      <w:r w:rsidRPr="000C1AC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  <w:lastRenderedPageBreak/>
        <w:t>METODOLOGIA</w:t>
      </w:r>
    </w:p>
    <w:p w14:paraId="1145945B" w14:textId="4243B84B" w:rsidR="00BD3CC1" w:rsidRPr="00BD3CC1" w:rsidRDefault="00BD3CC1" w:rsidP="00BD3CC1">
      <w:pPr>
        <w:spacing w:after="0" w:line="240" w:lineRule="auto"/>
        <w:ind w:firstLine="708"/>
        <w:jc w:val="both"/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</w:pP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O experimento foi conduzido em estufa no Instituto Federal de Alagoas, Campus Piranhas. O período de execução do experimento foi de abril a junho do ano de 2025. O delineamento experimental utilizado foi o inteiramente casualizado, com </w:t>
      </w:r>
      <w:r w:rsidR="009646FD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cinco</w:t>
      </w: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tratamentos e </w:t>
      </w:r>
      <w:r w:rsidR="009646FD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quatro</w:t>
      </w: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repetições, totalizando </w:t>
      </w:r>
      <w:r w:rsidR="009646FD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20</w:t>
      </w: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parcelas experimentais, e cada parcela foi composta por duas plantas. </w:t>
      </w:r>
    </w:p>
    <w:p w14:paraId="3559155E" w14:textId="1ABBCFB6" w:rsidR="00BD3CC1" w:rsidRPr="00BD3CC1" w:rsidRDefault="00BD3CC1" w:rsidP="00BD3CC1">
      <w:pPr>
        <w:spacing w:after="0" w:line="240" w:lineRule="auto"/>
        <w:ind w:firstLine="708"/>
        <w:jc w:val="both"/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</w:pP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Foram semeadas três sementes de </w:t>
      </w:r>
      <w:r w:rsidR="00A0743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quiabeiro</w:t>
      </w:r>
      <w:r w:rsidR="00330CA9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Santa Cruz - 47</w:t>
      </w: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por célula em bandejas de poliestireno expandido de 200 células, contendo substrato comercial </w:t>
      </w:r>
      <w:proofErr w:type="spellStart"/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Bioplant</w:t>
      </w:r>
      <w:proofErr w:type="spellEnd"/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, acrescido das seguintes porcentagens do pó da concha do mexilhão-dourado (</w:t>
      </w:r>
      <w:proofErr w:type="spellStart"/>
      <w:r w:rsidRPr="00BD3CC1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>Limnoperna</w:t>
      </w:r>
      <w:proofErr w:type="spellEnd"/>
      <w:r w:rsidRPr="00BD3CC1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 xml:space="preserve"> fortunei</w:t>
      </w: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), 10, 20, 30 e 40%. Aos 10 dias após </w:t>
      </w:r>
      <w:r w:rsidR="009646FD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a semeadura</w:t>
      </w: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foi realizado o desbaste, deixando apenas uma planta por célula. </w:t>
      </w:r>
    </w:p>
    <w:p w14:paraId="35958B5E" w14:textId="53919CB9" w:rsidR="00BD3CC1" w:rsidRPr="00BD3CC1" w:rsidRDefault="00BD3CC1" w:rsidP="00BD3CC1">
      <w:pPr>
        <w:spacing w:after="0" w:line="240" w:lineRule="auto"/>
        <w:ind w:firstLine="708"/>
        <w:jc w:val="both"/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</w:pP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Aos 15 dias após </w:t>
      </w:r>
      <w:r w:rsidR="009646FD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a semeadura</w:t>
      </w: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, as mudas foram inoculadas com 2.000 ovos de </w:t>
      </w:r>
      <w:proofErr w:type="spellStart"/>
      <w:r w:rsidRPr="00BD3CC1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>Meloidogyne</w:t>
      </w:r>
      <w:proofErr w:type="spellEnd"/>
      <w:r w:rsidRPr="00BD3CC1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BD3CC1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>javanica</w:t>
      </w:r>
      <w:proofErr w:type="spellEnd"/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, extraídos de raízes de tomateiro Santa Cruz, oriundas de fontes de inóculo do patógeno produzidas no IFAL, </w:t>
      </w:r>
      <w:r w:rsidRPr="00BD3CC1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>Campus</w:t>
      </w: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Piranhas, seguindo a metodologia de </w:t>
      </w:r>
      <w:proofErr w:type="spellStart"/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Hussey</w:t>
      </w:r>
      <w:proofErr w:type="spellEnd"/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e Barker (1973), modificada por </w:t>
      </w:r>
      <w:proofErr w:type="spellStart"/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Boneti</w:t>
      </w:r>
      <w:proofErr w:type="spellEnd"/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e Ferraz (1981). A irrigação foi realizada conforme a necessidade hídrica da cultura, sem que haja drenagem, para evitar a lixiviação dos ovos. Três vezes por semana, foi realizada a fertirrigação com solução nutritiva adaptada por </w:t>
      </w:r>
      <w:proofErr w:type="spellStart"/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Furlani</w:t>
      </w:r>
      <w:proofErr w:type="spellEnd"/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et al. (1999) para solanáceas.  </w:t>
      </w:r>
    </w:p>
    <w:p w14:paraId="534D173E" w14:textId="49EA1434" w:rsidR="00AD5889" w:rsidRDefault="00BD3CC1" w:rsidP="00BD3CC1">
      <w:pPr>
        <w:spacing w:after="0" w:line="240" w:lineRule="auto"/>
        <w:ind w:firstLine="708"/>
        <w:jc w:val="both"/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</w:pP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Aos 45 dias após a inoculação, as plantas de </w:t>
      </w:r>
      <w:r w:rsidR="009646FD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quiabo</w:t>
      </w:r>
      <w:r w:rsidRPr="00BD3CC1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foram avaliadas quanto à incidência de galhas no torrão (IGNT), número de galhas no sistema radicular (NGSR), e número de ovos (NO). As variáveis foram transformadas em raiz quadrada para atender as suposições da análise de variância. Foram realizadas análises de variância e regressão. Todas as análises foram realizadas de acordo com as recomendações de FERREIRA (2018), e com o auxílio do aplicativo computacional SISVAR (FERREIRA, 2013).</w:t>
      </w:r>
    </w:p>
    <w:p w14:paraId="75C2C0D4" w14:textId="77777777" w:rsidR="00BD3CC1" w:rsidRPr="000C1ACB" w:rsidRDefault="00BD3CC1" w:rsidP="00BD3CC1">
      <w:pPr>
        <w:spacing w:after="0" w:line="240" w:lineRule="auto"/>
        <w:ind w:firstLine="708"/>
        <w:jc w:val="both"/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</w:pPr>
    </w:p>
    <w:p w14:paraId="172399A6" w14:textId="7D5667C4" w:rsidR="00C16C9A" w:rsidRDefault="346052D9" w:rsidP="00BD3CC1">
      <w:pPr>
        <w:pStyle w:val="Ttulo1"/>
        <w:numPr>
          <w:ilvl w:val="0"/>
          <w:numId w:val="2"/>
        </w:numPr>
        <w:spacing w:before="0"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</w:pPr>
      <w:r w:rsidRPr="000C1AC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u-HU"/>
        </w:rPr>
        <w:t>RESULTADOS E DISCUSSÃO</w:t>
      </w:r>
    </w:p>
    <w:p w14:paraId="0C44BB1E" w14:textId="233898C7" w:rsidR="00BD3CC1" w:rsidRDefault="00BD3CC1" w:rsidP="004D2E59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EE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val="en-GB" w:eastAsia="pt-BR"/>
          <w14:ligatures w14:val="none"/>
        </w:rPr>
        <w:t>A</w:t>
      </w:r>
      <w:r w:rsidRPr="00BD3CC1">
        <w:rPr>
          <w:rFonts w:ascii="Arial" w:eastAsia="Times New Roman" w:hAnsi="Arial" w:cs="Arial"/>
          <w:color w:val="000000" w:themeColor="text1"/>
          <w:kern w:val="0"/>
          <w:lang w:val="en-GB" w:eastAsia="pt-BR"/>
          <w14:ligatures w14:val="none"/>
        </w:rPr>
        <w:t xml:space="preserve"> </w:t>
      </w:r>
      <w:proofErr w:type="spellStart"/>
      <w:r w:rsidRPr="00BD3CC1">
        <w:rPr>
          <w:rFonts w:ascii="Arial" w:eastAsia="Times New Roman" w:hAnsi="Arial" w:cs="Arial"/>
          <w:color w:val="000000" w:themeColor="text1"/>
          <w:kern w:val="0"/>
          <w:lang w:val="en-GB" w:eastAsia="pt-BR"/>
          <w14:ligatures w14:val="none"/>
        </w:rPr>
        <w:t>tabela</w:t>
      </w:r>
      <w:proofErr w:type="spellEnd"/>
      <w:r w:rsidRPr="00BD3CC1">
        <w:rPr>
          <w:rFonts w:ascii="Arial" w:eastAsia="Times New Roman" w:hAnsi="Arial" w:cs="Arial"/>
          <w:color w:val="000000" w:themeColor="text1"/>
          <w:kern w:val="0"/>
          <w:lang w:val="en-GB" w:eastAsia="pt-BR"/>
          <w14:ligatures w14:val="none"/>
        </w:rPr>
        <w:t xml:space="preserve"> 1</w:t>
      </w:r>
      <w:r>
        <w:rPr>
          <w:rFonts w:ascii="Arial" w:eastAsia="Times New Roman" w:hAnsi="Arial" w:cs="Arial"/>
          <w:color w:val="000000" w:themeColor="text1"/>
          <w:kern w:val="0"/>
          <w:lang w:val="en-GB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lang w:val="en-GB" w:eastAsia="pt-BR"/>
          <w14:ligatures w14:val="none"/>
        </w:rPr>
        <w:t>apresenta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lang w:val="en-GB" w:eastAsia="pt-BR"/>
          <w14:ligatures w14:val="none"/>
        </w:rPr>
        <w:t xml:space="preserve"> </w:t>
      </w:r>
      <w:r w:rsidRPr="00BD3CC1">
        <w:rPr>
          <w:rFonts w:ascii="Arial" w:eastAsia="Times New Roman" w:hAnsi="Arial" w:cs="Arial"/>
          <w:color w:val="000000" w:themeColor="text1"/>
          <w:kern w:val="0"/>
          <w:lang w:val="en-GB" w:eastAsia="pt-BR"/>
          <w14:ligatures w14:val="none"/>
        </w:rPr>
        <w:t xml:space="preserve">o </w:t>
      </w:r>
      <w:r w:rsidRPr="00BD3CC1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resumo da análise de variância (valores de quadrado médio) para o controle alternativo do nematoide-das-galhas em </w:t>
      </w:r>
      <w:r w:rsidR="007E6C14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quiabeiro</w:t>
      </w:r>
      <w:r w:rsidRPr="00BD3CC1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através de porcentagens do pó da concha do mexilhão-dourado. Houve diferença significativa a 1% de probabilidade para todas as variáveis analisadas, indicando que existe relação de dependência entre o eixo/variável independente (Porcentagens do pó da concha de mexilhão-dourado no substrato: 10%, 20%, 30% e 40%) e o eixo/variável dependente (IGNT). </w:t>
      </w:r>
      <w:r w:rsidR="004D2E59">
        <w:rPr>
          <w:rFonts w:ascii="Arial" w:eastAsia="Times New Roman" w:hAnsi="Arial" w:cs="Arial"/>
          <w:kern w:val="0"/>
          <w:lang w:eastAsia="pt-BR"/>
          <w14:ligatures w14:val="none"/>
        </w:rPr>
        <w:t xml:space="preserve">Quanto ao coeficiente de variação, todas as variáveis obtiveram valores </w:t>
      </w:r>
      <w:r w:rsidR="00E768DE">
        <w:rPr>
          <w:rFonts w:ascii="Arial" w:eastAsia="Times New Roman" w:hAnsi="Arial" w:cs="Arial"/>
          <w:kern w:val="0"/>
          <w:lang w:eastAsia="pt-BR"/>
          <w14:ligatures w14:val="none"/>
        </w:rPr>
        <w:t>entre 21,97 % e 27,96%</w:t>
      </w:r>
      <w:r w:rsidR="00E768DE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, aceitáveis para experimentos com avaliações de nematoides.</w:t>
      </w:r>
      <w:r w:rsidR="004D2E59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</w:p>
    <w:p w14:paraId="0BB56583" w14:textId="77777777" w:rsidR="004D2E59" w:rsidRPr="004D2E59" w:rsidRDefault="004D2E59" w:rsidP="004D2E59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EE0000"/>
          <w:kern w:val="0"/>
          <w:lang w:eastAsia="pt-BR"/>
          <w14:ligatures w14:val="none"/>
        </w:rPr>
      </w:pPr>
    </w:p>
    <w:tbl>
      <w:tblPr>
        <w:tblStyle w:val="Tabelacomgrade1"/>
        <w:tblpPr w:leftFromText="141" w:rightFromText="141" w:vertAnchor="text" w:horzAnchor="margin" w:tblpY="809"/>
        <w:tblW w:w="8972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1772"/>
        <w:gridCol w:w="1772"/>
        <w:gridCol w:w="1772"/>
        <w:gridCol w:w="1774"/>
      </w:tblGrid>
      <w:tr w:rsidR="00BD3CC1" w:rsidRPr="00BD3CC1" w14:paraId="04C3D192" w14:textId="77777777" w:rsidTr="00BD3CC1">
        <w:trPr>
          <w:trHeight w:val="301"/>
        </w:trPr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666F8" w14:textId="77777777" w:rsidR="00BD3CC1" w:rsidRPr="00BD3CC1" w:rsidRDefault="00BD3CC1" w:rsidP="004D2E5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FV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910BD" w14:textId="7D0505DD" w:rsidR="00BD3CC1" w:rsidRPr="00BD3CC1" w:rsidRDefault="00E768DE" w:rsidP="004D2E5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QM</w:t>
            </w:r>
          </w:p>
        </w:tc>
      </w:tr>
      <w:tr w:rsidR="00BD3CC1" w:rsidRPr="00BD3CC1" w14:paraId="112C983F" w14:textId="77777777" w:rsidTr="004D2E59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B7646" w14:textId="77777777" w:rsidR="00BD3CC1" w:rsidRPr="00BD3CC1" w:rsidRDefault="00BD3CC1" w:rsidP="004D2E59">
            <w:pPr>
              <w:rPr>
                <w:rFonts w:ascii="Arial" w:hAnsi="Arial"/>
                <w:sz w:val="24"/>
                <w:szCs w:val="24"/>
                <w:lang w:val="en-GB" w:eastAsia="hu-H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54A06" w14:textId="77777777" w:rsidR="00BD3CC1" w:rsidRPr="00BD3CC1" w:rsidRDefault="00BD3CC1" w:rsidP="004D2E5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GL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5A5EA" w14:textId="77777777" w:rsidR="00BD3CC1" w:rsidRPr="00BD3CC1" w:rsidRDefault="00BD3CC1" w:rsidP="004D2E5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IGNT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EAE4C3" w14:textId="14DA23E7" w:rsidR="00BD3CC1" w:rsidRPr="00BD3CC1" w:rsidRDefault="00330CA9" w:rsidP="004D2E5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N</w:t>
            </w:r>
            <w:r w:rsidR="00BD3CC1" w:rsidRPr="00BD3CC1"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GS</w:t>
            </w:r>
            <w:r w:rsidR="005A0AF5"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R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6F61D" w14:textId="77777777" w:rsidR="00BD3CC1" w:rsidRPr="00BD3CC1" w:rsidRDefault="00BD3CC1" w:rsidP="004D2E5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NO</w:t>
            </w:r>
          </w:p>
        </w:tc>
      </w:tr>
      <w:tr w:rsidR="00BD3CC1" w:rsidRPr="00BD3CC1" w14:paraId="1276923F" w14:textId="77777777" w:rsidTr="004D2E59">
        <w:trPr>
          <w:trHeight w:val="58"/>
        </w:trPr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D956F7" w14:textId="77777777" w:rsidR="00BD3CC1" w:rsidRPr="00BD3CC1" w:rsidRDefault="00BD3CC1" w:rsidP="004D2E5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</w:pPr>
            <w:proofErr w:type="spellStart"/>
            <w:r w:rsidRPr="00BD3CC1"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Porcentagens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EA36C6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43F2EA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vertAlign w:val="superscript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618,78</w:t>
            </w:r>
            <w:r w:rsidRPr="00BD3CC1">
              <w:rPr>
                <w:rFonts w:ascii="Arial" w:hAnsi="Arial"/>
                <w:sz w:val="24"/>
                <w:szCs w:val="24"/>
                <w:vertAlign w:val="superscript"/>
                <w:lang w:val="en-GB" w:eastAsia="hu-HU"/>
              </w:rPr>
              <w:t>**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CAE290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71879,67**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6262D7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vertAlign w:val="superscript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1727864,37</w:t>
            </w:r>
            <w:r w:rsidRPr="00BD3CC1">
              <w:rPr>
                <w:rFonts w:ascii="Arial" w:hAnsi="Arial"/>
                <w:sz w:val="24"/>
                <w:szCs w:val="24"/>
                <w:vertAlign w:val="superscript"/>
                <w:lang w:val="en-GB" w:eastAsia="hu-HU"/>
              </w:rPr>
              <w:t>**</w:t>
            </w:r>
          </w:p>
        </w:tc>
      </w:tr>
      <w:tr w:rsidR="00BD3CC1" w:rsidRPr="00BD3CC1" w14:paraId="290AFDE7" w14:textId="77777777" w:rsidTr="00E768DE">
        <w:trPr>
          <w:trHeight w:val="91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540F1" w14:textId="77777777" w:rsidR="00BD3CC1" w:rsidRPr="00BD3CC1" w:rsidRDefault="00BD3CC1" w:rsidP="004D2E5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Erro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295763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A31C8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57,69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47DB4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6843,06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73722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615243,75</w:t>
            </w:r>
          </w:p>
        </w:tc>
      </w:tr>
      <w:tr w:rsidR="00BD3CC1" w:rsidRPr="00BD3CC1" w14:paraId="1CF0EA4A" w14:textId="77777777" w:rsidTr="00E768DE">
        <w:trPr>
          <w:trHeight w:val="68"/>
        </w:trPr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B45C9" w14:textId="77777777" w:rsidR="00BD3CC1" w:rsidRPr="00BD3CC1" w:rsidRDefault="00BD3CC1" w:rsidP="004D2E5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b/>
                <w:bCs/>
                <w:sz w:val="24"/>
                <w:szCs w:val="24"/>
                <w:lang w:val="en-GB" w:eastAsia="hu-HU"/>
              </w:rPr>
              <w:t>CV (%)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0F2B5" w14:textId="43CB2F9C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>
              <w:rPr>
                <w:rFonts w:ascii="Arial" w:hAnsi="Arial"/>
                <w:sz w:val="24"/>
                <w:szCs w:val="24"/>
                <w:lang w:val="en-GB" w:eastAsia="hu-HU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BD68E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26,19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2E665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21,91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4D7E3E" w14:textId="77777777" w:rsidR="00BD3CC1" w:rsidRPr="00BD3CC1" w:rsidRDefault="00BD3CC1" w:rsidP="004D2E59">
            <w:pPr>
              <w:jc w:val="center"/>
              <w:rPr>
                <w:rFonts w:ascii="Arial" w:hAnsi="Arial"/>
                <w:sz w:val="24"/>
                <w:szCs w:val="24"/>
                <w:lang w:val="en-GB" w:eastAsia="hu-HU"/>
              </w:rPr>
            </w:pPr>
            <w:r w:rsidRPr="00BD3CC1">
              <w:rPr>
                <w:rFonts w:ascii="Arial" w:hAnsi="Arial"/>
                <w:sz w:val="24"/>
                <w:szCs w:val="24"/>
                <w:lang w:val="en-GB" w:eastAsia="hu-HU"/>
              </w:rPr>
              <w:t>27,96</w:t>
            </w:r>
          </w:p>
        </w:tc>
      </w:tr>
    </w:tbl>
    <w:p w14:paraId="2C420F6C" w14:textId="77546AF8" w:rsidR="00BD3CC1" w:rsidRPr="00BD3CC1" w:rsidRDefault="00BD3CC1" w:rsidP="00BD3CC1">
      <w:pPr>
        <w:jc w:val="both"/>
        <w:rPr>
          <w:rFonts w:ascii="Arial" w:hAnsi="Arial" w:cs="Arial"/>
          <w:sz w:val="20"/>
          <w:szCs w:val="20"/>
          <w:lang w:eastAsia="hu-HU"/>
        </w:rPr>
      </w:pPr>
      <w:r w:rsidRPr="00BD3CC1">
        <w:rPr>
          <w:rFonts w:ascii="Arial" w:hAnsi="Arial" w:cs="Arial"/>
          <w:b/>
          <w:bCs/>
          <w:sz w:val="20"/>
          <w:szCs w:val="20"/>
          <w:lang w:eastAsia="hu-HU"/>
        </w:rPr>
        <w:t>Tabela 1.</w:t>
      </w:r>
      <w:r w:rsidRPr="00BD3CC1">
        <w:rPr>
          <w:rFonts w:ascii="Arial" w:hAnsi="Arial" w:cs="Arial"/>
          <w:sz w:val="20"/>
          <w:szCs w:val="20"/>
          <w:lang w:eastAsia="hu-HU"/>
        </w:rPr>
        <w:t xml:space="preserve"> Resumo da análise de variância (valores de quadrado médio) para o controle alternativo do nematoide-das-galhas em </w:t>
      </w:r>
      <w:r w:rsidR="004D2E59">
        <w:rPr>
          <w:rFonts w:ascii="Arial" w:hAnsi="Arial" w:cs="Arial"/>
          <w:sz w:val="20"/>
          <w:szCs w:val="20"/>
          <w:lang w:eastAsia="hu-HU"/>
        </w:rPr>
        <w:t>quiabeiro</w:t>
      </w:r>
      <w:r w:rsidRPr="00BD3CC1">
        <w:rPr>
          <w:rFonts w:ascii="Arial" w:hAnsi="Arial" w:cs="Arial"/>
          <w:sz w:val="20"/>
          <w:szCs w:val="20"/>
          <w:lang w:eastAsia="hu-HU"/>
        </w:rPr>
        <w:t xml:space="preserve"> através de porcentagens do pó da concha do mexilhão-dourado no substrato.</w:t>
      </w:r>
    </w:p>
    <w:p w14:paraId="0220EF8E" w14:textId="2258E172" w:rsidR="00BD3CC1" w:rsidRPr="00BD3CC1" w:rsidRDefault="00BD3CC1" w:rsidP="00BD3CC1">
      <w:pPr>
        <w:jc w:val="both"/>
        <w:rPr>
          <w:rFonts w:ascii="Arial" w:hAnsi="Arial" w:cs="Arial"/>
          <w:sz w:val="18"/>
          <w:szCs w:val="18"/>
          <w:lang w:eastAsia="hu-HU"/>
        </w:rPr>
      </w:pPr>
      <w:r w:rsidRPr="00BD3CC1">
        <w:rPr>
          <w:rFonts w:ascii="Arial" w:hAnsi="Arial" w:cs="Arial"/>
          <w:sz w:val="18"/>
          <w:szCs w:val="18"/>
          <w:lang w:eastAsia="hu-HU"/>
        </w:rPr>
        <w:t xml:space="preserve">Nota: FV: Fonte de Variação; </w:t>
      </w:r>
      <w:r w:rsidR="00E768DE">
        <w:rPr>
          <w:rFonts w:ascii="Arial" w:hAnsi="Arial" w:cs="Arial"/>
          <w:sz w:val="18"/>
          <w:szCs w:val="18"/>
          <w:lang w:eastAsia="hu-HU"/>
        </w:rPr>
        <w:t xml:space="preserve">QM: Quadrados Médios; </w:t>
      </w:r>
      <w:r w:rsidRPr="00BD3CC1">
        <w:rPr>
          <w:rFonts w:ascii="Arial" w:hAnsi="Arial" w:cs="Arial"/>
          <w:sz w:val="18"/>
          <w:szCs w:val="18"/>
          <w:lang w:eastAsia="hu-HU"/>
        </w:rPr>
        <w:t>GL: Graus de Liberdade; CV: Coeficiente de Variação **: significativo a 1% de probabilidade pelo teste F; IGNT: In</w:t>
      </w:r>
      <w:r w:rsidR="00E768DE">
        <w:rPr>
          <w:rFonts w:ascii="Arial" w:hAnsi="Arial" w:cs="Arial"/>
          <w:sz w:val="18"/>
          <w:szCs w:val="18"/>
          <w:lang w:eastAsia="hu-HU"/>
        </w:rPr>
        <w:t>cidência</w:t>
      </w:r>
      <w:r w:rsidRPr="00BD3CC1">
        <w:rPr>
          <w:rFonts w:ascii="Arial" w:hAnsi="Arial" w:cs="Arial"/>
          <w:sz w:val="18"/>
          <w:szCs w:val="18"/>
          <w:lang w:eastAsia="hu-HU"/>
        </w:rPr>
        <w:t xml:space="preserve"> de Galhas no Torrão; NGSR: Número de Galhas no Sistema Radicular; NO: Número de Ovos.</w:t>
      </w:r>
    </w:p>
    <w:p w14:paraId="3D9D49F8" w14:textId="77777777" w:rsidR="00BD3CC1" w:rsidRDefault="00BD3CC1" w:rsidP="00BD3CC1">
      <w:pPr>
        <w:rPr>
          <w:lang w:eastAsia="hu-HU"/>
        </w:rPr>
      </w:pPr>
    </w:p>
    <w:p w14:paraId="185E91C6" w14:textId="6B33CB15" w:rsidR="00303573" w:rsidRDefault="00E768DE" w:rsidP="005A0AF5">
      <w:pPr>
        <w:spacing w:after="0"/>
        <w:ind w:firstLine="708"/>
        <w:jc w:val="both"/>
        <w:rPr>
          <w:rFonts w:ascii="Arial" w:hAnsi="Arial" w:cs="Arial"/>
        </w:rPr>
      </w:pPr>
      <w:r w:rsidRPr="00E768DE">
        <w:rPr>
          <w:rFonts w:ascii="Arial" w:hAnsi="Arial" w:cs="Arial"/>
        </w:rPr>
        <w:lastRenderedPageBreak/>
        <w:t>Na Figura 1, observa-se que a variável IGNT apresentou uma resposta de regressão linear negativa. Isso indica que, à medida que aumentou a porcentagem do pó da concha do mexilhão-dourado, houve uma redução na incidência de galhas no torrão. O menor valor de IGNT foi registrado com a aplicação de 40% do pó, evidenciando que as concentrações mais elevadas do produto são mais eficazes na redução da infestação. O coeficiente de determinação foi de 69,86%, demonstrando um bom ajuste do modelo aos dados observados.</w:t>
      </w:r>
    </w:p>
    <w:p w14:paraId="10C6A5C8" w14:textId="77777777" w:rsidR="00E768DE" w:rsidRDefault="00E768DE" w:rsidP="005A0AF5">
      <w:pPr>
        <w:spacing w:after="0"/>
        <w:ind w:firstLine="708"/>
        <w:jc w:val="both"/>
        <w:rPr>
          <w:rFonts w:ascii="Arial" w:hAnsi="Arial" w:cs="Arial"/>
          <w:lang w:eastAsia="hu-HU"/>
        </w:rPr>
      </w:pPr>
    </w:p>
    <w:p w14:paraId="4A2A1A2C" w14:textId="6030C32A" w:rsidR="005A0AF5" w:rsidRPr="005A0AF5" w:rsidRDefault="005A0AF5" w:rsidP="005A0AF5">
      <w:pPr>
        <w:spacing w:after="0"/>
        <w:jc w:val="center"/>
        <w:rPr>
          <w:rFonts w:ascii="Arial" w:hAnsi="Arial" w:cs="Arial"/>
          <w:sz w:val="20"/>
          <w:szCs w:val="20"/>
          <w:lang w:eastAsia="hu-HU"/>
        </w:rPr>
      </w:pPr>
      <w:r w:rsidRPr="00330CA9">
        <w:rPr>
          <w:rFonts w:ascii="Arial" w:hAnsi="Arial" w:cs="Arial"/>
          <w:b/>
          <w:bCs/>
          <w:sz w:val="20"/>
          <w:szCs w:val="20"/>
          <w:lang w:eastAsia="hu-HU"/>
        </w:rPr>
        <w:t>Figura 1.</w:t>
      </w:r>
      <w:r w:rsidRPr="005A0AF5">
        <w:rPr>
          <w:sz w:val="20"/>
          <w:szCs w:val="20"/>
        </w:rPr>
        <w:t xml:space="preserve"> </w:t>
      </w:r>
      <w:r w:rsidRPr="005A0AF5">
        <w:rPr>
          <w:rFonts w:ascii="Arial" w:hAnsi="Arial" w:cs="Arial"/>
          <w:sz w:val="20"/>
          <w:szCs w:val="20"/>
          <w:lang w:eastAsia="hu-HU"/>
        </w:rPr>
        <w:t>Regressão</w:t>
      </w:r>
      <w:r w:rsidR="00330CA9">
        <w:rPr>
          <w:rFonts w:ascii="Arial" w:hAnsi="Arial" w:cs="Arial"/>
          <w:sz w:val="20"/>
          <w:szCs w:val="20"/>
          <w:lang w:eastAsia="hu-HU"/>
        </w:rPr>
        <w:t xml:space="preserve"> </w:t>
      </w:r>
      <w:r w:rsidRPr="005A0AF5">
        <w:rPr>
          <w:rFonts w:ascii="Arial" w:hAnsi="Arial" w:cs="Arial"/>
          <w:sz w:val="20"/>
          <w:szCs w:val="20"/>
          <w:lang w:eastAsia="hu-HU"/>
        </w:rPr>
        <w:t>linear</w:t>
      </w:r>
      <w:r w:rsidR="00330CA9">
        <w:rPr>
          <w:rFonts w:ascii="Arial" w:hAnsi="Arial" w:cs="Arial"/>
          <w:sz w:val="20"/>
          <w:szCs w:val="20"/>
          <w:lang w:eastAsia="hu-HU"/>
        </w:rPr>
        <w:t xml:space="preserve"> negativa</w:t>
      </w:r>
      <w:r w:rsidRPr="005A0AF5">
        <w:rPr>
          <w:rFonts w:ascii="Arial" w:hAnsi="Arial" w:cs="Arial"/>
          <w:sz w:val="20"/>
          <w:szCs w:val="20"/>
          <w:lang w:eastAsia="hu-HU"/>
        </w:rPr>
        <w:t xml:space="preserve"> entre a porcentagem do pó da concha do mexilhão-dourado no substrato e </w:t>
      </w:r>
      <w:r w:rsidR="00330CA9">
        <w:rPr>
          <w:rFonts w:ascii="Arial" w:hAnsi="Arial" w:cs="Arial"/>
          <w:sz w:val="20"/>
          <w:szCs w:val="20"/>
          <w:lang w:eastAsia="hu-HU"/>
        </w:rPr>
        <w:t xml:space="preserve">a incidência </w:t>
      </w:r>
      <w:r w:rsidRPr="005A0AF5">
        <w:rPr>
          <w:rFonts w:ascii="Arial" w:hAnsi="Arial" w:cs="Arial"/>
          <w:sz w:val="20"/>
          <w:szCs w:val="20"/>
          <w:lang w:eastAsia="hu-HU"/>
        </w:rPr>
        <w:t xml:space="preserve">de galhas no </w:t>
      </w:r>
      <w:r>
        <w:rPr>
          <w:rFonts w:ascii="Arial" w:hAnsi="Arial" w:cs="Arial"/>
          <w:sz w:val="20"/>
          <w:szCs w:val="20"/>
          <w:lang w:eastAsia="hu-HU"/>
        </w:rPr>
        <w:t>torrão</w:t>
      </w:r>
      <w:r w:rsidRPr="005A0AF5">
        <w:rPr>
          <w:rFonts w:ascii="Arial" w:hAnsi="Arial" w:cs="Arial"/>
          <w:sz w:val="20"/>
          <w:szCs w:val="20"/>
          <w:lang w:eastAsia="hu-HU"/>
        </w:rPr>
        <w:t xml:space="preserve"> (IG</w:t>
      </w:r>
      <w:r>
        <w:rPr>
          <w:rFonts w:ascii="Arial" w:hAnsi="Arial" w:cs="Arial"/>
          <w:sz w:val="20"/>
          <w:szCs w:val="20"/>
          <w:lang w:eastAsia="hu-HU"/>
        </w:rPr>
        <w:t>NT</w:t>
      </w:r>
      <w:r w:rsidRPr="005A0AF5">
        <w:rPr>
          <w:rFonts w:ascii="Arial" w:hAnsi="Arial" w:cs="Arial"/>
          <w:sz w:val="20"/>
          <w:szCs w:val="20"/>
          <w:lang w:eastAsia="hu-HU"/>
        </w:rPr>
        <w:t>) d</w:t>
      </w:r>
      <w:r>
        <w:rPr>
          <w:rFonts w:ascii="Arial" w:hAnsi="Arial" w:cs="Arial"/>
          <w:sz w:val="20"/>
          <w:szCs w:val="20"/>
          <w:lang w:eastAsia="hu-HU"/>
        </w:rPr>
        <w:t>o quiabeiro.</w:t>
      </w:r>
    </w:p>
    <w:p w14:paraId="6DF2A6E1" w14:textId="343D06CD" w:rsidR="00604941" w:rsidRDefault="00604941" w:rsidP="00330CA9">
      <w:pPr>
        <w:jc w:val="center"/>
        <w:rPr>
          <w:lang w:eastAsia="hu-HU"/>
        </w:rPr>
      </w:pPr>
      <w:r>
        <w:rPr>
          <w:noProof/>
        </w:rPr>
        <w:drawing>
          <wp:inline distT="0" distB="0" distL="0" distR="0" wp14:anchorId="67047B80" wp14:editId="7F4A9BA2">
            <wp:extent cx="4084320" cy="2255520"/>
            <wp:effectExtent l="0" t="0" r="11430" b="11430"/>
            <wp:docPr id="3732633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6DBF587-CC7E-6C51-57F3-6953399F7C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5B4E44" w14:textId="77777777" w:rsidR="004B4492" w:rsidRDefault="004B4492" w:rsidP="00303573">
      <w:pPr>
        <w:spacing w:after="120"/>
        <w:ind w:firstLine="708"/>
        <w:jc w:val="both"/>
        <w:rPr>
          <w:rFonts w:ascii="Arial" w:hAnsi="Arial" w:cs="Arial"/>
          <w:lang w:eastAsia="hu-HU"/>
        </w:rPr>
      </w:pPr>
    </w:p>
    <w:p w14:paraId="2C32CF07" w14:textId="37D65A06" w:rsidR="00330CA9" w:rsidRDefault="00330CA9" w:rsidP="004B4492">
      <w:pPr>
        <w:spacing w:after="120"/>
        <w:ind w:firstLine="708"/>
        <w:jc w:val="both"/>
        <w:rPr>
          <w:rFonts w:ascii="Arial" w:hAnsi="Arial" w:cs="Arial"/>
          <w:lang w:eastAsia="hu-HU"/>
        </w:rPr>
      </w:pPr>
      <w:r w:rsidRPr="00330CA9">
        <w:rPr>
          <w:rFonts w:ascii="Arial" w:hAnsi="Arial" w:cs="Arial"/>
          <w:lang w:eastAsia="hu-HU"/>
        </w:rPr>
        <w:t>Para a variável NGSR (Figura 2), também foi observado efeito de regressão linear negativa. O coeficiente de determinação</w:t>
      </w:r>
      <w:r>
        <w:rPr>
          <w:rFonts w:ascii="Arial" w:hAnsi="Arial" w:cs="Arial"/>
          <w:lang w:eastAsia="hu-HU"/>
        </w:rPr>
        <w:t xml:space="preserve"> </w:t>
      </w:r>
      <w:r w:rsidRPr="00330CA9">
        <w:rPr>
          <w:rFonts w:ascii="Arial" w:hAnsi="Arial" w:cs="Arial"/>
          <w:lang w:eastAsia="hu-HU"/>
        </w:rPr>
        <w:t>foi de 77,68%, indicando um bom ajuste do modelo aos dados observados. Na concentração de 0% do pó da concha do mexilhão-dourado, foram registradas mais de 160 galhas, enquanto na concentração de 40%, esse número foi reduzido para menos de 40 galhas.</w:t>
      </w:r>
    </w:p>
    <w:p w14:paraId="7E1BBC08" w14:textId="0CA48331" w:rsidR="00303573" w:rsidRPr="005A0AF5" w:rsidRDefault="00303573" w:rsidP="005A0AF5">
      <w:pPr>
        <w:spacing w:after="0"/>
        <w:jc w:val="center"/>
        <w:rPr>
          <w:rFonts w:ascii="Arial" w:hAnsi="Arial" w:cs="Arial"/>
          <w:sz w:val="20"/>
          <w:szCs w:val="20"/>
          <w:lang w:eastAsia="hu-HU"/>
        </w:rPr>
      </w:pPr>
      <w:r w:rsidRPr="004B4492">
        <w:rPr>
          <w:rFonts w:ascii="Arial" w:hAnsi="Arial" w:cs="Arial"/>
          <w:b/>
          <w:bCs/>
          <w:sz w:val="20"/>
          <w:szCs w:val="20"/>
          <w:lang w:eastAsia="hu-HU"/>
        </w:rPr>
        <w:t>Figura 2.</w:t>
      </w:r>
      <w:r w:rsidR="005A0AF5" w:rsidRPr="004B4492">
        <w:rPr>
          <w:b/>
          <w:bCs/>
          <w:sz w:val="20"/>
          <w:szCs w:val="20"/>
        </w:rPr>
        <w:t xml:space="preserve"> </w:t>
      </w:r>
      <w:r w:rsidR="005A0AF5" w:rsidRPr="005A0AF5">
        <w:rPr>
          <w:rFonts w:ascii="Arial" w:hAnsi="Arial" w:cs="Arial"/>
          <w:sz w:val="20"/>
          <w:szCs w:val="20"/>
          <w:lang w:eastAsia="hu-HU"/>
        </w:rPr>
        <w:t xml:space="preserve">Regressão linear </w:t>
      </w:r>
      <w:r w:rsidR="004B4492">
        <w:rPr>
          <w:rFonts w:ascii="Arial" w:hAnsi="Arial" w:cs="Arial"/>
          <w:sz w:val="20"/>
          <w:szCs w:val="20"/>
          <w:lang w:eastAsia="hu-HU"/>
        </w:rPr>
        <w:t xml:space="preserve">negativa </w:t>
      </w:r>
      <w:r w:rsidR="005A0AF5" w:rsidRPr="005A0AF5">
        <w:rPr>
          <w:rFonts w:ascii="Arial" w:hAnsi="Arial" w:cs="Arial"/>
          <w:sz w:val="20"/>
          <w:szCs w:val="20"/>
          <w:lang w:eastAsia="hu-HU"/>
        </w:rPr>
        <w:t xml:space="preserve">entre a porcentagem do pó da concha do mexilhão-dourado no substrato e o </w:t>
      </w:r>
      <w:r w:rsidR="00330CA9">
        <w:rPr>
          <w:rFonts w:ascii="Arial" w:hAnsi="Arial" w:cs="Arial"/>
          <w:sz w:val="20"/>
          <w:szCs w:val="20"/>
          <w:lang w:eastAsia="hu-HU"/>
        </w:rPr>
        <w:t>número</w:t>
      </w:r>
      <w:r w:rsidR="005A0AF5" w:rsidRPr="005A0AF5">
        <w:rPr>
          <w:rFonts w:ascii="Arial" w:hAnsi="Arial" w:cs="Arial"/>
          <w:sz w:val="20"/>
          <w:szCs w:val="20"/>
          <w:lang w:eastAsia="hu-HU"/>
        </w:rPr>
        <w:t xml:space="preserve"> de galhas no sistema radicular (</w:t>
      </w:r>
      <w:r w:rsidR="00330CA9">
        <w:rPr>
          <w:rFonts w:ascii="Arial" w:hAnsi="Arial" w:cs="Arial"/>
          <w:sz w:val="20"/>
          <w:szCs w:val="20"/>
          <w:lang w:eastAsia="hu-HU"/>
        </w:rPr>
        <w:t>N</w:t>
      </w:r>
      <w:r w:rsidR="005A0AF5" w:rsidRPr="005A0AF5">
        <w:rPr>
          <w:rFonts w:ascii="Arial" w:hAnsi="Arial" w:cs="Arial"/>
          <w:sz w:val="20"/>
          <w:szCs w:val="20"/>
          <w:lang w:eastAsia="hu-HU"/>
        </w:rPr>
        <w:t>GSR) d</w:t>
      </w:r>
      <w:r w:rsidR="005A0AF5">
        <w:rPr>
          <w:rFonts w:ascii="Arial" w:hAnsi="Arial" w:cs="Arial"/>
          <w:sz w:val="20"/>
          <w:szCs w:val="20"/>
          <w:lang w:eastAsia="hu-HU"/>
        </w:rPr>
        <w:t>o quiabeiro.</w:t>
      </w:r>
    </w:p>
    <w:p w14:paraId="3A86E3A3" w14:textId="05093037" w:rsidR="00BD3CC1" w:rsidRDefault="00604941" w:rsidP="00604941">
      <w:pPr>
        <w:jc w:val="center"/>
      </w:pPr>
      <w:r>
        <w:rPr>
          <w:noProof/>
        </w:rPr>
        <w:drawing>
          <wp:inline distT="0" distB="0" distL="0" distR="0" wp14:anchorId="4C8B5192" wp14:editId="0B03B449">
            <wp:extent cx="3855720" cy="2545080"/>
            <wp:effectExtent l="0" t="0" r="11430" b="7620"/>
            <wp:docPr id="17068195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2FB419-E7A9-429F-62EE-4237BDE4A4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F3EE8C" w14:textId="26456792" w:rsidR="005E69E4" w:rsidRDefault="005E69E4" w:rsidP="0030357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E69E4">
        <w:rPr>
          <w:rFonts w:ascii="Arial" w:hAnsi="Arial" w:cs="Arial"/>
        </w:rPr>
        <w:lastRenderedPageBreak/>
        <w:t xml:space="preserve">A figura </w:t>
      </w:r>
      <w:r>
        <w:rPr>
          <w:rFonts w:ascii="Arial" w:hAnsi="Arial" w:cs="Arial"/>
        </w:rPr>
        <w:t xml:space="preserve">3 </w:t>
      </w:r>
      <w:r w:rsidRPr="005E69E4">
        <w:rPr>
          <w:rFonts w:ascii="Arial" w:hAnsi="Arial" w:cs="Arial"/>
        </w:rPr>
        <w:t xml:space="preserve">apresenta </w:t>
      </w:r>
      <w:r w:rsidR="004B4492">
        <w:rPr>
          <w:rFonts w:ascii="Arial" w:hAnsi="Arial" w:cs="Arial"/>
        </w:rPr>
        <w:t xml:space="preserve">para o NO, </w:t>
      </w:r>
      <w:r w:rsidRPr="005E69E4">
        <w:rPr>
          <w:rFonts w:ascii="Arial" w:hAnsi="Arial" w:cs="Arial"/>
        </w:rPr>
        <w:t>regressão quadrática</w:t>
      </w:r>
      <w:r w:rsidR="004B4492">
        <w:rPr>
          <w:rFonts w:ascii="Arial" w:hAnsi="Arial" w:cs="Arial"/>
        </w:rPr>
        <w:t xml:space="preserve"> </w:t>
      </w:r>
      <w:r w:rsidRPr="005E69E4">
        <w:rPr>
          <w:rFonts w:ascii="Arial" w:hAnsi="Arial" w:cs="Arial"/>
        </w:rPr>
        <w:t>entre a porcentagem do pó da concha do mexilhão-dourado no substrato e o número de ovos (NO) do nematoide-das-galhas</w:t>
      </w:r>
      <w:r>
        <w:rPr>
          <w:rFonts w:ascii="Arial" w:hAnsi="Arial" w:cs="Arial"/>
        </w:rPr>
        <w:t xml:space="preserve">. </w:t>
      </w:r>
      <w:r w:rsidR="00B1295A">
        <w:rPr>
          <w:rFonts w:ascii="Arial" w:hAnsi="Arial" w:cs="Arial"/>
        </w:rPr>
        <w:t>T</w:t>
      </w:r>
      <w:r w:rsidR="00B1295A" w:rsidRPr="00B1295A">
        <w:rPr>
          <w:rFonts w:ascii="Arial" w:hAnsi="Arial" w:cs="Arial"/>
        </w:rPr>
        <w:t xml:space="preserve">rata-se de uma parábola com concavidade voltada para cima, indicando que há um ponto mínimo no número de ovos. </w:t>
      </w:r>
      <w:r w:rsidRPr="005E69E4">
        <w:rPr>
          <w:rFonts w:ascii="Arial" w:hAnsi="Arial" w:cs="Arial"/>
        </w:rPr>
        <w:t>A forma da curva sugere que o número de ovos reduz de maneira mais acentuada até uma determinada porcentagem do pó, e depois estabiliza.</w:t>
      </w:r>
      <w:r>
        <w:rPr>
          <w:rFonts w:ascii="Arial" w:hAnsi="Arial" w:cs="Arial"/>
        </w:rPr>
        <w:t xml:space="preserve"> </w:t>
      </w:r>
      <w:r w:rsidRPr="005E69E4">
        <w:rPr>
          <w:rFonts w:ascii="Arial" w:hAnsi="Arial" w:cs="Arial"/>
        </w:rPr>
        <w:t>O coeficiente do termo quadrático é positivo indicando uma curva côncava voltada para cima</w:t>
      </w:r>
      <w:r w:rsidR="00B1295A">
        <w:rPr>
          <w:rFonts w:ascii="Arial" w:hAnsi="Arial" w:cs="Arial"/>
        </w:rPr>
        <w:t xml:space="preserve">, </w:t>
      </w:r>
      <w:r w:rsidRPr="005E69E4">
        <w:rPr>
          <w:rFonts w:ascii="Arial" w:hAnsi="Arial" w:cs="Arial"/>
        </w:rPr>
        <w:t xml:space="preserve">No entanto, no intervalo de 0 a 40%, o comportamento observado ainda é de decréscimo, indicando que a curva ainda não atingiu o ponto de inflexão dentro da faixa testada. </w:t>
      </w:r>
    </w:p>
    <w:p w14:paraId="02FCB09D" w14:textId="77777777" w:rsidR="00303573" w:rsidRDefault="00303573" w:rsidP="005A0AF5">
      <w:pPr>
        <w:spacing w:after="0" w:line="240" w:lineRule="auto"/>
        <w:ind w:right="851" w:firstLine="567"/>
        <w:jc w:val="center"/>
        <w:rPr>
          <w:rFonts w:ascii="Arial" w:hAnsi="Arial" w:cs="Arial"/>
        </w:rPr>
      </w:pPr>
    </w:p>
    <w:p w14:paraId="66F5CDD4" w14:textId="0E48D672" w:rsidR="00B1295A" w:rsidRPr="005A0AF5" w:rsidRDefault="00303573" w:rsidP="005A0AF5">
      <w:pPr>
        <w:spacing w:after="0" w:line="240" w:lineRule="auto"/>
        <w:ind w:right="851" w:firstLine="142"/>
        <w:jc w:val="center"/>
        <w:rPr>
          <w:rFonts w:ascii="Arial" w:hAnsi="Arial" w:cs="Arial"/>
          <w:sz w:val="20"/>
          <w:szCs w:val="20"/>
        </w:rPr>
      </w:pPr>
      <w:r w:rsidRPr="004B4492">
        <w:rPr>
          <w:rFonts w:ascii="Arial" w:hAnsi="Arial" w:cs="Arial"/>
          <w:b/>
          <w:bCs/>
          <w:sz w:val="20"/>
          <w:szCs w:val="20"/>
        </w:rPr>
        <w:t>Figura 3.</w:t>
      </w:r>
      <w:r w:rsidR="005A0AF5" w:rsidRPr="005A0AF5">
        <w:t xml:space="preserve"> </w:t>
      </w:r>
      <w:r w:rsidR="005A0AF5" w:rsidRPr="005A0AF5">
        <w:rPr>
          <w:rFonts w:ascii="Arial" w:hAnsi="Arial" w:cs="Arial"/>
          <w:sz w:val="20"/>
          <w:szCs w:val="20"/>
        </w:rPr>
        <w:t xml:space="preserve">Regressão </w:t>
      </w:r>
      <w:r w:rsidR="005A0AF5">
        <w:rPr>
          <w:rFonts w:ascii="Arial" w:hAnsi="Arial" w:cs="Arial"/>
          <w:sz w:val="20"/>
          <w:szCs w:val="20"/>
        </w:rPr>
        <w:t>quadrática</w:t>
      </w:r>
      <w:r w:rsidR="005A0AF5" w:rsidRPr="005A0AF5">
        <w:rPr>
          <w:rFonts w:ascii="Arial" w:hAnsi="Arial" w:cs="Arial"/>
          <w:sz w:val="20"/>
          <w:szCs w:val="20"/>
        </w:rPr>
        <w:t xml:space="preserve"> entre a porcentagem do pó da concha do mexilhão-dourado no substrato e o</w:t>
      </w:r>
      <w:r w:rsidR="005A0AF5">
        <w:rPr>
          <w:rFonts w:ascii="Arial" w:hAnsi="Arial" w:cs="Arial"/>
          <w:sz w:val="20"/>
          <w:szCs w:val="20"/>
        </w:rPr>
        <w:t xml:space="preserve"> número de ovos (NO) no quiabeiro</w:t>
      </w:r>
      <w:r w:rsidR="005A0AF5" w:rsidRPr="005A0AF5">
        <w:rPr>
          <w:rFonts w:ascii="Arial" w:hAnsi="Arial" w:cs="Arial"/>
          <w:sz w:val="20"/>
          <w:szCs w:val="20"/>
        </w:rPr>
        <w:t>.</w:t>
      </w:r>
    </w:p>
    <w:p w14:paraId="67D682EB" w14:textId="5CA0F9B4" w:rsidR="00BD3CC1" w:rsidRPr="005E69E4" w:rsidRDefault="005E69E4" w:rsidP="00303573">
      <w:pPr>
        <w:spacing w:after="0"/>
        <w:ind w:firstLine="708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69860BC" wp14:editId="5720EB72">
            <wp:extent cx="4191000" cy="2331720"/>
            <wp:effectExtent l="0" t="0" r="0" b="11430"/>
            <wp:docPr id="10357200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AB10140-67B8-F33D-6194-76EBEFBB20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4E6793" w14:textId="77777777" w:rsidR="00BD3CC1" w:rsidRDefault="00BD3CC1" w:rsidP="00303573">
      <w:pPr>
        <w:spacing w:after="0"/>
      </w:pPr>
    </w:p>
    <w:p w14:paraId="5B8B7162" w14:textId="79CE12A9" w:rsidR="00303573" w:rsidRDefault="00B1295A" w:rsidP="00303573">
      <w:pPr>
        <w:spacing w:after="0"/>
        <w:ind w:firstLine="360"/>
        <w:jc w:val="both"/>
        <w:rPr>
          <w:rFonts w:ascii="Arial" w:hAnsi="Arial" w:cs="Arial"/>
        </w:rPr>
      </w:pPr>
      <w:r w:rsidRPr="00B1295A">
        <w:rPr>
          <w:rFonts w:ascii="Arial" w:hAnsi="Arial" w:cs="Arial"/>
        </w:rPr>
        <w:t xml:space="preserve">O coeficiente de determinação foi de 94,21%, </w:t>
      </w:r>
      <w:r w:rsidR="004B4492" w:rsidRPr="00330CA9">
        <w:rPr>
          <w:rFonts w:ascii="Arial" w:hAnsi="Arial" w:cs="Arial"/>
          <w:lang w:eastAsia="hu-HU"/>
        </w:rPr>
        <w:t>indicando um bom ajuste do modelo aos dados observados</w:t>
      </w:r>
      <w:r w:rsidRPr="00B1295A">
        <w:rPr>
          <w:rFonts w:ascii="Arial" w:hAnsi="Arial" w:cs="Arial"/>
        </w:rPr>
        <w:t>. O menor número de ovos foi observado próximo a 40% de pó, reafirmando que maiores doses aumentam a eficácia do controle.</w:t>
      </w:r>
      <w:r w:rsidR="00675FC7">
        <w:rPr>
          <w:rFonts w:ascii="Arial" w:hAnsi="Arial" w:cs="Arial"/>
        </w:rPr>
        <w:t xml:space="preserve"> É notório os decréscimos das quantidades de ovos de acordo com as porcentagens do pó da concha do mexilhão-dourado. </w:t>
      </w:r>
    </w:p>
    <w:p w14:paraId="07B0708E" w14:textId="16DA9B7B" w:rsidR="00303573" w:rsidRDefault="00675FC7" w:rsidP="005A0AF5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Contudo, as porcentagens de 20, 30 e 40% do pó </w:t>
      </w:r>
      <w:r w:rsidRPr="00426431">
        <w:rPr>
          <w:rFonts w:ascii="Arial" w:hAnsi="Arial" w:cs="Arial"/>
        </w:rPr>
        <w:t xml:space="preserve">promoveu uma expressiva redução na população de </w:t>
      </w:r>
      <w:proofErr w:type="spellStart"/>
      <w:r w:rsidRPr="00426431">
        <w:rPr>
          <w:rStyle w:val="nfase"/>
          <w:rFonts w:ascii="Arial" w:hAnsi="Arial" w:cs="Arial"/>
        </w:rPr>
        <w:t>Meloidogyne</w:t>
      </w:r>
      <w:proofErr w:type="spellEnd"/>
      <w:r>
        <w:rPr>
          <w:rStyle w:val="nfase"/>
          <w:rFonts w:ascii="Arial" w:hAnsi="Arial" w:cs="Arial"/>
        </w:rPr>
        <w:t xml:space="preserve"> </w:t>
      </w:r>
      <w:proofErr w:type="spellStart"/>
      <w:r>
        <w:rPr>
          <w:rStyle w:val="nfase"/>
          <w:rFonts w:ascii="Arial" w:hAnsi="Arial" w:cs="Arial"/>
        </w:rPr>
        <w:t>javanica</w:t>
      </w:r>
      <w:proofErr w:type="spellEnd"/>
      <w:r>
        <w:rPr>
          <w:rStyle w:val="nfase"/>
          <w:rFonts w:ascii="Arial" w:hAnsi="Arial" w:cs="Arial"/>
        </w:rPr>
        <w:t xml:space="preserve"> </w:t>
      </w:r>
      <w:r w:rsidRPr="00426431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quiabeiro, pois foi inoculado 2000 ovos, e na avaliação foi observado 1740, 1665 e 1601 respectivamente para as devidas porcentagens, o que equivale a</w:t>
      </w:r>
      <w:r w:rsidRPr="00426431">
        <w:rPr>
          <w:rFonts w:ascii="Arial" w:hAnsi="Arial" w:cs="Arial"/>
        </w:rPr>
        <w:t xml:space="preserve"> fator</w:t>
      </w:r>
      <w:r>
        <w:rPr>
          <w:rFonts w:ascii="Arial" w:hAnsi="Arial" w:cs="Arial"/>
        </w:rPr>
        <w:t>es</w:t>
      </w:r>
      <w:r w:rsidRPr="00426431">
        <w:rPr>
          <w:rFonts w:ascii="Arial" w:hAnsi="Arial" w:cs="Arial"/>
        </w:rPr>
        <w:t xml:space="preserve"> de reprodução (FR) </w:t>
      </w:r>
      <w:r>
        <w:rPr>
          <w:rFonts w:ascii="Arial" w:hAnsi="Arial" w:cs="Arial"/>
        </w:rPr>
        <w:t>inferiores a 1</w:t>
      </w:r>
      <w:r w:rsidRPr="00426431">
        <w:rPr>
          <w:rFonts w:ascii="Arial" w:hAnsi="Arial" w:cs="Arial"/>
        </w:rPr>
        <w:t xml:space="preserve">. De acordo com </w:t>
      </w:r>
      <w:proofErr w:type="spellStart"/>
      <w:r w:rsidRPr="00426431">
        <w:rPr>
          <w:rFonts w:ascii="Arial" w:hAnsi="Arial" w:cs="Arial"/>
        </w:rPr>
        <w:t>Oostenbrink</w:t>
      </w:r>
      <w:proofErr w:type="spellEnd"/>
      <w:r w:rsidRPr="00426431">
        <w:rPr>
          <w:rFonts w:ascii="Arial" w:hAnsi="Arial" w:cs="Arial"/>
        </w:rPr>
        <w:t xml:space="preserve"> (1966), valores de FR inferiores a 1 indicam que a planta não permitiu a multiplicação do nematoide, comportando-se como resistente. </w:t>
      </w:r>
    </w:p>
    <w:p w14:paraId="39EB26F5" w14:textId="10682DC4" w:rsidR="00BD3CC1" w:rsidRDefault="00675FC7" w:rsidP="005A0AF5">
      <w:pPr>
        <w:spacing w:after="0"/>
        <w:ind w:firstLine="360"/>
        <w:jc w:val="both"/>
        <w:rPr>
          <w:rFonts w:ascii="Arial" w:hAnsi="Arial" w:cs="Arial"/>
        </w:rPr>
      </w:pPr>
      <w:r w:rsidRPr="00675FC7">
        <w:rPr>
          <w:rFonts w:ascii="Arial" w:hAnsi="Arial" w:cs="Arial"/>
        </w:rPr>
        <w:t xml:space="preserve">Os resultados indicam que as </w:t>
      </w:r>
      <w:r>
        <w:rPr>
          <w:rFonts w:ascii="Arial" w:hAnsi="Arial" w:cs="Arial"/>
        </w:rPr>
        <w:t>porcentagens</w:t>
      </w:r>
      <w:r w:rsidRPr="00675FC7">
        <w:rPr>
          <w:rFonts w:ascii="Arial" w:hAnsi="Arial" w:cs="Arial"/>
        </w:rPr>
        <w:t xml:space="preserve"> de 20, 30 e 40% do pó da concha do mexilhão-dourado no substrato possivelmente contribuíram para a redução do parasitismo, seja por efeitos diretos sobre ovos e juvenis do nematoide, seja por influências indiretas, como alterações nas características físico-químicas do substrato ou na fisiologia das raízes do quiabeiro. Além disso, não se descarta a hipótese de que o pó possa ter ativado respostas de defesa da planta, à semelhança do que ocorre com substâncias naturais que atuam como </w:t>
      </w:r>
      <w:proofErr w:type="spellStart"/>
      <w:r w:rsidRPr="00675FC7">
        <w:rPr>
          <w:rFonts w:ascii="Arial" w:hAnsi="Arial" w:cs="Arial"/>
        </w:rPr>
        <w:t>elicitores</w:t>
      </w:r>
      <w:proofErr w:type="spellEnd"/>
      <w:r w:rsidRPr="00675FC7">
        <w:rPr>
          <w:rFonts w:ascii="Arial" w:hAnsi="Arial" w:cs="Arial"/>
        </w:rPr>
        <w:t xml:space="preserve"> (CAMPOS et al., 2023). No entanto, investigações adicionais são necessárias para compreender os mecanismos envolvidos na ação supressiva desse material sobre o nematoide.</w:t>
      </w:r>
    </w:p>
    <w:p w14:paraId="13F9092B" w14:textId="77777777" w:rsidR="00675FC7" w:rsidRDefault="00675FC7" w:rsidP="00675FC7">
      <w:pPr>
        <w:ind w:firstLine="360"/>
        <w:jc w:val="both"/>
      </w:pPr>
    </w:p>
    <w:p w14:paraId="37199613" w14:textId="1BBFF08A" w:rsidR="00C16C9A" w:rsidRPr="004B1A83" w:rsidRDefault="346052D9" w:rsidP="004B1A8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4B1A83">
        <w:rPr>
          <w:rFonts w:ascii="Arial" w:hAnsi="Arial" w:cs="Arial"/>
          <w:b/>
          <w:bCs/>
          <w:color w:val="000000" w:themeColor="text1"/>
        </w:rPr>
        <w:lastRenderedPageBreak/>
        <w:t>CONCLUSÕES</w:t>
      </w:r>
    </w:p>
    <w:p w14:paraId="0FBF96A9" w14:textId="7C447132" w:rsidR="00675FC7" w:rsidRPr="002D743E" w:rsidRDefault="00675FC7" w:rsidP="00675FC7">
      <w:pPr>
        <w:spacing w:line="24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pó da concha do mexilhão dourado </w:t>
      </w:r>
      <w:r>
        <w:rPr>
          <w:rStyle w:val="normaltextrun"/>
          <w:rFonts w:ascii="Arial" w:eastAsiaTheme="majorEastAsia" w:hAnsi="Arial" w:cs="Arial"/>
        </w:rPr>
        <w:t xml:space="preserve">controla o </w:t>
      </w:r>
      <w:proofErr w:type="spellStart"/>
      <w:r w:rsidRPr="00675FC7">
        <w:rPr>
          <w:rStyle w:val="normaltextrun"/>
          <w:rFonts w:ascii="Arial" w:eastAsiaTheme="majorEastAsia" w:hAnsi="Arial" w:cs="Arial"/>
          <w:i/>
          <w:iCs/>
        </w:rPr>
        <w:t>Meloidogyne</w:t>
      </w:r>
      <w:proofErr w:type="spellEnd"/>
      <w:r w:rsidRPr="00675FC7">
        <w:rPr>
          <w:rStyle w:val="normaltextrun"/>
          <w:rFonts w:ascii="Arial" w:eastAsiaTheme="majorEastAsia" w:hAnsi="Arial" w:cs="Arial"/>
          <w:i/>
          <w:iCs/>
        </w:rPr>
        <w:t xml:space="preserve"> </w:t>
      </w:r>
      <w:proofErr w:type="spellStart"/>
      <w:r w:rsidRPr="00675FC7">
        <w:rPr>
          <w:rStyle w:val="normaltextrun"/>
          <w:rFonts w:ascii="Arial" w:eastAsiaTheme="majorEastAsia" w:hAnsi="Arial" w:cs="Arial"/>
          <w:i/>
          <w:iCs/>
        </w:rPr>
        <w:t>javanica</w:t>
      </w:r>
      <w:proofErr w:type="spellEnd"/>
      <w:r>
        <w:rPr>
          <w:rStyle w:val="normaltextrun"/>
          <w:rFonts w:ascii="Arial" w:eastAsiaTheme="majorEastAsia" w:hAnsi="Arial" w:cs="Arial"/>
        </w:rPr>
        <w:t xml:space="preserve"> n</w:t>
      </w:r>
      <w:r w:rsidR="00DA71D4">
        <w:rPr>
          <w:rStyle w:val="normaltextrun"/>
          <w:rFonts w:ascii="Arial" w:eastAsiaTheme="majorEastAsia" w:hAnsi="Arial" w:cs="Arial"/>
        </w:rPr>
        <w:t>o</w:t>
      </w:r>
      <w:r>
        <w:rPr>
          <w:rStyle w:val="normaltextrun"/>
          <w:rFonts w:ascii="Arial" w:eastAsiaTheme="majorEastAsia" w:hAnsi="Arial" w:cs="Arial"/>
        </w:rPr>
        <w:t xml:space="preserve"> quiabeiro. As porcentagens de 20, 30 e 40% reduziram a população de nematoide e possibilit</w:t>
      </w:r>
      <w:r w:rsidR="006651BB">
        <w:rPr>
          <w:rStyle w:val="normaltextrun"/>
          <w:rFonts w:ascii="Arial" w:eastAsiaTheme="majorEastAsia" w:hAnsi="Arial" w:cs="Arial"/>
        </w:rPr>
        <w:t>aram</w:t>
      </w:r>
      <w:r>
        <w:rPr>
          <w:rStyle w:val="normaltextrun"/>
          <w:rFonts w:ascii="Arial" w:eastAsiaTheme="majorEastAsia" w:hAnsi="Arial" w:cs="Arial"/>
        </w:rPr>
        <w:t xml:space="preserve"> que a planta reagisse como resistente</w:t>
      </w:r>
      <w:r w:rsidR="00DA71D4">
        <w:rPr>
          <w:rStyle w:val="normaltextrun"/>
          <w:rFonts w:ascii="Arial" w:eastAsiaTheme="majorEastAsia" w:hAnsi="Arial" w:cs="Arial"/>
        </w:rPr>
        <w:t xml:space="preserve"> com </w:t>
      </w:r>
      <w:r w:rsidR="00DA71D4" w:rsidRPr="00426431">
        <w:rPr>
          <w:rFonts w:ascii="Arial" w:hAnsi="Arial" w:cs="Arial"/>
        </w:rPr>
        <w:t>FR inferiores a 1</w:t>
      </w:r>
      <w:r w:rsidR="00DA71D4">
        <w:rPr>
          <w:rFonts w:ascii="Arial" w:hAnsi="Arial" w:cs="Arial"/>
        </w:rPr>
        <w:t>.</w:t>
      </w:r>
    </w:p>
    <w:p w14:paraId="5869AF9D" w14:textId="77777777" w:rsidR="004B1A83" w:rsidRDefault="004B1A83" w:rsidP="00EA0A6B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3EC325" w14:textId="0A990D5F" w:rsidR="00C16C9A" w:rsidRPr="00EA0A6B" w:rsidRDefault="00C16C9A" w:rsidP="00EA0A6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0A6B">
        <w:rPr>
          <w:rFonts w:ascii="Arial" w:hAnsi="Arial" w:cs="Arial"/>
          <w:b/>
          <w:bCs/>
          <w:color w:val="000000" w:themeColor="text1"/>
        </w:rPr>
        <w:t>REFERÊNCIAS BIBLIOGRÁFICAS</w:t>
      </w:r>
    </w:p>
    <w:p w14:paraId="0CCE2FB5" w14:textId="224EBE35" w:rsidR="00303573" w:rsidRDefault="00303573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0C1ACB">
        <w:rPr>
          <w:rFonts w:ascii="Arial" w:eastAsia="Arial" w:hAnsi="Arial" w:cs="Arial"/>
          <w:color w:val="000000" w:themeColor="text1"/>
        </w:rPr>
        <w:t xml:space="preserve">ASHRAF, M.  A.;  ASMA, H.  F.;  IQBAL, M.  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Exogenous</w:t>
      </w:r>
      <w:proofErr w:type="spellEnd"/>
      <w:r w:rsidRPr="000C1ACB">
        <w:rPr>
          <w:rFonts w:ascii="Arial" w:eastAsia="Arial" w:hAnsi="Arial" w:cs="Arial"/>
          <w:color w:val="000000" w:themeColor="text1"/>
        </w:rPr>
        <w:t> 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menadione</w:t>
      </w:r>
      <w:proofErr w:type="spellEnd"/>
      <w:r w:rsidRPr="000C1ACB">
        <w:rPr>
          <w:rFonts w:ascii="Arial" w:eastAsia="Arial" w:hAnsi="Arial" w:cs="Arial"/>
          <w:color w:val="000000" w:themeColor="text1"/>
        </w:rPr>
        <w:t xml:space="preserve"> sodium bisulfite mitigates specific ion toxicity and oxidative damage in salinityressed okra (</w:t>
      </w:r>
      <w:r w:rsidRPr="000C1ACB">
        <w:rPr>
          <w:rFonts w:ascii="Arial" w:eastAsia="Arial" w:hAnsi="Arial" w:cs="Arial"/>
          <w:i/>
          <w:iCs/>
          <w:color w:val="000000" w:themeColor="text1"/>
        </w:rPr>
        <w:t>Abelmoschus esculentus</w:t>
      </w:r>
      <w:r w:rsidRPr="000C1ACB">
        <w:rPr>
          <w:rFonts w:ascii="Arial" w:eastAsia="Arial" w:hAnsi="Arial" w:cs="Arial"/>
          <w:color w:val="000000" w:themeColor="text1"/>
        </w:rPr>
        <w:t> Moench). </w:t>
      </w:r>
      <w:r w:rsidRPr="000C1ACB">
        <w:rPr>
          <w:rFonts w:ascii="Arial" w:eastAsia="Arial" w:hAnsi="Arial" w:cs="Arial"/>
          <w:b/>
          <w:bCs/>
          <w:color w:val="000000" w:themeColor="text1"/>
        </w:rPr>
        <w:t>Acta Physiologiae Plantarum</w:t>
      </w:r>
      <w:r w:rsidRPr="000C1ACB">
        <w:rPr>
          <w:rFonts w:ascii="Arial" w:eastAsia="Arial" w:hAnsi="Arial" w:cs="Arial"/>
          <w:color w:val="000000" w:themeColor="text1"/>
        </w:rPr>
        <w:t>, v. 41, n. 12, p. 1</w:t>
      </w:r>
      <w:r w:rsidRPr="000C1ACB">
        <w:rPr>
          <w:rFonts w:ascii="Arial" w:eastAsia="Arial" w:hAnsi="Arial" w:cs="Arial"/>
          <w:color w:val="000000" w:themeColor="text1"/>
        </w:rPr>
        <w:softHyphen/>
        <w:t>12, 2019.</w:t>
      </w:r>
    </w:p>
    <w:p w14:paraId="30D42D4D" w14:textId="77777777" w:rsidR="00303573" w:rsidRDefault="00303573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D08E315" w14:textId="28682E29" w:rsidR="00303573" w:rsidRPr="00EA0A6B" w:rsidRDefault="00EA0A6B" w:rsidP="00EA0A6B">
      <w:pPr>
        <w:spacing w:after="0" w:line="240" w:lineRule="auto"/>
        <w:rPr>
          <w:rFonts w:ascii="Arial" w:eastAsia="Arial" w:hAnsi="Arial" w:cs="Arial"/>
          <w:color w:val="222222"/>
        </w:rPr>
      </w:pPr>
      <w:r w:rsidRPr="00F62E7A">
        <w:rPr>
          <w:rFonts w:ascii="Arial" w:eastAsia="Arial" w:hAnsi="Arial" w:cs="Arial"/>
          <w:color w:val="222222"/>
        </w:rPr>
        <w:t xml:space="preserve">BONETI, J. I. S.; FERRAZ, S. J. F. B. Modificação do método de </w:t>
      </w:r>
      <w:proofErr w:type="spellStart"/>
      <w:r w:rsidRPr="00F62E7A">
        <w:rPr>
          <w:rFonts w:ascii="Arial" w:eastAsia="Arial" w:hAnsi="Arial" w:cs="Arial"/>
          <w:color w:val="222222"/>
        </w:rPr>
        <w:t>Hussey</w:t>
      </w:r>
      <w:proofErr w:type="spellEnd"/>
      <w:r w:rsidRPr="00F62E7A">
        <w:rPr>
          <w:rFonts w:ascii="Arial" w:eastAsia="Arial" w:hAnsi="Arial" w:cs="Arial"/>
          <w:color w:val="222222"/>
        </w:rPr>
        <w:t xml:space="preserve"> &amp; Barker para extração de ovos de </w:t>
      </w:r>
      <w:proofErr w:type="spellStart"/>
      <w:r w:rsidRPr="00F62E7A">
        <w:rPr>
          <w:rFonts w:ascii="Arial" w:eastAsia="Arial" w:hAnsi="Arial" w:cs="Arial"/>
          <w:i/>
          <w:iCs/>
          <w:color w:val="222222"/>
        </w:rPr>
        <w:t>Meloidogyne</w:t>
      </w:r>
      <w:proofErr w:type="spellEnd"/>
      <w:r w:rsidRPr="00F62E7A">
        <w:rPr>
          <w:rFonts w:ascii="Arial" w:eastAsia="Arial" w:hAnsi="Arial" w:cs="Arial"/>
          <w:i/>
          <w:iCs/>
          <w:color w:val="222222"/>
        </w:rPr>
        <w:t xml:space="preserve"> </w:t>
      </w:r>
      <w:proofErr w:type="spellStart"/>
      <w:r w:rsidRPr="00F62E7A">
        <w:rPr>
          <w:rFonts w:ascii="Arial" w:eastAsia="Arial" w:hAnsi="Arial" w:cs="Arial"/>
          <w:i/>
          <w:iCs/>
          <w:color w:val="222222"/>
        </w:rPr>
        <w:t>exigua</w:t>
      </w:r>
      <w:proofErr w:type="spellEnd"/>
      <w:r w:rsidRPr="00F62E7A">
        <w:rPr>
          <w:rFonts w:ascii="Arial" w:eastAsia="Arial" w:hAnsi="Arial" w:cs="Arial"/>
          <w:color w:val="222222"/>
        </w:rPr>
        <w:t xml:space="preserve"> de raízes de cafeeiro. </w:t>
      </w:r>
      <w:r w:rsidRPr="00CA7460">
        <w:rPr>
          <w:rFonts w:ascii="Arial" w:eastAsia="Arial" w:hAnsi="Arial" w:cs="Arial"/>
          <w:b/>
          <w:bCs/>
          <w:color w:val="222222"/>
        </w:rPr>
        <w:t>Fitopatologia Brasileira</w:t>
      </w:r>
      <w:r w:rsidRPr="00F62E7A">
        <w:rPr>
          <w:rFonts w:ascii="Arial" w:eastAsia="Arial" w:hAnsi="Arial" w:cs="Arial"/>
          <w:color w:val="222222"/>
        </w:rPr>
        <w:t>, v. 6, n. 3, p. 553, 1981</w:t>
      </w:r>
    </w:p>
    <w:p w14:paraId="598EF1C6" w14:textId="77777777" w:rsidR="00303573" w:rsidRDefault="00303573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0F327B4" w14:textId="2D06C554" w:rsidR="00303573" w:rsidRDefault="00EA0A6B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EA0A6B">
        <w:rPr>
          <w:rFonts w:ascii="Arial" w:eastAsia="Arial" w:hAnsi="Arial" w:cs="Arial"/>
          <w:color w:val="000000" w:themeColor="text1"/>
        </w:rPr>
        <w:t xml:space="preserve">CATALDO, D.; O'FARRELL, I.; PAOLUCCI, E.; SYLVESTER, F.; BOLTOVSKOY, D.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Impact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of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the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invasive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golden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mussel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(</w:t>
      </w:r>
      <w:proofErr w:type="spellStart"/>
      <w:r w:rsidRPr="00EA0A6B">
        <w:rPr>
          <w:rFonts w:ascii="Arial" w:eastAsia="Arial" w:hAnsi="Arial" w:cs="Arial"/>
          <w:i/>
          <w:iCs/>
          <w:color w:val="000000" w:themeColor="text1"/>
        </w:rPr>
        <w:t>Limnoperna</w:t>
      </w:r>
      <w:proofErr w:type="spellEnd"/>
      <w:r w:rsidRPr="00EA0A6B">
        <w:rPr>
          <w:rFonts w:ascii="Arial" w:eastAsia="Arial" w:hAnsi="Arial" w:cs="Arial"/>
          <w:i/>
          <w:iCs/>
          <w:color w:val="000000" w:themeColor="text1"/>
        </w:rPr>
        <w:t xml:space="preserve"> fortunei</w:t>
      </w:r>
      <w:r w:rsidRPr="00EA0A6B">
        <w:rPr>
          <w:rFonts w:ascii="Arial" w:eastAsia="Arial" w:hAnsi="Arial" w:cs="Arial"/>
          <w:color w:val="000000" w:themeColor="text1"/>
        </w:rPr>
        <w:t xml:space="preserve">)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on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phytoplankton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and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nutrient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cycling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Aquatic</w:t>
      </w:r>
      <w:proofErr w:type="spellEnd"/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Invasions</w:t>
      </w:r>
      <w:proofErr w:type="spellEnd"/>
      <w:r w:rsidRPr="00EA0A6B">
        <w:rPr>
          <w:rFonts w:ascii="Arial" w:eastAsia="Arial" w:hAnsi="Arial" w:cs="Arial"/>
          <w:color w:val="000000" w:themeColor="text1"/>
        </w:rPr>
        <w:t>, v. 7, n. 2, p. 91-102, 2012.</w:t>
      </w:r>
    </w:p>
    <w:p w14:paraId="4F52627A" w14:textId="77777777" w:rsidR="00EA0A6B" w:rsidRDefault="00EA0A6B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FA4D763" w14:textId="059B5CFA" w:rsidR="00303573" w:rsidRDefault="00EA0A6B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EA0A6B">
        <w:rPr>
          <w:rFonts w:ascii="Arial" w:eastAsia="Arial" w:hAnsi="Arial" w:cs="Arial"/>
          <w:color w:val="000000" w:themeColor="text1"/>
        </w:rPr>
        <w:t xml:space="preserve">FAVORETO, L.; MEYER, M. C.; DIAS-ARIEIRA, C. R.; MACHADO, A. C. Z.; SANTIAGO, D. C.; RIBEIRO, N. R. Diagnose e manejo de </w:t>
      </w:r>
      <w:proofErr w:type="spellStart"/>
      <w:r w:rsidRPr="00EA0A6B">
        <w:rPr>
          <w:rFonts w:ascii="Arial" w:eastAsia="Arial" w:hAnsi="Arial" w:cs="Arial"/>
          <w:color w:val="000000" w:themeColor="text1"/>
        </w:rPr>
        <w:t>fitonematoides</w:t>
      </w:r>
      <w:proofErr w:type="spellEnd"/>
      <w:r w:rsidRPr="00EA0A6B">
        <w:rPr>
          <w:rFonts w:ascii="Arial" w:eastAsia="Arial" w:hAnsi="Arial" w:cs="Arial"/>
          <w:color w:val="000000" w:themeColor="text1"/>
        </w:rPr>
        <w:t xml:space="preserve"> na cultura da soja. </w:t>
      </w:r>
      <w:r w:rsidRPr="00EA0A6B">
        <w:rPr>
          <w:rFonts w:ascii="Arial" w:eastAsia="Arial" w:hAnsi="Arial" w:cs="Arial"/>
          <w:b/>
          <w:bCs/>
          <w:color w:val="000000" w:themeColor="text1"/>
        </w:rPr>
        <w:t>Informe Agropecuário</w:t>
      </w:r>
      <w:r w:rsidRPr="00EA0A6B">
        <w:rPr>
          <w:rFonts w:ascii="Arial" w:eastAsia="Arial" w:hAnsi="Arial" w:cs="Arial"/>
          <w:color w:val="000000" w:themeColor="text1"/>
        </w:rPr>
        <w:t>, v. 40, n. 306, p. 18-29, 2019.</w:t>
      </w:r>
    </w:p>
    <w:p w14:paraId="2D382A7D" w14:textId="77777777" w:rsidR="00EA0A6B" w:rsidRDefault="00EA0A6B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753AA3D" w14:textId="77777777" w:rsidR="00303573" w:rsidRDefault="00303573" w:rsidP="00EA0A6B">
      <w:pPr>
        <w:spacing w:after="0" w:line="240" w:lineRule="auto"/>
        <w:rPr>
          <w:rFonts w:ascii="Arial" w:hAnsi="Arial" w:cs="Arial"/>
          <w:color w:val="000000" w:themeColor="text1"/>
        </w:rPr>
      </w:pPr>
      <w:r w:rsidRPr="000C1ACB">
        <w:rPr>
          <w:rFonts w:ascii="Arial" w:hAnsi="Arial" w:cs="Arial"/>
          <w:color w:val="000000" w:themeColor="text1"/>
        </w:rPr>
        <w:t xml:space="preserve">FERREIRA, D. F. SISVAR: A </w:t>
      </w:r>
      <w:proofErr w:type="spellStart"/>
      <w:r w:rsidRPr="000C1ACB">
        <w:rPr>
          <w:rFonts w:ascii="Arial" w:hAnsi="Arial" w:cs="Arial"/>
          <w:color w:val="000000" w:themeColor="text1"/>
        </w:rPr>
        <w:t>computer</w:t>
      </w:r>
      <w:proofErr w:type="spellEnd"/>
      <w:r w:rsidRPr="000C1A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1ACB">
        <w:rPr>
          <w:rFonts w:ascii="Arial" w:hAnsi="Arial" w:cs="Arial"/>
          <w:color w:val="000000" w:themeColor="text1"/>
        </w:rPr>
        <w:t>statistical</w:t>
      </w:r>
      <w:proofErr w:type="spellEnd"/>
      <w:r w:rsidRPr="000C1AC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1ACB">
        <w:rPr>
          <w:rFonts w:ascii="Arial" w:hAnsi="Arial" w:cs="Arial"/>
          <w:color w:val="000000" w:themeColor="text1"/>
        </w:rPr>
        <w:t>analysis</w:t>
      </w:r>
      <w:proofErr w:type="spellEnd"/>
      <w:r w:rsidRPr="000C1ACB">
        <w:rPr>
          <w:rFonts w:ascii="Arial" w:hAnsi="Arial" w:cs="Arial"/>
          <w:color w:val="000000" w:themeColor="text1"/>
        </w:rPr>
        <w:t xml:space="preserve"> system. </w:t>
      </w:r>
      <w:r w:rsidRPr="000C1ACB">
        <w:rPr>
          <w:rFonts w:ascii="Arial" w:hAnsi="Arial" w:cs="Arial"/>
          <w:b/>
          <w:bCs/>
          <w:color w:val="000000" w:themeColor="text1"/>
        </w:rPr>
        <w:t>Revista Brasileira de Biometria,</w:t>
      </w:r>
      <w:r w:rsidRPr="000C1ACB">
        <w:rPr>
          <w:rFonts w:ascii="Arial" w:hAnsi="Arial" w:cs="Arial"/>
          <w:color w:val="000000" w:themeColor="text1"/>
        </w:rPr>
        <w:t xml:space="preserve"> v. 31, n. 4, p. 277-283, 2013.</w:t>
      </w:r>
    </w:p>
    <w:p w14:paraId="10EF59F5" w14:textId="77777777" w:rsidR="00303573" w:rsidRDefault="00303573" w:rsidP="00EA0A6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B6AC5D" w14:textId="2A6308BD" w:rsidR="00303573" w:rsidRDefault="00303573" w:rsidP="00EA0A6B">
      <w:pPr>
        <w:spacing w:after="0" w:line="240" w:lineRule="auto"/>
        <w:rPr>
          <w:rFonts w:ascii="Arial" w:hAnsi="Arial" w:cs="Arial"/>
          <w:color w:val="000000" w:themeColor="text1"/>
        </w:rPr>
      </w:pPr>
      <w:r w:rsidRPr="000C1ACB">
        <w:rPr>
          <w:rFonts w:ascii="Arial" w:hAnsi="Arial" w:cs="Arial"/>
          <w:color w:val="000000" w:themeColor="text1"/>
        </w:rPr>
        <w:t>FERREIRA, P</w:t>
      </w:r>
      <w:r w:rsidR="00EA0A6B">
        <w:rPr>
          <w:rFonts w:ascii="Arial" w:hAnsi="Arial" w:cs="Arial"/>
          <w:color w:val="000000" w:themeColor="text1"/>
        </w:rPr>
        <w:t xml:space="preserve">. </w:t>
      </w:r>
      <w:r w:rsidRPr="000C1ACB">
        <w:rPr>
          <w:rFonts w:ascii="Arial" w:hAnsi="Arial" w:cs="Arial"/>
          <w:color w:val="000000" w:themeColor="text1"/>
        </w:rPr>
        <w:t xml:space="preserve">V. </w:t>
      </w:r>
      <w:r w:rsidRPr="00EA0A6B">
        <w:rPr>
          <w:rFonts w:ascii="Arial" w:hAnsi="Arial" w:cs="Arial"/>
          <w:b/>
          <w:bCs/>
          <w:color w:val="000000" w:themeColor="text1"/>
        </w:rPr>
        <w:t>Estatística Experimental Aplicada às Ciências Agrárias</w:t>
      </w:r>
      <w:r w:rsidRPr="000C1ACB">
        <w:rPr>
          <w:rFonts w:ascii="Arial" w:hAnsi="Arial" w:cs="Arial"/>
          <w:color w:val="000000" w:themeColor="text1"/>
        </w:rPr>
        <w:t>. Viçosa: Editora UFV. 588p. 2018.</w:t>
      </w:r>
    </w:p>
    <w:p w14:paraId="380393C8" w14:textId="77777777" w:rsidR="00303573" w:rsidRDefault="00303573" w:rsidP="00EA0A6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DFF738F" w14:textId="77777777" w:rsidR="00303573" w:rsidRDefault="00303573" w:rsidP="00EA0A6B">
      <w:pPr>
        <w:spacing w:after="0" w:line="240" w:lineRule="auto"/>
        <w:rPr>
          <w:rFonts w:ascii="Arial" w:hAnsi="Arial" w:cs="Arial"/>
        </w:rPr>
      </w:pPr>
      <w:r w:rsidRPr="00303573">
        <w:rPr>
          <w:rFonts w:ascii="Arial" w:hAnsi="Arial" w:cs="Arial"/>
        </w:rPr>
        <w:t xml:space="preserve">GALATI, V. C. </w:t>
      </w:r>
      <w:r w:rsidRPr="00303573">
        <w:rPr>
          <w:rFonts w:ascii="Arial" w:hAnsi="Arial" w:cs="Arial"/>
          <w:b/>
          <w:bCs/>
        </w:rPr>
        <w:t>Crescimento e acúmulo de nutrientes em quiabeiro ‘Santa Cruz 47’ em função da omissão de macronutrientes</w:t>
      </w:r>
      <w:r w:rsidRPr="00303573">
        <w:rPr>
          <w:rFonts w:ascii="Arial" w:hAnsi="Arial" w:cs="Arial"/>
        </w:rPr>
        <w:t>. 2013. 80 f. Dissertação (Mestrado em Fitotecnia) – Universidade Federal Rural do Rio de Janeiro, Seropédica, 2013.</w:t>
      </w:r>
    </w:p>
    <w:p w14:paraId="1E104741" w14:textId="77777777" w:rsidR="00303573" w:rsidRDefault="00303573" w:rsidP="00EA0A6B">
      <w:pPr>
        <w:spacing w:after="0" w:line="240" w:lineRule="auto"/>
        <w:rPr>
          <w:rFonts w:ascii="Arial" w:hAnsi="Arial" w:cs="Arial"/>
        </w:rPr>
      </w:pPr>
    </w:p>
    <w:p w14:paraId="6C00ED85" w14:textId="77777777" w:rsidR="00303573" w:rsidRDefault="00303573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0C1ACB">
        <w:rPr>
          <w:rFonts w:ascii="Arial" w:eastAsia="Arial" w:hAnsi="Arial" w:cs="Arial"/>
          <w:color w:val="000000" w:themeColor="text1"/>
        </w:rPr>
        <w:t xml:space="preserve">HUSSEY, R. S.; BARKER, K. R. </w:t>
      </w:r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A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comparison</w:t>
      </w:r>
      <w:proofErr w:type="spellEnd"/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of</w:t>
      </w:r>
      <w:proofErr w:type="spellEnd"/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methods</w:t>
      </w:r>
      <w:proofErr w:type="spellEnd"/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of</w:t>
      </w:r>
      <w:proofErr w:type="spellEnd"/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collecting</w:t>
      </w:r>
      <w:proofErr w:type="spellEnd"/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 inocula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of</w:t>
      </w:r>
      <w:proofErr w:type="spellEnd"/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Meloidogyne</w:t>
      </w:r>
      <w:proofErr w:type="spellEnd"/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 spp.,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including</w:t>
      </w:r>
      <w:proofErr w:type="spellEnd"/>
      <w:r w:rsidRPr="00EA0A6B">
        <w:rPr>
          <w:rFonts w:ascii="Arial" w:eastAsia="Arial" w:hAnsi="Arial" w:cs="Arial"/>
          <w:b/>
          <w:bCs/>
          <w:color w:val="000000" w:themeColor="text1"/>
        </w:rPr>
        <w:t xml:space="preserve"> a new </w:t>
      </w:r>
      <w:proofErr w:type="spellStart"/>
      <w:r w:rsidRPr="00EA0A6B">
        <w:rPr>
          <w:rFonts w:ascii="Arial" w:eastAsia="Arial" w:hAnsi="Arial" w:cs="Arial"/>
          <w:b/>
          <w:bCs/>
          <w:color w:val="000000" w:themeColor="text1"/>
        </w:rPr>
        <w:t>technique</w:t>
      </w:r>
      <w:proofErr w:type="spellEnd"/>
      <w:r w:rsidRPr="000C1ACB">
        <w:rPr>
          <w:rFonts w:ascii="Arial" w:eastAsia="Arial" w:hAnsi="Arial" w:cs="Arial"/>
          <w:color w:val="000000" w:themeColor="text1"/>
        </w:rPr>
        <w:t>. 1973.</w:t>
      </w:r>
    </w:p>
    <w:p w14:paraId="60DF3CA0" w14:textId="77777777" w:rsidR="00303573" w:rsidRDefault="00303573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AA4E679" w14:textId="77777777" w:rsidR="00303573" w:rsidRDefault="00303573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0C1ACB">
        <w:rPr>
          <w:rFonts w:ascii="Arial" w:eastAsia="Arial" w:hAnsi="Arial" w:cs="Arial"/>
          <w:color w:val="000000" w:themeColor="text1"/>
        </w:rPr>
        <w:t xml:space="preserve">OOSTENBRINK, M. Major 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characteristics</w:t>
      </w:r>
      <w:proofErr w:type="spellEnd"/>
      <w:r w:rsidRPr="000C1AC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of</w:t>
      </w:r>
      <w:proofErr w:type="spellEnd"/>
      <w:r w:rsidRPr="000C1AC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the</w:t>
      </w:r>
      <w:proofErr w:type="spellEnd"/>
      <w:r w:rsidRPr="000C1AC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relation</w:t>
      </w:r>
      <w:proofErr w:type="spellEnd"/>
      <w:r w:rsidRPr="000C1AC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between</w:t>
      </w:r>
      <w:proofErr w:type="spellEnd"/>
      <w:r w:rsidRPr="000C1AC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nematodes</w:t>
      </w:r>
      <w:proofErr w:type="spellEnd"/>
      <w:r w:rsidRPr="000C1AC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and</w:t>
      </w:r>
      <w:proofErr w:type="spellEnd"/>
      <w:r w:rsidRPr="000C1AC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color w:val="000000" w:themeColor="text1"/>
        </w:rPr>
        <w:t>plants</w:t>
      </w:r>
      <w:proofErr w:type="spellEnd"/>
      <w:r w:rsidRPr="000C1ACB">
        <w:rPr>
          <w:rFonts w:ascii="Arial" w:eastAsia="Arial" w:hAnsi="Arial" w:cs="Arial"/>
          <w:color w:val="000000" w:themeColor="text1"/>
        </w:rPr>
        <w:t>. In: </w:t>
      </w:r>
      <w:proofErr w:type="spellStart"/>
      <w:r w:rsidRPr="000C1ACB">
        <w:rPr>
          <w:rFonts w:ascii="Arial" w:eastAsia="Arial" w:hAnsi="Arial" w:cs="Arial"/>
          <w:b/>
          <w:bCs/>
          <w:color w:val="000000" w:themeColor="text1"/>
        </w:rPr>
        <w:t>Proceedings</w:t>
      </w:r>
      <w:proofErr w:type="spellEnd"/>
      <w:r w:rsidRPr="000C1AC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b/>
          <w:bCs/>
          <w:color w:val="000000" w:themeColor="text1"/>
        </w:rPr>
        <w:t>of</w:t>
      </w:r>
      <w:proofErr w:type="spellEnd"/>
      <w:r w:rsidRPr="000C1AC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b/>
          <w:bCs/>
          <w:color w:val="000000" w:themeColor="text1"/>
        </w:rPr>
        <w:t>the</w:t>
      </w:r>
      <w:proofErr w:type="spellEnd"/>
      <w:r w:rsidRPr="000C1ACB">
        <w:rPr>
          <w:rFonts w:ascii="Arial" w:eastAsia="Arial" w:hAnsi="Arial" w:cs="Arial"/>
          <w:b/>
          <w:bCs/>
          <w:color w:val="000000" w:themeColor="text1"/>
        </w:rPr>
        <w:t xml:space="preserve"> 8th </w:t>
      </w:r>
      <w:proofErr w:type="spellStart"/>
      <w:r w:rsidRPr="000C1ACB">
        <w:rPr>
          <w:rFonts w:ascii="Arial" w:eastAsia="Arial" w:hAnsi="Arial" w:cs="Arial"/>
          <w:b/>
          <w:bCs/>
          <w:color w:val="000000" w:themeColor="text1"/>
        </w:rPr>
        <w:t>International</w:t>
      </w:r>
      <w:proofErr w:type="spellEnd"/>
      <w:r w:rsidRPr="000C1AC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b/>
          <w:bCs/>
          <w:color w:val="000000" w:themeColor="text1"/>
        </w:rPr>
        <w:t>Symposium</w:t>
      </w:r>
      <w:proofErr w:type="spellEnd"/>
      <w:r w:rsidRPr="000C1AC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b/>
          <w:bCs/>
          <w:color w:val="000000" w:themeColor="text1"/>
        </w:rPr>
        <w:t>of</w:t>
      </w:r>
      <w:proofErr w:type="spellEnd"/>
      <w:r w:rsidRPr="000C1AC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0C1ACB">
        <w:rPr>
          <w:rFonts w:ascii="Arial" w:eastAsia="Arial" w:hAnsi="Arial" w:cs="Arial"/>
          <w:b/>
          <w:bCs/>
          <w:color w:val="000000" w:themeColor="text1"/>
        </w:rPr>
        <w:t>nematology</w:t>
      </w:r>
      <w:proofErr w:type="spellEnd"/>
      <w:r w:rsidRPr="000C1ACB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000C1ACB">
        <w:rPr>
          <w:rFonts w:ascii="Arial" w:eastAsia="Arial" w:hAnsi="Arial" w:cs="Arial"/>
          <w:b/>
          <w:bCs/>
          <w:color w:val="000000" w:themeColor="text1"/>
        </w:rPr>
        <w:t>Antibes</w:t>
      </w:r>
      <w:proofErr w:type="spellEnd"/>
      <w:r w:rsidRPr="000C1ACB">
        <w:rPr>
          <w:rFonts w:ascii="Arial" w:eastAsia="Arial" w:hAnsi="Arial" w:cs="Arial"/>
          <w:b/>
          <w:bCs/>
          <w:color w:val="000000" w:themeColor="text1"/>
        </w:rPr>
        <w:t>, France</w:t>
      </w:r>
      <w:r w:rsidRPr="000C1ACB">
        <w:rPr>
          <w:rFonts w:ascii="Arial" w:eastAsia="Arial" w:hAnsi="Arial" w:cs="Arial"/>
          <w:color w:val="000000" w:themeColor="text1"/>
        </w:rPr>
        <w:t>. 1966. p. 8-14.</w:t>
      </w:r>
    </w:p>
    <w:p w14:paraId="167E5E78" w14:textId="77777777" w:rsidR="00303573" w:rsidRDefault="00303573" w:rsidP="00EA0A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32AA42C" w14:textId="77777777" w:rsidR="00303573" w:rsidRDefault="00303573" w:rsidP="00EA0A6B">
      <w:pPr>
        <w:spacing w:after="0" w:line="240" w:lineRule="auto"/>
        <w:rPr>
          <w:rFonts w:ascii="Arial" w:hAnsi="Arial" w:cs="Arial"/>
        </w:rPr>
      </w:pPr>
      <w:r w:rsidRPr="00D21653">
        <w:rPr>
          <w:rFonts w:ascii="Arial" w:hAnsi="Arial" w:cs="Arial"/>
        </w:rPr>
        <w:t>SANTOS, A</w:t>
      </w:r>
      <w:r>
        <w:rPr>
          <w:rFonts w:ascii="Arial" w:hAnsi="Arial" w:cs="Arial"/>
        </w:rPr>
        <w:t xml:space="preserve">. </w:t>
      </w:r>
      <w:r w:rsidRPr="00D2165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. </w:t>
      </w:r>
      <w:r w:rsidRPr="00D2165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  <w:r w:rsidRPr="00D2165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Pr="00D21653">
        <w:rPr>
          <w:rFonts w:ascii="Arial" w:hAnsi="Arial" w:cs="Arial"/>
        </w:rPr>
        <w:t>et al. Ocorrência do mexilhão-dourado (</w:t>
      </w:r>
      <w:proofErr w:type="spellStart"/>
      <w:r w:rsidRPr="00D21653">
        <w:rPr>
          <w:rFonts w:ascii="Arial" w:hAnsi="Arial" w:cs="Arial"/>
          <w:i/>
          <w:iCs/>
        </w:rPr>
        <w:t>Limnoperna</w:t>
      </w:r>
      <w:proofErr w:type="spellEnd"/>
      <w:r w:rsidRPr="00D21653">
        <w:rPr>
          <w:rFonts w:ascii="Arial" w:hAnsi="Arial" w:cs="Arial"/>
          <w:i/>
          <w:iCs/>
        </w:rPr>
        <w:t xml:space="preserve"> fortunei</w:t>
      </w:r>
      <w:r w:rsidRPr="00D21653">
        <w:rPr>
          <w:rFonts w:ascii="Arial" w:hAnsi="Arial" w:cs="Arial"/>
        </w:rPr>
        <w:t xml:space="preserve">, </w:t>
      </w:r>
      <w:proofErr w:type="spellStart"/>
      <w:r w:rsidRPr="00D21653">
        <w:rPr>
          <w:rFonts w:ascii="Arial" w:hAnsi="Arial" w:cs="Arial"/>
        </w:rPr>
        <w:t>Dunker</w:t>
      </w:r>
      <w:proofErr w:type="spellEnd"/>
      <w:r w:rsidRPr="00D21653">
        <w:rPr>
          <w:rFonts w:ascii="Arial" w:hAnsi="Arial" w:cs="Arial"/>
        </w:rPr>
        <w:t xml:space="preserve"> 1857) no Canal do Sertão, Delmiro Gouveia-AL, Brasil. </w:t>
      </w:r>
      <w:r w:rsidRPr="00D21653">
        <w:rPr>
          <w:rFonts w:ascii="Arial" w:hAnsi="Arial" w:cs="Arial"/>
          <w:b/>
          <w:bCs/>
        </w:rPr>
        <w:t>Revista de Gestão de Água da América Latina</w:t>
      </w:r>
      <w:r w:rsidRPr="00D21653">
        <w:rPr>
          <w:rFonts w:ascii="Arial" w:hAnsi="Arial" w:cs="Arial"/>
        </w:rPr>
        <w:t>, v. 19, n. 2022, 2022.</w:t>
      </w:r>
    </w:p>
    <w:p w14:paraId="6464A727" w14:textId="77777777" w:rsidR="00DA71D4" w:rsidRDefault="00DA71D4" w:rsidP="00EA0A6B">
      <w:pPr>
        <w:spacing w:after="0" w:line="240" w:lineRule="auto"/>
        <w:rPr>
          <w:rFonts w:ascii="Arial" w:hAnsi="Arial" w:cs="Arial"/>
        </w:rPr>
      </w:pPr>
    </w:p>
    <w:p w14:paraId="052BB266" w14:textId="19CE0172" w:rsidR="00303573" w:rsidRPr="000C1ACB" w:rsidRDefault="00303573" w:rsidP="00EA0A6B">
      <w:pPr>
        <w:spacing w:after="0" w:line="240" w:lineRule="auto"/>
        <w:rPr>
          <w:rFonts w:ascii="Arial" w:hAnsi="Arial" w:cs="Arial"/>
        </w:rPr>
      </w:pPr>
      <w:r w:rsidRPr="00303573">
        <w:rPr>
          <w:rFonts w:ascii="Arial" w:hAnsi="Arial" w:cs="Arial"/>
        </w:rPr>
        <w:t>SILVA, E. H. C. et al. Manejo de nematoides</w:t>
      </w:r>
      <w:r w:rsidRPr="00303573">
        <w:rPr>
          <w:rFonts w:ascii="Arial" w:hAnsi="Arial" w:cs="Arial"/>
        </w:rPr>
        <w:noBreakHyphen/>
        <w:t>de</w:t>
      </w:r>
      <w:r w:rsidRPr="00303573">
        <w:rPr>
          <w:rFonts w:ascii="Arial" w:hAnsi="Arial" w:cs="Arial"/>
        </w:rPr>
        <w:noBreakHyphen/>
        <w:t>galha em quiabeiro por meio de enxertia em porta</w:t>
      </w:r>
      <w:r w:rsidRPr="00303573">
        <w:rPr>
          <w:rFonts w:ascii="Arial" w:hAnsi="Arial" w:cs="Arial"/>
        </w:rPr>
        <w:noBreakHyphen/>
        <w:t xml:space="preserve">enxertos de Hibiscus spp. </w:t>
      </w:r>
      <w:r w:rsidRPr="00EA0A6B">
        <w:rPr>
          <w:rFonts w:ascii="Arial" w:hAnsi="Arial" w:cs="Arial"/>
          <w:b/>
          <w:bCs/>
        </w:rPr>
        <w:t>Pesquisa Agropecuária Brasileira</w:t>
      </w:r>
      <w:r w:rsidRPr="00303573">
        <w:rPr>
          <w:rFonts w:ascii="Arial" w:hAnsi="Arial" w:cs="Arial"/>
        </w:rPr>
        <w:t>, 2023</w:t>
      </w:r>
      <w:r>
        <w:rPr>
          <w:rFonts w:ascii="Arial" w:hAnsi="Arial" w:cs="Arial"/>
        </w:rPr>
        <w:t>.</w:t>
      </w:r>
    </w:p>
    <w:sectPr w:rsidR="00303573" w:rsidRPr="000C1ACB" w:rsidSect="00C16C9A">
      <w:headerReference w:type="first" r:id="rId11"/>
      <w:pgSz w:w="11906" w:h="16838"/>
      <w:pgMar w:top="1417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76DC" w14:textId="77777777" w:rsidR="008768CF" w:rsidRPr="000C1ACB" w:rsidRDefault="008768CF" w:rsidP="00C16C9A">
      <w:pPr>
        <w:spacing w:after="0" w:line="240" w:lineRule="auto"/>
      </w:pPr>
      <w:r w:rsidRPr="000C1ACB">
        <w:separator/>
      </w:r>
    </w:p>
  </w:endnote>
  <w:endnote w:type="continuationSeparator" w:id="0">
    <w:p w14:paraId="6564CB17" w14:textId="77777777" w:rsidR="008768CF" w:rsidRPr="000C1ACB" w:rsidRDefault="008768CF" w:rsidP="00C16C9A">
      <w:pPr>
        <w:spacing w:after="0" w:line="240" w:lineRule="auto"/>
      </w:pPr>
      <w:r w:rsidRPr="000C1A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22E4" w14:textId="77777777" w:rsidR="008768CF" w:rsidRPr="000C1ACB" w:rsidRDefault="008768CF" w:rsidP="00C16C9A">
      <w:pPr>
        <w:spacing w:after="0" w:line="240" w:lineRule="auto"/>
      </w:pPr>
      <w:r w:rsidRPr="000C1ACB">
        <w:separator/>
      </w:r>
    </w:p>
  </w:footnote>
  <w:footnote w:type="continuationSeparator" w:id="0">
    <w:p w14:paraId="02EFE46A" w14:textId="77777777" w:rsidR="008768CF" w:rsidRPr="000C1ACB" w:rsidRDefault="008768CF" w:rsidP="00C16C9A">
      <w:pPr>
        <w:spacing w:after="0" w:line="240" w:lineRule="auto"/>
      </w:pPr>
      <w:r w:rsidRPr="000C1A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25D3" w14:textId="77777777" w:rsidR="00434E34" w:rsidRPr="000C1ACB" w:rsidRDefault="00434E34">
    <w:pPr>
      <w:pStyle w:val="Cabealho"/>
      <w:ind w:left="-737"/>
      <w:jc w:val="center"/>
      <w:rPr>
        <w:i/>
        <w:iCs/>
        <w:color w:val="808080"/>
        <w:sz w:val="18"/>
        <w:szCs w:val="18"/>
      </w:rPr>
    </w:pPr>
    <w:r w:rsidRPr="000C1ACB">
      <w:rPr>
        <w:i/>
        <w:iCs/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 wp14:anchorId="50F2564B" wp14:editId="7BE55A54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2605709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9C60D" w14:textId="77777777" w:rsidR="00434E34" w:rsidRPr="000C1ACB" w:rsidRDefault="00434E34">
    <w:pPr>
      <w:pStyle w:val="Cabealho"/>
      <w:jc w:val="right"/>
      <w:rPr>
        <w:i/>
        <w:iCs/>
        <w:color w:val="808080"/>
        <w:sz w:val="18"/>
        <w:szCs w:val="18"/>
      </w:rPr>
    </w:pPr>
    <w:r w:rsidRPr="000C1ACB">
      <w:rPr>
        <w:noProof/>
      </w:rPr>
      <w:drawing>
        <wp:anchor distT="0" distB="0" distL="114300" distR="114300" simplePos="0" relativeHeight="251658241" behindDoc="1" locked="0" layoutInCell="1" allowOverlap="1" wp14:anchorId="28C7359D" wp14:editId="7D608D7E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2058746305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ACB">
      <w:rPr>
        <w:i/>
        <w:iCs/>
        <w:color w:val="808080"/>
        <w:sz w:val="18"/>
        <w:szCs w:val="18"/>
      </w:rPr>
      <w:t xml:space="preserve">  11 de setembro a 13 de setembro de 2025</w:t>
    </w:r>
  </w:p>
  <w:p w14:paraId="747FB59D" w14:textId="77777777" w:rsidR="00434E34" w:rsidRPr="000C1ACB" w:rsidRDefault="00434E34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62674085" w14:textId="77777777" w:rsidR="00434E34" w:rsidRPr="000C1ACB" w:rsidRDefault="00434E34">
    <w:pPr>
      <w:pStyle w:val="Cabealho"/>
      <w:ind w:left="-737"/>
      <w:rPr>
        <w:i/>
        <w:iCs/>
        <w:color w:val="808080"/>
        <w:sz w:val="18"/>
        <w:szCs w:val="18"/>
      </w:rPr>
    </w:pPr>
  </w:p>
  <w:p w14:paraId="2E230B27" w14:textId="77777777" w:rsidR="00434E34" w:rsidRPr="000C1ACB" w:rsidRDefault="00434E34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116FB309" w14:textId="77777777" w:rsidR="00434E34" w:rsidRPr="000C1ACB" w:rsidRDefault="00434E34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053407E9" w14:textId="77777777" w:rsidR="00434E34" w:rsidRPr="000C1ACB" w:rsidRDefault="00434E34">
    <w:pPr>
      <w:pStyle w:val="Cabealho"/>
      <w:rPr>
        <w:i/>
        <w:iCs/>
        <w:color w:val="808080"/>
        <w:sz w:val="18"/>
        <w:szCs w:val="18"/>
      </w:rPr>
    </w:pPr>
  </w:p>
  <w:p w14:paraId="38202C7E" w14:textId="77777777" w:rsidR="00434E34" w:rsidRPr="000C1ACB" w:rsidRDefault="00434E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BFF"/>
    <w:multiLevelType w:val="multilevel"/>
    <w:tmpl w:val="718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2E1C3"/>
    <w:multiLevelType w:val="hybridMultilevel"/>
    <w:tmpl w:val="D60C44AE"/>
    <w:lvl w:ilvl="0" w:tplc="5AFCDC6C">
      <w:start w:val="1"/>
      <w:numFmt w:val="decimal"/>
      <w:lvlText w:val="%1"/>
      <w:lvlJc w:val="left"/>
      <w:pPr>
        <w:ind w:left="720" w:hanging="360"/>
      </w:pPr>
    </w:lvl>
    <w:lvl w:ilvl="1" w:tplc="DDDAABCC">
      <w:start w:val="1"/>
      <w:numFmt w:val="lowerLetter"/>
      <w:lvlText w:val="%2."/>
      <w:lvlJc w:val="left"/>
      <w:pPr>
        <w:ind w:left="1440" w:hanging="360"/>
      </w:pPr>
    </w:lvl>
    <w:lvl w:ilvl="2" w:tplc="1CC638FA">
      <w:start w:val="1"/>
      <w:numFmt w:val="lowerRoman"/>
      <w:lvlText w:val="%3."/>
      <w:lvlJc w:val="right"/>
      <w:pPr>
        <w:ind w:left="2160" w:hanging="180"/>
      </w:pPr>
    </w:lvl>
    <w:lvl w:ilvl="3" w:tplc="4F8E5804">
      <w:start w:val="1"/>
      <w:numFmt w:val="decimal"/>
      <w:lvlText w:val="%4."/>
      <w:lvlJc w:val="left"/>
      <w:pPr>
        <w:ind w:left="2880" w:hanging="360"/>
      </w:pPr>
    </w:lvl>
    <w:lvl w:ilvl="4" w:tplc="048841A4">
      <w:start w:val="1"/>
      <w:numFmt w:val="lowerLetter"/>
      <w:lvlText w:val="%5."/>
      <w:lvlJc w:val="left"/>
      <w:pPr>
        <w:ind w:left="3600" w:hanging="360"/>
      </w:pPr>
    </w:lvl>
    <w:lvl w:ilvl="5" w:tplc="C6B2164C">
      <w:start w:val="1"/>
      <w:numFmt w:val="lowerRoman"/>
      <w:lvlText w:val="%6."/>
      <w:lvlJc w:val="right"/>
      <w:pPr>
        <w:ind w:left="4320" w:hanging="180"/>
      </w:pPr>
    </w:lvl>
    <w:lvl w:ilvl="6" w:tplc="CA0A8102">
      <w:start w:val="1"/>
      <w:numFmt w:val="decimal"/>
      <w:lvlText w:val="%7."/>
      <w:lvlJc w:val="left"/>
      <w:pPr>
        <w:ind w:left="5040" w:hanging="360"/>
      </w:pPr>
    </w:lvl>
    <w:lvl w:ilvl="7" w:tplc="C0507228">
      <w:start w:val="1"/>
      <w:numFmt w:val="lowerLetter"/>
      <w:lvlText w:val="%8."/>
      <w:lvlJc w:val="left"/>
      <w:pPr>
        <w:ind w:left="5760" w:hanging="360"/>
      </w:pPr>
    </w:lvl>
    <w:lvl w:ilvl="8" w:tplc="055883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83EEE"/>
    <w:multiLevelType w:val="hybridMultilevel"/>
    <w:tmpl w:val="7564D6FE"/>
    <w:lvl w:ilvl="0" w:tplc="19A2A6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26D8"/>
    <w:multiLevelType w:val="hybridMultilevel"/>
    <w:tmpl w:val="C360D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E315C"/>
    <w:multiLevelType w:val="hybridMultilevel"/>
    <w:tmpl w:val="45EA9AFE"/>
    <w:lvl w:ilvl="0" w:tplc="19A2A6D8">
      <w:start w:val="1"/>
      <w:numFmt w:val="decimal"/>
      <w:lvlText w:val="%1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87D09"/>
    <w:multiLevelType w:val="hybridMultilevel"/>
    <w:tmpl w:val="3CA627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10867">
    <w:abstractNumId w:val="1"/>
  </w:num>
  <w:num w:numId="2" w16cid:durableId="2139453306">
    <w:abstractNumId w:val="4"/>
  </w:num>
  <w:num w:numId="3" w16cid:durableId="1769545172">
    <w:abstractNumId w:val="2"/>
  </w:num>
  <w:num w:numId="4" w16cid:durableId="1129274717">
    <w:abstractNumId w:val="5"/>
  </w:num>
  <w:num w:numId="5" w16cid:durableId="1577740232">
    <w:abstractNumId w:val="3"/>
  </w:num>
  <w:num w:numId="6" w16cid:durableId="167013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9A"/>
    <w:rsid w:val="000105DD"/>
    <w:rsid w:val="00011BD3"/>
    <w:rsid w:val="0001277E"/>
    <w:rsid w:val="000238FA"/>
    <w:rsid w:val="00030A40"/>
    <w:rsid w:val="00032D14"/>
    <w:rsid w:val="00042938"/>
    <w:rsid w:val="00047377"/>
    <w:rsid w:val="00047F97"/>
    <w:rsid w:val="00054EBF"/>
    <w:rsid w:val="0006361D"/>
    <w:rsid w:val="00067588"/>
    <w:rsid w:val="000709AE"/>
    <w:rsid w:val="0007497F"/>
    <w:rsid w:val="00075E4D"/>
    <w:rsid w:val="00084F0A"/>
    <w:rsid w:val="00091123"/>
    <w:rsid w:val="0009172C"/>
    <w:rsid w:val="000A3878"/>
    <w:rsid w:val="000A63A2"/>
    <w:rsid w:val="000A7D68"/>
    <w:rsid w:val="000B278B"/>
    <w:rsid w:val="000C1ACB"/>
    <w:rsid w:val="000C2BC8"/>
    <w:rsid w:val="000C52C9"/>
    <w:rsid w:val="000D0E74"/>
    <w:rsid w:val="000D427C"/>
    <w:rsid w:val="000D5F2E"/>
    <w:rsid w:val="000D61C9"/>
    <w:rsid w:val="000E1781"/>
    <w:rsid w:val="000E3259"/>
    <w:rsid w:val="00103335"/>
    <w:rsid w:val="00110A92"/>
    <w:rsid w:val="00112701"/>
    <w:rsid w:val="0012136B"/>
    <w:rsid w:val="00135E5D"/>
    <w:rsid w:val="00161941"/>
    <w:rsid w:val="00165FBA"/>
    <w:rsid w:val="001663A3"/>
    <w:rsid w:val="001664D0"/>
    <w:rsid w:val="00166DF5"/>
    <w:rsid w:val="001850A3"/>
    <w:rsid w:val="00187CF4"/>
    <w:rsid w:val="001951D9"/>
    <w:rsid w:val="00195DD0"/>
    <w:rsid w:val="00196032"/>
    <w:rsid w:val="001A2636"/>
    <w:rsid w:val="001A3DD7"/>
    <w:rsid w:val="001A6E96"/>
    <w:rsid w:val="001C6898"/>
    <w:rsid w:val="001E0243"/>
    <w:rsid w:val="001E0BE6"/>
    <w:rsid w:val="001E2BEE"/>
    <w:rsid w:val="001E4046"/>
    <w:rsid w:val="001F2ED1"/>
    <w:rsid w:val="00211D1D"/>
    <w:rsid w:val="002201D7"/>
    <w:rsid w:val="00225D5E"/>
    <w:rsid w:val="00230157"/>
    <w:rsid w:val="00231EEF"/>
    <w:rsid w:val="002341D9"/>
    <w:rsid w:val="00236E04"/>
    <w:rsid w:val="00237CA7"/>
    <w:rsid w:val="00247E3C"/>
    <w:rsid w:val="00250967"/>
    <w:rsid w:val="00260DE3"/>
    <w:rsid w:val="00265AE2"/>
    <w:rsid w:val="0027490C"/>
    <w:rsid w:val="00283C41"/>
    <w:rsid w:val="00284F40"/>
    <w:rsid w:val="0028526E"/>
    <w:rsid w:val="002860A4"/>
    <w:rsid w:val="0028729A"/>
    <w:rsid w:val="00295752"/>
    <w:rsid w:val="00295A65"/>
    <w:rsid w:val="002B203D"/>
    <w:rsid w:val="002B5774"/>
    <w:rsid w:val="002C13CD"/>
    <w:rsid w:val="002C3C4E"/>
    <w:rsid w:val="002D261E"/>
    <w:rsid w:val="002D271C"/>
    <w:rsid w:val="002D6D98"/>
    <w:rsid w:val="002E3766"/>
    <w:rsid w:val="002F559D"/>
    <w:rsid w:val="002F5AC8"/>
    <w:rsid w:val="003004B3"/>
    <w:rsid w:val="00303573"/>
    <w:rsid w:val="00304568"/>
    <w:rsid w:val="0030573D"/>
    <w:rsid w:val="00307425"/>
    <w:rsid w:val="00315B89"/>
    <w:rsid w:val="00315E62"/>
    <w:rsid w:val="00316011"/>
    <w:rsid w:val="0031639D"/>
    <w:rsid w:val="00326B59"/>
    <w:rsid w:val="00326F71"/>
    <w:rsid w:val="00330CA9"/>
    <w:rsid w:val="00335173"/>
    <w:rsid w:val="003363A2"/>
    <w:rsid w:val="003416D2"/>
    <w:rsid w:val="003417FD"/>
    <w:rsid w:val="00353A89"/>
    <w:rsid w:val="00361AC7"/>
    <w:rsid w:val="00361C35"/>
    <w:rsid w:val="003648F2"/>
    <w:rsid w:val="003713A2"/>
    <w:rsid w:val="00373CF9"/>
    <w:rsid w:val="003751D3"/>
    <w:rsid w:val="003805E4"/>
    <w:rsid w:val="00383685"/>
    <w:rsid w:val="00386C96"/>
    <w:rsid w:val="003A2B4F"/>
    <w:rsid w:val="003A4252"/>
    <w:rsid w:val="003A5A12"/>
    <w:rsid w:val="003B0C98"/>
    <w:rsid w:val="003B0CA9"/>
    <w:rsid w:val="003B3A6B"/>
    <w:rsid w:val="003C4F4B"/>
    <w:rsid w:val="003D3259"/>
    <w:rsid w:val="003D48BF"/>
    <w:rsid w:val="003D6358"/>
    <w:rsid w:val="003D744A"/>
    <w:rsid w:val="003E053F"/>
    <w:rsid w:val="003E57B2"/>
    <w:rsid w:val="003E6A83"/>
    <w:rsid w:val="003F21FF"/>
    <w:rsid w:val="004203A2"/>
    <w:rsid w:val="00420982"/>
    <w:rsid w:val="00422AEE"/>
    <w:rsid w:val="00432CDF"/>
    <w:rsid w:val="00434E34"/>
    <w:rsid w:val="00436869"/>
    <w:rsid w:val="004378D3"/>
    <w:rsid w:val="00441479"/>
    <w:rsid w:val="00442E75"/>
    <w:rsid w:val="0044599C"/>
    <w:rsid w:val="00447483"/>
    <w:rsid w:val="00450FCF"/>
    <w:rsid w:val="00466C6E"/>
    <w:rsid w:val="004858AC"/>
    <w:rsid w:val="004910A6"/>
    <w:rsid w:val="004A5069"/>
    <w:rsid w:val="004A78B3"/>
    <w:rsid w:val="004B1A83"/>
    <w:rsid w:val="004B2750"/>
    <w:rsid w:val="004B3D63"/>
    <w:rsid w:val="004B4492"/>
    <w:rsid w:val="004B493B"/>
    <w:rsid w:val="004B7533"/>
    <w:rsid w:val="004C1419"/>
    <w:rsid w:val="004C5B90"/>
    <w:rsid w:val="004D2E59"/>
    <w:rsid w:val="004D2F61"/>
    <w:rsid w:val="004D6D80"/>
    <w:rsid w:val="004F32B6"/>
    <w:rsid w:val="004F3A2D"/>
    <w:rsid w:val="004F6C85"/>
    <w:rsid w:val="00502F62"/>
    <w:rsid w:val="005134E2"/>
    <w:rsid w:val="00521C1A"/>
    <w:rsid w:val="00527E80"/>
    <w:rsid w:val="00532B15"/>
    <w:rsid w:val="00546BD5"/>
    <w:rsid w:val="00547787"/>
    <w:rsid w:val="00547F90"/>
    <w:rsid w:val="0057072C"/>
    <w:rsid w:val="0057283E"/>
    <w:rsid w:val="00587E87"/>
    <w:rsid w:val="005A039C"/>
    <w:rsid w:val="005A0AF5"/>
    <w:rsid w:val="005C0B25"/>
    <w:rsid w:val="005C24B3"/>
    <w:rsid w:val="005D5A83"/>
    <w:rsid w:val="005E0154"/>
    <w:rsid w:val="005E69E4"/>
    <w:rsid w:val="005F02CF"/>
    <w:rsid w:val="005F6EFC"/>
    <w:rsid w:val="00600F83"/>
    <w:rsid w:val="00604941"/>
    <w:rsid w:val="00612DEE"/>
    <w:rsid w:val="0061353D"/>
    <w:rsid w:val="0061471E"/>
    <w:rsid w:val="006272D5"/>
    <w:rsid w:val="006410B7"/>
    <w:rsid w:val="0064217C"/>
    <w:rsid w:val="0065355F"/>
    <w:rsid w:val="00653E8E"/>
    <w:rsid w:val="0065771B"/>
    <w:rsid w:val="0066417E"/>
    <w:rsid w:val="006651BB"/>
    <w:rsid w:val="00675E48"/>
    <w:rsid w:val="00675FC7"/>
    <w:rsid w:val="0068677D"/>
    <w:rsid w:val="00686EA2"/>
    <w:rsid w:val="00695984"/>
    <w:rsid w:val="006B0C0C"/>
    <w:rsid w:val="006B0E86"/>
    <w:rsid w:val="006B13DB"/>
    <w:rsid w:val="006B51C9"/>
    <w:rsid w:val="006C367A"/>
    <w:rsid w:val="006D1534"/>
    <w:rsid w:val="006E26E3"/>
    <w:rsid w:val="006F6B33"/>
    <w:rsid w:val="00706F8A"/>
    <w:rsid w:val="00721C24"/>
    <w:rsid w:val="007308F3"/>
    <w:rsid w:val="00747245"/>
    <w:rsid w:val="00747989"/>
    <w:rsid w:val="00750136"/>
    <w:rsid w:val="00755602"/>
    <w:rsid w:val="0075588A"/>
    <w:rsid w:val="00757F9D"/>
    <w:rsid w:val="007606C8"/>
    <w:rsid w:val="007700C4"/>
    <w:rsid w:val="00785491"/>
    <w:rsid w:val="007925BD"/>
    <w:rsid w:val="0079513F"/>
    <w:rsid w:val="00795C61"/>
    <w:rsid w:val="00797081"/>
    <w:rsid w:val="00797DFD"/>
    <w:rsid w:val="007A021F"/>
    <w:rsid w:val="007A0334"/>
    <w:rsid w:val="007B4C04"/>
    <w:rsid w:val="007B7A18"/>
    <w:rsid w:val="007C75F4"/>
    <w:rsid w:val="007D1583"/>
    <w:rsid w:val="007D6ACF"/>
    <w:rsid w:val="007E6C14"/>
    <w:rsid w:val="007F05E9"/>
    <w:rsid w:val="007F1C08"/>
    <w:rsid w:val="007F25B6"/>
    <w:rsid w:val="007F3715"/>
    <w:rsid w:val="007F486B"/>
    <w:rsid w:val="00814793"/>
    <w:rsid w:val="00816C06"/>
    <w:rsid w:val="00832902"/>
    <w:rsid w:val="0084296F"/>
    <w:rsid w:val="0085178F"/>
    <w:rsid w:val="00857302"/>
    <w:rsid w:val="00857763"/>
    <w:rsid w:val="00872ADA"/>
    <w:rsid w:val="008749FB"/>
    <w:rsid w:val="008768CF"/>
    <w:rsid w:val="00895F14"/>
    <w:rsid w:val="008A3D78"/>
    <w:rsid w:val="008A69CC"/>
    <w:rsid w:val="008D517D"/>
    <w:rsid w:val="008D7786"/>
    <w:rsid w:val="008E4691"/>
    <w:rsid w:val="008E5FE2"/>
    <w:rsid w:val="008E6AAF"/>
    <w:rsid w:val="00902C02"/>
    <w:rsid w:val="00906FAE"/>
    <w:rsid w:val="0091329A"/>
    <w:rsid w:val="00943AA6"/>
    <w:rsid w:val="00944C34"/>
    <w:rsid w:val="009475AD"/>
    <w:rsid w:val="0095304E"/>
    <w:rsid w:val="00962933"/>
    <w:rsid w:val="009646FD"/>
    <w:rsid w:val="009725BA"/>
    <w:rsid w:val="00986712"/>
    <w:rsid w:val="00986CD0"/>
    <w:rsid w:val="00990F95"/>
    <w:rsid w:val="00992B2C"/>
    <w:rsid w:val="009A4D77"/>
    <w:rsid w:val="009A6AAF"/>
    <w:rsid w:val="009A750A"/>
    <w:rsid w:val="009C1FA0"/>
    <w:rsid w:val="009C33D8"/>
    <w:rsid w:val="009C56A5"/>
    <w:rsid w:val="009D097C"/>
    <w:rsid w:val="009F2ABC"/>
    <w:rsid w:val="00A027A5"/>
    <w:rsid w:val="00A02FEB"/>
    <w:rsid w:val="00A07431"/>
    <w:rsid w:val="00A07433"/>
    <w:rsid w:val="00A11402"/>
    <w:rsid w:val="00A314A5"/>
    <w:rsid w:val="00A32322"/>
    <w:rsid w:val="00A33B7E"/>
    <w:rsid w:val="00A463C9"/>
    <w:rsid w:val="00A47DBF"/>
    <w:rsid w:val="00A6602F"/>
    <w:rsid w:val="00A72026"/>
    <w:rsid w:val="00A76C21"/>
    <w:rsid w:val="00A83405"/>
    <w:rsid w:val="00AA49AD"/>
    <w:rsid w:val="00AB1465"/>
    <w:rsid w:val="00AB765C"/>
    <w:rsid w:val="00AC2899"/>
    <w:rsid w:val="00AD0540"/>
    <w:rsid w:val="00AD5889"/>
    <w:rsid w:val="00B01851"/>
    <w:rsid w:val="00B1295A"/>
    <w:rsid w:val="00B22D3D"/>
    <w:rsid w:val="00B301D7"/>
    <w:rsid w:val="00B30F69"/>
    <w:rsid w:val="00B4621B"/>
    <w:rsid w:val="00B46687"/>
    <w:rsid w:val="00B46CF5"/>
    <w:rsid w:val="00B5495F"/>
    <w:rsid w:val="00B54C17"/>
    <w:rsid w:val="00B732F5"/>
    <w:rsid w:val="00B766E9"/>
    <w:rsid w:val="00B77020"/>
    <w:rsid w:val="00B77434"/>
    <w:rsid w:val="00B86978"/>
    <w:rsid w:val="00B90840"/>
    <w:rsid w:val="00B952C8"/>
    <w:rsid w:val="00BA064B"/>
    <w:rsid w:val="00BB4219"/>
    <w:rsid w:val="00BD019F"/>
    <w:rsid w:val="00BD1DBA"/>
    <w:rsid w:val="00BD3CC1"/>
    <w:rsid w:val="00BE57CF"/>
    <w:rsid w:val="00BF4041"/>
    <w:rsid w:val="00BF5A96"/>
    <w:rsid w:val="00BF62C6"/>
    <w:rsid w:val="00BF6BF6"/>
    <w:rsid w:val="00C0399F"/>
    <w:rsid w:val="00C05BBC"/>
    <w:rsid w:val="00C16C9A"/>
    <w:rsid w:val="00C3102F"/>
    <w:rsid w:val="00C36F9F"/>
    <w:rsid w:val="00C441A0"/>
    <w:rsid w:val="00C45D19"/>
    <w:rsid w:val="00C5547B"/>
    <w:rsid w:val="00C604F4"/>
    <w:rsid w:val="00C6201C"/>
    <w:rsid w:val="00C6743D"/>
    <w:rsid w:val="00C83255"/>
    <w:rsid w:val="00C8612E"/>
    <w:rsid w:val="00C90035"/>
    <w:rsid w:val="00C90AEA"/>
    <w:rsid w:val="00C977B3"/>
    <w:rsid w:val="00CA148E"/>
    <w:rsid w:val="00CA198F"/>
    <w:rsid w:val="00CA6B6E"/>
    <w:rsid w:val="00CB2D45"/>
    <w:rsid w:val="00CC3E7F"/>
    <w:rsid w:val="00CC4317"/>
    <w:rsid w:val="00CD15F0"/>
    <w:rsid w:val="00CE3BEF"/>
    <w:rsid w:val="00CF2B80"/>
    <w:rsid w:val="00D17A5B"/>
    <w:rsid w:val="00D17F08"/>
    <w:rsid w:val="00D2028B"/>
    <w:rsid w:val="00D20542"/>
    <w:rsid w:val="00D21653"/>
    <w:rsid w:val="00D41A9B"/>
    <w:rsid w:val="00D42894"/>
    <w:rsid w:val="00D44484"/>
    <w:rsid w:val="00D510A1"/>
    <w:rsid w:val="00D802CE"/>
    <w:rsid w:val="00D84743"/>
    <w:rsid w:val="00D86039"/>
    <w:rsid w:val="00D94790"/>
    <w:rsid w:val="00DA71D4"/>
    <w:rsid w:val="00DC08F6"/>
    <w:rsid w:val="00DC188B"/>
    <w:rsid w:val="00DC3CD3"/>
    <w:rsid w:val="00DC5E13"/>
    <w:rsid w:val="00DD50F2"/>
    <w:rsid w:val="00DE061B"/>
    <w:rsid w:val="00DE4052"/>
    <w:rsid w:val="00DF2A62"/>
    <w:rsid w:val="00DF74E3"/>
    <w:rsid w:val="00E03EA8"/>
    <w:rsid w:val="00E107FB"/>
    <w:rsid w:val="00E11B32"/>
    <w:rsid w:val="00E15E8E"/>
    <w:rsid w:val="00E25360"/>
    <w:rsid w:val="00E307DC"/>
    <w:rsid w:val="00E30AE1"/>
    <w:rsid w:val="00E37BF2"/>
    <w:rsid w:val="00E43B90"/>
    <w:rsid w:val="00E46EBB"/>
    <w:rsid w:val="00E4772B"/>
    <w:rsid w:val="00E5225D"/>
    <w:rsid w:val="00E543A6"/>
    <w:rsid w:val="00E63E1C"/>
    <w:rsid w:val="00E76445"/>
    <w:rsid w:val="00E768DE"/>
    <w:rsid w:val="00E7714B"/>
    <w:rsid w:val="00E8297E"/>
    <w:rsid w:val="00E83EFF"/>
    <w:rsid w:val="00EA0A6B"/>
    <w:rsid w:val="00EA29BE"/>
    <w:rsid w:val="00EA5FC3"/>
    <w:rsid w:val="00EB4980"/>
    <w:rsid w:val="00EC5627"/>
    <w:rsid w:val="00ED18CF"/>
    <w:rsid w:val="00EF287A"/>
    <w:rsid w:val="00F114F1"/>
    <w:rsid w:val="00F175EA"/>
    <w:rsid w:val="00F218FC"/>
    <w:rsid w:val="00F31473"/>
    <w:rsid w:val="00F33450"/>
    <w:rsid w:val="00F353C5"/>
    <w:rsid w:val="00F455E1"/>
    <w:rsid w:val="00F456CC"/>
    <w:rsid w:val="00F70963"/>
    <w:rsid w:val="00F73D0F"/>
    <w:rsid w:val="00F82D0D"/>
    <w:rsid w:val="00F8349A"/>
    <w:rsid w:val="00F90276"/>
    <w:rsid w:val="00F94479"/>
    <w:rsid w:val="00FB2F01"/>
    <w:rsid w:val="00FB6843"/>
    <w:rsid w:val="00FC41A7"/>
    <w:rsid w:val="00FD0064"/>
    <w:rsid w:val="00FE384E"/>
    <w:rsid w:val="00FE6BFF"/>
    <w:rsid w:val="00FF3CDA"/>
    <w:rsid w:val="0199E1A0"/>
    <w:rsid w:val="026692EE"/>
    <w:rsid w:val="03ED4BAB"/>
    <w:rsid w:val="04CBDC24"/>
    <w:rsid w:val="04D3F031"/>
    <w:rsid w:val="05A86D6E"/>
    <w:rsid w:val="0632FB03"/>
    <w:rsid w:val="074EFE16"/>
    <w:rsid w:val="08D05CC9"/>
    <w:rsid w:val="08E7D34C"/>
    <w:rsid w:val="09871205"/>
    <w:rsid w:val="0A64FEB1"/>
    <w:rsid w:val="0B4BB537"/>
    <w:rsid w:val="0CAF9294"/>
    <w:rsid w:val="0D17444F"/>
    <w:rsid w:val="0E984C7F"/>
    <w:rsid w:val="0EAF3F4E"/>
    <w:rsid w:val="0ED71060"/>
    <w:rsid w:val="0F1D5527"/>
    <w:rsid w:val="0F6F8AD4"/>
    <w:rsid w:val="11F2CC55"/>
    <w:rsid w:val="123C9755"/>
    <w:rsid w:val="126FE48F"/>
    <w:rsid w:val="1333E56A"/>
    <w:rsid w:val="159D2A2B"/>
    <w:rsid w:val="15C2ED41"/>
    <w:rsid w:val="15FCF78C"/>
    <w:rsid w:val="196F5B2E"/>
    <w:rsid w:val="1C7BD4E6"/>
    <w:rsid w:val="1C92DAB0"/>
    <w:rsid w:val="1EEE6377"/>
    <w:rsid w:val="1EF99E75"/>
    <w:rsid w:val="1FFB8E56"/>
    <w:rsid w:val="2013898C"/>
    <w:rsid w:val="210989D6"/>
    <w:rsid w:val="2401FB2A"/>
    <w:rsid w:val="240DB89B"/>
    <w:rsid w:val="28AC7A0F"/>
    <w:rsid w:val="2AE7E26D"/>
    <w:rsid w:val="2C4A27EC"/>
    <w:rsid w:val="2E3E9822"/>
    <w:rsid w:val="2E4A985B"/>
    <w:rsid w:val="2EAAFCB3"/>
    <w:rsid w:val="2FE25E12"/>
    <w:rsid w:val="2FFE6328"/>
    <w:rsid w:val="337A7892"/>
    <w:rsid w:val="339425DC"/>
    <w:rsid w:val="346052D9"/>
    <w:rsid w:val="36759F63"/>
    <w:rsid w:val="370944EC"/>
    <w:rsid w:val="375B4BD8"/>
    <w:rsid w:val="37DBFAED"/>
    <w:rsid w:val="3ABF345F"/>
    <w:rsid w:val="3D7103E4"/>
    <w:rsid w:val="3FB96A13"/>
    <w:rsid w:val="401774C6"/>
    <w:rsid w:val="40661A17"/>
    <w:rsid w:val="412A6BF7"/>
    <w:rsid w:val="4199125A"/>
    <w:rsid w:val="424740DC"/>
    <w:rsid w:val="427AC003"/>
    <w:rsid w:val="45169406"/>
    <w:rsid w:val="4693E0D7"/>
    <w:rsid w:val="4AAC6E18"/>
    <w:rsid w:val="4AAE2B6B"/>
    <w:rsid w:val="4B78C8EF"/>
    <w:rsid w:val="4BB1418C"/>
    <w:rsid w:val="4BEF554C"/>
    <w:rsid w:val="4C280C6E"/>
    <w:rsid w:val="4C46EEA4"/>
    <w:rsid w:val="4E793A03"/>
    <w:rsid w:val="50CD413D"/>
    <w:rsid w:val="510A835D"/>
    <w:rsid w:val="5183086F"/>
    <w:rsid w:val="52AAFFDB"/>
    <w:rsid w:val="5412C484"/>
    <w:rsid w:val="542F2140"/>
    <w:rsid w:val="54D93DF8"/>
    <w:rsid w:val="55848CC9"/>
    <w:rsid w:val="55A43FA0"/>
    <w:rsid w:val="5711A865"/>
    <w:rsid w:val="58C6F717"/>
    <w:rsid w:val="59C5D3F1"/>
    <w:rsid w:val="5B378B99"/>
    <w:rsid w:val="5B43A1B9"/>
    <w:rsid w:val="5B4BAFEB"/>
    <w:rsid w:val="5B6053A1"/>
    <w:rsid w:val="5B643EC5"/>
    <w:rsid w:val="5C506A8D"/>
    <w:rsid w:val="5EE3C989"/>
    <w:rsid w:val="5FF053B9"/>
    <w:rsid w:val="60E86B97"/>
    <w:rsid w:val="62206BA4"/>
    <w:rsid w:val="62671FFD"/>
    <w:rsid w:val="6277B6E3"/>
    <w:rsid w:val="6313715D"/>
    <w:rsid w:val="644B71A2"/>
    <w:rsid w:val="670CB976"/>
    <w:rsid w:val="67D89964"/>
    <w:rsid w:val="682E174B"/>
    <w:rsid w:val="6ABD384D"/>
    <w:rsid w:val="6B26AB13"/>
    <w:rsid w:val="6C4C7D05"/>
    <w:rsid w:val="6DEC2F40"/>
    <w:rsid w:val="71075304"/>
    <w:rsid w:val="71DA9AF9"/>
    <w:rsid w:val="72571895"/>
    <w:rsid w:val="72A13FF0"/>
    <w:rsid w:val="73EA1494"/>
    <w:rsid w:val="7480E8E7"/>
    <w:rsid w:val="755A968B"/>
    <w:rsid w:val="7651401D"/>
    <w:rsid w:val="76E95824"/>
    <w:rsid w:val="7775FAA3"/>
    <w:rsid w:val="78401582"/>
    <w:rsid w:val="78C58135"/>
    <w:rsid w:val="7BE6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BCE99"/>
  <w15:chartTrackingRefBased/>
  <w15:docId w15:val="{5DFEF1D3-9654-4578-82A5-5E75245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9A"/>
  </w:style>
  <w:style w:type="paragraph" w:styleId="Ttulo1">
    <w:name w:val="heading 1"/>
    <w:basedOn w:val="Normal"/>
    <w:next w:val="Normal"/>
    <w:link w:val="Ttulo1Char"/>
    <w:uiPriority w:val="9"/>
    <w:qFormat/>
    <w:rsid w:val="00C16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6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6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6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6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6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6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6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6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6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6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6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6C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6C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6C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6C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6C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6C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6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6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6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6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6C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6C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6C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6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6C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6C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C16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6C9A"/>
  </w:style>
  <w:style w:type="paragraph" w:styleId="Textodenotaderodap">
    <w:name w:val="footnote text"/>
    <w:basedOn w:val="Normal"/>
    <w:link w:val="TextodenotaderodapChar"/>
    <w:uiPriority w:val="99"/>
    <w:unhideWhenUsed/>
    <w:rsid w:val="00C16C9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 w:eastAsia="hu-HU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16C9A"/>
    <w:rPr>
      <w:rFonts w:ascii="Arial" w:eastAsia="Times New Roman" w:hAnsi="Arial" w:cs="Times New Roman"/>
      <w:kern w:val="0"/>
      <w:sz w:val="20"/>
      <w:szCs w:val="20"/>
      <w:lang w:val="en-GB" w:eastAsia="hu-HU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16C9A"/>
    <w:rPr>
      <w:vertAlign w:val="superscript"/>
    </w:rPr>
  </w:style>
  <w:style w:type="paragraph" w:styleId="Rodap">
    <w:name w:val="footer"/>
    <w:basedOn w:val="Normal"/>
    <w:link w:val="RodapChar"/>
    <w:uiPriority w:val="99"/>
    <w:semiHidden/>
    <w:unhideWhenUsed/>
    <w:rsid w:val="004B2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2750"/>
  </w:style>
  <w:style w:type="character" w:styleId="Hyperlink">
    <w:name w:val="Hyperlink"/>
    <w:basedOn w:val="Fontepargpadro"/>
    <w:uiPriority w:val="99"/>
    <w:unhideWhenUsed/>
    <w:rsid w:val="00E15E8E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BD3C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675FC7"/>
  </w:style>
  <w:style w:type="character" w:styleId="nfase">
    <w:name w:val="Emphasis"/>
    <w:basedOn w:val="Fontepargpadro"/>
    <w:uiPriority w:val="20"/>
    <w:qFormat/>
    <w:rsid w:val="00675FC7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64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terdasilvaacost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xter\AppData\Local\Microsoft\Windows\INetCache\IE\XPNFTV83\2._Regress&#227;o%5b1%5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xter\AppData\Local\Microsoft\Windows\INetCache\IE\XPNFTV83\2._Regress&#227;o%5b1%5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b="1"/>
              <a:t>IGNT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0816688538932635"/>
                  <c:y val="4.114391951006124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pt-BR"/>
                      <a:t>Ŷ = -0.6575x + 42.15</a:t>
                    </a:r>
                    <a:br>
                      <a:rPr lang="pt-BR"/>
                    </a:br>
                    <a:r>
                      <a:rPr lang="pt-BR"/>
                      <a:t>R² = 69.86**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</c:trendlineLbl>
          </c:trendline>
          <c:xVal>
            <c:numRef>
              <c:f>Plan1!$C$4:$C$8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</c:numCache>
            </c:numRef>
          </c:xVal>
          <c:yVal>
            <c:numRef>
              <c:f>Plan1!$D$4:$D$8</c:f>
              <c:numCache>
                <c:formatCode>General</c:formatCode>
                <c:ptCount val="5"/>
                <c:pt idx="0">
                  <c:v>43.75</c:v>
                </c:pt>
                <c:pt idx="1">
                  <c:v>31.875</c:v>
                </c:pt>
                <c:pt idx="2">
                  <c:v>25.75</c:v>
                </c:pt>
                <c:pt idx="3">
                  <c:v>33.625</c:v>
                </c:pt>
                <c:pt idx="4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EA1-4E61-B021-305A5CCDA3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3199872"/>
        <c:axId val="1523197472"/>
      </c:scatterChart>
      <c:valAx>
        <c:axId val="1523199872"/>
        <c:scaling>
          <c:orientation val="minMax"/>
          <c:max val="4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 do pó do mexilhão-dourado no substrato</a:t>
                </a:r>
              </a:p>
            </c:rich>
          </c:tx>
          <c:layout>
            <c:manualLayout>
              <c:xMode val="edge"/>
              <c:yMode val="edge"/>
              <c:x val="0.20563210848643917"/>
              <c:y val="0.881944444444444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523197472"/>
        <c:crosses val="autoZero"/>
        <c:crossBetween val="midCat"/>
        <c:majorUnit val="10"/>
      </c:valAx>
      <c:valAx>
        <c:axId val="15231974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IGNT (Unidades)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523199872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b="1"/>
              <a:t>NGSR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0261111111111111"/>
                  <c:y val="-3.260899679206765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pt-BR"/>
                      <a:t>Ŷ = -3.7363x + 172.2</a:t>
                    </a:r>
                    <a:br>
                      <a:rPr lang="pt-BR"/>
                    </a:br>
                    <a:r>
                      <a:rPr lang="pt-BR"/>
                      <a:t>R² = 77.68**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</c:trendlineLbl>
          </c:trendline>
          <c:xVal>
            <c:numRef>
              <c:f>Plan1!$N$4:$N$8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</c:numCache>
            </c:numRef>
          </c:xVal>
          <c:yVal>
            <c:numRef>
              <c:f>Plan1!$O$4:$O$8</c:f>
              <c:numCache>
                <c:formatCode>General</c:formatCode>
                <c:ptCount val="5"/>
                <c:pt idx="0">
                  <c:v>197.375</c:v>
                </c:pt>
                <c:pt idx="1">
                  <c:v>83</c:v>
                </c:pt>
                <c:pt idx="2">
                  <c:v>123.5</c:v>
                </c:pt>
                <c:pt idx="3">
                  <c:v>62.875</c:v>
                </c:pt>
                <c:pt idx="4">
                  <c:v>20.625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70B-4659-AA30-04A6A7A073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79491504"/>
        <c:axId val="1975075984"/>
      </c:scatterChart>
      <c:valAx>
        <c:axId val="1879491504"/>
        <c:scaling>
          <c:orientation val="minMax"/>
          <c:max val="4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%</a:t>
                </a:r>
                <a:r>
                  <a:rPr lang="pt-BR" b="1" baseline="0"/>
                  <a:t> do pó do mexilhão-dourado no substrato</a:t>
                </a:r>
                <a:endParaRPr lang="pt-BR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975075984"/>
        <c:crosses val="autoZero"/>
        <c:crossBetween val="midCat"/>
        <c:majorUnit val="10"/>
      </c:valAx>
      <c:valAx>
        <c:axId val="1975075984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IGNT</a:t>
                </a:r>
                <a:r>
                  <a:rPr lang="pt-BR" b="1" baseline="0"/>
                  <a:t> (Unidades)</a:t>
                </a:r>
                <a:endParaRPr lang="pt-BR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879491504"/>
        <c:crosses val="autoZero"/>
        <c:crossBetween val="midCat"/>
        <c:majorUnit val="40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/>
              <a:t>NO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6600043744531934"/>
          <c:y val="0.18101851851851855"/>
          <c:w val="0.80343022747156601"/>
          <c:h val="0.63620370370370372"/>
        </c:manualLayout>
      </c:layout>
      <c:scatterChart>
        <c:scatterStyle val="lineMarker"/>
        <c:varyColors val="0"/>
        <c:ser>
          <c:idx val="0"/>
          <c:order val="0"/>
          <c:tx>
            <c:strRef>
              <c:f>Plan1!$Y$3</c:f>
              <c:strCache>
                <c:ptCount val="1"/>
                <c:pt idx="0">
                  <c:v>NO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19973622047244094"/>
                  <c:y val="0.1261712598425196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/>
                      <a:t>Ŷ = 6.0455x2 - 348.13x + 6141.1</a:t>
                    </a:r>
                    <a:br>
                      <a:rPr lang="en-US"/>
                    </a:br>
                    <a:r>
                      <a:rPr lang="en-US"/>
                      <a:t>R² = 94.21**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Plan1!$N$4:$N$8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</c:numCache>
            </c:numRef>
          </c:xVal>
          <c:yVal>
            <c:numRef>
              <c:f>Plan1!$Z$4:$Z$8</c:f>
              <c:numCache>
                <c:formatCode>General</c:formatCode>
                <c:ptCount val="5"/>
                <c:pt idx="0">
                  <c:v>6476.25</c:v>
                </c:pt>
                <c:pt idx="1">
                  <c:v>2546.25</c:v>
                </c:pt>
                <c:pt idx="2">
                  <c:v>1740</c:v>
                </c:pt>
                <c:pt idx="3">
                  <c:v>1665</c:v>
                </c:pt>
                <c:pt idx="4">
                  <c:v>1601.25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D1D-49E2-B7E9-F7A5E27B4C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79491504"/>
        <c:axId val="1975075984"/>
      </c:scatterChart>
      <c:valAx>
        <c:axId val="1879491504"/>
        <c:scaling>
          <c:orientation val="minMax"/>
          <c:max val="4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 do pó do mexilhão-dourado no substrato</a:t>
                </a:r>
              </a:p>
            </c:rich>
          </c:tx>
          <c:layout>
            <c:manualLayout>
              <c:xMode val="edge"/>
              <c:yMode val="edge"/>
              <c:x val="0.23342388451443569"/>
              <c:y val="0.900462962962962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975075984"/>
        <c:crosses val="autoZero"/>
        <c:crossBetween val="midCat"/>
        <c:majorUnit val="10"/>
      </c:valAx>
      <c:valAx>
        <c:axId val="1975075984"/>
        <c:scaling>
          <c:orientation val="minMax"/>
          <c:max val="65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NO (unidades)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879491504"/>
        <c:crosses val="autoZero"/>
        <c:crossBetween val="midCat"/>
        <c:majorUnit val="1000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1858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Cathylen Almeida Félix Galindo</dc:creator>
  <cp:keywords/>
  <dc:description/>
  <cp:lastModifiedBy>Ester da Silva Costa</cp:lastModifiedBy>
  <cp:revision>4</cp:revision>
  <dcterms:created xsi:type="dcterms:W3CDTF">2025-08-07T13:05:00Z</dcterms:created>
  <dcterms:modified xsi:type="dcterms:W3CDTF">2025-08-14T19:49:00Z</dcterms:modified>
</cp:coreProperties>
</file>