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D0" w:rsidRDefault="00905750">
      <w:pPr>
        <w:shd w:val="clear" w:color="auto" w:fill="FFFFFF"/>
        <w:spacing w:line="276" w:lineRule="auto"/>
        <w:ind w:left="-280" w:righ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PROTOCOLO TERAPÊUTICO APLICADO À REABILITAÇÃO E REINTRODUÇÃO DE GAMBÁ-COMUM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Didelphis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Linnaeus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1758) VÍTIMA DE AÇÃO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ANTRÓPICA</w:t>
      </w:r>
      <w:proofErr w:type="gramEnd"/>
    </w:p>
    <w:p w:rsidR="001C7BD0" w:rsidRDefault="00905750">
      <w:pPr>
        <w:shd w:val="clear" w:color="auto" w:fill="FFFFFF"/>
        <w:spacing w:after="0" w:line="276" w:lineRule="auto"/>
        <w:ind w:right="-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7BD0" w:rsidRDefault="00905750">
      <w:pPr>
        <w:shd w:val="clear" w:color="auto" w:fill="FFFFFF"/>
        <w:spacing w:line="276" w:lineRule="auto"/>
        <w:ind w:left="-280" w:right="-28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MESSIAS,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A.C.C.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¹; URBANO, R.L²; RODRIGUES, C.S.M.P.²; DE ASSIS, N.B.R.²; MOREIRA, L.F.M.³; RIBEIRO, A.S.S.</w:t>
      </w:r>
      <w:r>
        <w:rPr>
          <w:rFonts w:ascii="Times New Roman" w:eastAsia="Times New Roman" w:hAnsi="Times New Roman" w:cs="Times New Roman"/>
          <w:vertAlign w:val="superscript"/>
        </w:rPr>
        <w:t>4</w:t>
      </w:r>
    </w:p>
    <w:p w:rsidR="001C7BD0" w:rsidRDefault="00905750">
      <w:pPr>
        <w:shd w:val="clear" w:color="auto" w:fill="FFFFFF"/>
        <w:spacing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Graduanda em Medicina Veterinária, Universidade Federal Rural da Amazônia, Belém, Pará, Brasil (ana.ccmessias@gmail.com)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Residente do Programa de Residência em Medicina de Animais Selvagens, Universidade Federal Rural da Amazônia, Belém, Pará, Brasil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Médico Veterinário do Hospital Veterinário Mário Dias Teixeira, Belém, Pará, Brasil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Coordenadora e tutora do Programa de Residência em Medicina de Animais Selvagens, Universidade Federal Rural da Amazônia (Centro de Triagem e Reabilitação de Animais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Selvagens - CETRAS), Belém, Pará,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gramEnd"/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gambá-comum,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Didelphis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é um mamífero marsupial considerado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sinantrópico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 ampla plasticidade ecológica, o que lhe confere a capacidade de adaptar-se a diferentes ambientes. A urbanização e a perda </w:t>
      </w:r>
      <w:r>
        <w:rPr>
          <w:rFonts w:ascii="Times New Roman" w:eastAsia="Times New Roman" w:hAnsi="Times New Roman" w:cs="Times New Roman"/>
          <w:sz w:val="24"/>
          <w:szCs w:val="24"/>
        </w:rPr>
        <w:t>de habitats naturais contribuem para o direcionamento dos gambás para áreas próximas às habitações humanas. A partir da interação antrópica com a fauna são identificadas práticas como a caça de animais silvestres, mesmo que ilegal. Por fins culturais ou nã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ações antrópicas negativas em relação aos gambás ainda são comuns. Neste âmbito, relatamos o sucesso na reabilitação e reintrodução de espécime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vítima de ação antrópica. Um gambá-comum adulto, macho e baixo escore corporal, pesando 1,1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72Kg,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foi encontrado com o focinho amarrado por uma corda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resgatado em via pública no município de Abaetetuba-PA com suspeita de fuga após trauma mecânico em possível tentativa de abate. O mesmo foi encaminhado por órgão ambiental ao Centro de Triagem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Reabilitação de Animais Selvagens da Universidade Federal Rural da Amazônia, Belém-PA. Durante a realização do exame clínico, o animal estava apático e apresentava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incoordenação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motora e ausência de sensibilidade nos membros pélvicos e no membro torácico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ireito. Além disso, foram observadas quatro lesões profundas, uma em área maxilar, duas cervicais e outra axilar direita. Ao exame radiográfico,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observou-se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quatro projéteis alojados no animal. Diante do quadro, o gambá foi submetido à cirurgia para remoçã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dos projéteis, dos quais apenas dois foram possíveis de serem removidos devido à dificuldade de acesso cirúrgico. A conduta terapêutica estabelecida consistiu de: cloridrato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tramadol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(2,0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/Kg, IM, BID, 5d); dipirona (25mg/Kg, VO, BID, 15d);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meloxicam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(0,1mg/Kg, VO, SID, 5d);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cefalexina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(30mg/Kg, VO, BID, 7d). Visando auxiliar na recuperação neurológica do animal, realizou-se suplementação com vitaminas do complexo B (0,5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/Kg, VO, SID, 93d) e administrou-se protetores hepáticos à base dos aminoácido</w:t>
      </w:r>
      <w:r>
        <w:rPr>
          <w:rFonts w:ascii="Times New Roman" w:eastAsia="Times New Roman" w:hAnsi="Times New Roman" w:cs="Times New Roman"/>
          <w:sz w:val="24"/>
          <w:szCs w:val="24"/>
        </w:rPr>
        <w:t>s arginina 75mg/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ornitina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20mg/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(4,0mL/Kg, SC, SID, 6d) 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silimarina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(10mg/Kg, VO, BID, 10d, posteriormente SID, 80d). Após 22 dias de internação, o animal </w:t>
      </w:r>
      <w:r>
        <w:rPr>
          <w:rFonts w:ascii="Times New Roman" w:eastAsia="Times New Roman" w:hAnsi="Times New Roman" w:cs="Times New Roman"/>
          <w:strike/>
          <w:sz w:val="24"/>
          <w:szCs w:val="24"/>
        </w:rPr>
        <w:t>ainda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incoordenação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motora, locomovia-se de forma lateralizada 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desequilibrava</w:t>
      </w:r>
      <w:r>
        <w:rPr>
          <w:rFonts w:ascii="Times New Roman" w:eastAsia="Times New Roman" w:hAnsi="Times New Roman" w:cs="Times New Roman"/>
          <w:sz w:val="24"/>
          <w:szCs w:val="24"/>
        </w:rPr>
        <w:t>-se posteriormente, demonstrando baixa reatividade à contenção física. Foi realizada colheita de sangue para hemograma e avaliação bioquímica, nas quais não foram observadas alterações. Ao longo do tratamento, o quadro evoluiu de forma positiva, com melhor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do equilíbrio, diminuição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lateralização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maior expressão de comportamentos de defesa e reatividade característicos da espécie. Após dois meses e 24 dias de internação, o animal foi transferido para um recinto maior visando ampliar sua área de locomoç</w:t>
      </w:r>
      <w:r>
        <w:rPr>
          <w:rFonts w:ascii="Times New Roman" w:eastAsia="Times New Roman" w:hAnsi="Times New Roman" w:cs="Times New Roman"/>
          <w:sz w:val="24"/>
          <w:szCs w:val="24"/>
        </w:rPr>
        <w:t>ão e contribuir para a sua recuperação. Perante a evolução do animal, comportamentos naturais foram estimulados através da ambientação do seu recinto e pela realização de enriquecimentos ambientais. Deste modo, depois de três meses e 14 dias de recuperação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reabilitação, o mesmo encontrava-se apto à soltura e foi reintroduzido na natureza. Diante do caso relatado, demonstrou-se que a conduta terapêutica foi efetiva, em virtude da recuperação do animal. Assim, ressalta-se a necessidade de sensibilização sob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a importância ecológica da espécie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intuito de minimizar ações antrópicas negativas.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marsupial; fauna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sinantrópica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caça; projéteis.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AGUIAR AZEVEDO, P.; BARROS, F. B. Comida, remédio, renda: conhecimentos e usos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 mucura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Didelphis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por comunidades ribeirinhas da várzea amazônica.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Amazônica-Revista de Antropologia</w:t>
      </w:r>
      <w:r>
        <w:rPr>
          <w:rFonts w:ascii="Times New Roman" w:eastAsia="Times New Roman" w:hAnsi="Times New Roman" w:cs="Times New Roman"/>
          <w:sz w:val="24"/>
          <w:szCs w:val="24"/>
        </w:rPr>
        <w:t>, v. 5, n. 3, p. 862-878, 2014.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NASCIMENTO, C. C.; 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RTA, M.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Didelphimorphia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(Gambá e Cuíca). In: CUBAS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al.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Tratado De Animais Selvagens: Medicina Veterinária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2a ed. São Paulo: Roca; 2014.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682-706.</w:t>
      </w:r>
    </w:p>
    <w:p w:rsidR="001C7BD0" w:rsidRDefault="0090575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7BD0" w:rsidRDefault="001C7BD0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BD0" w:rsidRDefault="001C7BD0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7BD0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50" w:rsidRDefault="00905750">
      <w:pPr>
        <w:spacing w:after="0" w:line="240" w:lineRule="auto"/>
      </w:pPr>
      <w:r>
        <w:separator/>
      </w:r>
    </w:p>
  </w:endnote>
  <w:endnote w:type="continuationSeparator" w:id="0">
    <w:p w:rsidR="00905750" w:rsidRDefault="0090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0" w:rsidRDefault="001C7B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C7BD0" w:rsidRDefault="001C7B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50" w:rsidRDefault="00905750">
      <w:pPr>
        <w:spacing w:after="0" w:line="240" w:lineRule="auto"/>
      </w:pPr>
      <w:r>
        <w:separator/>
      </w:r>
    </w:p>
  </w:footnote>
  <w:footnote w:type="continuationSeparator" w:id="0">
    <w:p w:rsidR="00905750" w:rsidRDefault="0090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0" w:rsidRDefault="00905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705100" cy="1352550"/>
          <wp:effectExtent l="0" t="0" r="0" b="0"/>
          <wp:docPr id="8274433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7BD0" w:rsidRDefault="001C7B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7BD0"/>
    <w:rsid w:val="001C7BD0"/>
    <w:rsid w:val="00905750"/>
    <w:rsid w:val="009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  <w:style w:type="paragraph" w:styleId="Textodebalo">
    <w:name w:val="Balloon Text"/>
    <w:basedOn w:val="Normal"/>
    <w:link w:val="TextodebaloChar"/>
    <w:uiPriority w:val="99"/>
    <w:semiHidden/>
    <w:unhideWhenUsed/>
    <w:rsid w:val="001F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  <w:style w:type="paragraph" w:styleId="Textodebalo">
    <w:name w:val="Balloon Text"/>
    <w:basedOn w:val="Normal"/>
    <w:link w:val="TextodebaloChar"/>
    <w:uiPriority w:val="99"/>
    <w:semiHidden/>
    <w:unhideWhenUsed/>
    <w:rsid w:val="001F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dz8iCmrP8ZtZhX8UYqL/kNaLA==">CgMxLjA4AHIhMVpJbGVIbXI5NXFxbkxxaDZmanVOVkpPZmdTMF9wRjRu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Messias</dc:creator>
  <cp:lastModifiedBy>Ana Caroline</cp:lastModifiedBy>
  <cp:revision>2</cp:revision>
  <dcterms:created xsi:type="dcterms:W3CDTF">2025-08-13T23:35:00Z</dcterms:created>
  <dcterms:modified xsi:type="dcterms:W3CDTF">2025-08-13T23:35:00Z</dcterms:modified>
</cp:coreProperties>
</file>