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FBA11" w14:textId="5410830B" w:rsidR="00CB1A89" w:rsidRPr="00731CFD" w:rsidRDefault="00CB1A89" w:rsidP="00CB1A89">
      <w:pPr>
        <w:widowControl/>
        <w:jc w:val="center"/>
        <w:rPr>
          <w:b/>
          <w:sz w:val="24"/>
          <w:szCs w:val="24"/>
        </w:rPr>
      </w:pPr>
      <w:r w:rsidRPr="00CB1A89">
        <w:rPr>
          <w:b/>
          <w:sz w:val="24"/>
          <w:szCs w:val="24"/>
        </w:rPr>
        <w:t>MADEIRA DE FLORESTAS PLANTADAS: UM PANORAMA DOS ÚLTIMOS CINCO ANOS NO BRASIL E PIAUÍ</w:t>
      </w:r>
    </w:p>
    <w:p w14:paraId="5AE1BFEF" w14:textId="4DA1049D" w:rsidR="00CB1A89" w:rsidRPr="00AA6C22" w:rsidRDefault="00CB1A89" w:rsidP="003853C9">
      <w:pPr>
        <w:jc w:val="center"/>
        <w:rPr>
          <w:sz w:val="18"/>
          <w:szCs w:val="18"/>
        </w:rPr>
      </w:pPr>
      <w:r w:rsidRPr="00B314BD" w:rsidDel="0056568E">
        <w:rPr>
          <w:b/>
          <w:sz w:val="20"/>
          <w:szCs w:val="20"/>
        </w:rPr>
        <w:t>Walyfi</w:t>
      </w:r>
      <w:r w:rsidRPr="00B314BD">
        <w:rPr>
          <w:b/>
          <w:sz w:val="20"/>
          <w:szCs w:val="20"/>
        </w:rPr>
        <w:t xml:space="preserve"> Ferreira Andrade</w:t>
      </w:r>
      <w:r w:rsidRPr="00B314BD">
        <w:rPr>
          <w:b/>
          <w:sz w:val="20"/>
          <w:szCs w:val="20"/>
          <w:vertAlign w:val="superscript"/>
        </w:rPr>
        <w:t>1*,</w:t>
      </w:r>
      <w:r w:rsidRPr="00B314BD">
        <w:rPr>
          <w:b/>
          <w:sz w:val="20"/>
          <w:szCs w:val="20"/>
        </w:rPr>
        <w:t xml:space="preserve"> Brena Fernandes de Oliveira Santos</w:t>
      </w:r>
      <w:r w:rsidR="002132AA" w:rsidRPr="00B314BD">
        <w:rPr>
          <w:b/>
          <w:sz w:val="20"/>
          <w:szCs w:val="20"/>
          <w:vertAlign w:val="superscript"/>
        </w:rPr>
        <w:t>1,</w:t>
      </w:r>
      <w:r w:rsidR="002132AA" w:rsidRPr="00B314BD">
        <w:rPr>
          <w:b/>
          <w:sz w:val="20"/>
          <w:szCs w:val="20"/>
        </w:rPr>
        <w:t xml:space="preserve"> Tainá</w:t>
      </w:r>
      <w:r w:rsidRPr="00B314BD">
        <w:rPr>
          <w:b/>
          <w:sz w:val="20"/>
          <w:szCs w:val="20"/>
        </w:rPr>
        <w:t xml:space="preserve"> Lima Rodrigues</w:t>
      </w:r>
      <w:r w:rsidRPr="00B314BD">
        <w:rPr>
          <w:b/>
          <w:sz w:val="20"/>
          <w:szCs w:val="20"/>
          <w:vertAlign w:val="superscript"/>
        </w:rPr>
        <w:t>1</w:t>
      </w:r>
      <w:bookmarkStart w:id="0" w:name="_Hlk200463293"/>
      <w:r w:rsidRPr="00B314BD">
        <w:rPr>
          <w:b/>
          <w:sz w:val="20"/>
          <w:szCs w:val="20"/>
        </w:rPr>
        <w:t>, Karina Alves da Silva</w:t>
      </w:r>
      <w:r w:rsidRPr="00B314BD">
        <w:rPr>
          <w:b/>
          <w:sz w:val="20"/>
          <w:szCs w:val="20"/>
          <w:vertAlign w:val="superscript"/>
        </w:rPr>
        <w:t>2</w:t>
      </w:r>
      <w:r w:rsidRPr="00B314BD">
        <w:rPr>
          <w:b/>
          <w:sz w:val="20"/>
          <w:szCs w:val="20"/>
        </w:rPr>
        <w:t xml:space="preserve">, </w:t>
      </w:r>
      <w:bookmarkEnd w:id="0"/>
      <w:r w:rsidRPr="00B314BD">
        <w:rPr>
          <w:b/>
          <w:sz w:val="20"/>
          <w:szCs w:val="20"/>
        </w:rPr>
        <w:t>Fábio Vitor Borges de Carvalho</w:t>
      </w:r>
      <w:r w:rsidRPr="00B314BD">
        <w:rPr>
          <w:b/>
          <w:sz w:val="20"/>
          <w:szCs w:val="20"/>
          <w:vertAlign w:val="superscript"/>
        </w:rPr>
        <w:t>1</w:t>
      </w:r>
      <w:r w:rsidRPr="00B314BD">
        <w:rPr>
          <w:b/>
          <w:sz w:val="20"/>
          <w:szCs w:val="20"/>
        </w:rPr>
        <w:t>,</w:t>
      </w:r>
      <w:r>
        <w:rPr>
          <w:b/>
          <w:sz w:val="20"/>
          <w:szCs w:val="20"/>
        </w:rPr>
        <w:t xml:space="preserve"> </w:t>
      </w:r>
      <w:r w:rsidRPr="00CB1A89">
        <w:rPr>
          <w:b/>
          <w:sz w:val="20"/>
          <w:szCs w:val="20"/>
        </w:rPr>
        <w:t>Mateus de Sousa</w:t>
      </w:r>
      <w:r>
        <w:rPr>
          <w:b/>
          <w:sz w:val="20"/>
          <w:szCs w:val="20"/>
          <w:vertAlign w:val="superscript"/>
        </w:rPr>
        <w:t>1</w:t>
      </w:r>
      <w:r w:rsidRPr="00B314BD">
        <w:rPr>
          <w:b/>
          <w:sz w:val="20"/>
          <w:szCs w:val="20"/>
        </w:rPr>
        <w:t>, Kêmylly Gomes Lima</w:t>
      </w:r>
      <w:r w:rsidRPr="00B314BD">
        <w:rPr>
          <w:b/>
          <w:sz w:val="20"/>
          <w:szCs w:val="20"/>
          <w:vertAlign w:val="superscript"/>
        </w:rPr>
        <w:t>1</w:t>
      </w:r>
      <w:r w:rsidRPr="00B314BD">
        <w:rPr>
          <w:b/>
          <w:sz w:val="20"/>
          <w:szCs w:val="20"/>
        </w:rPr>
        <w:t xml:space="preserve"> Lívia Oliveira de Sousa</w:t>
      </w:r>
      <w:r>
        <w:rPr>
          <w:b/>
          <w:sz w:val="20"/>
          <w:szCs w:val="20"/>
          <w:vertAlign w:val="superscript"/>
        </w:rPr>
        <w:t>1</w:t>
      </w:r>
      <w:r w:rsidRPr="00B314BD">
        <w:t xml:space="preserve"> </w:t>
      </w:r>
      <w:r w:rsidRPr="00B314BD">
        <w:rPr>
          <w:b/>
          <w:sz w:val="20"/>
          <w:szCs w:val="20"/>
        </w:rPr>
        <w:t>Briza Fernandes De Oliveira Santos</w:t>
      </w:r>
      <w:r>
        <w:rPr>
          <w:b/>
          <w:sz w:val="20"/>
          <w:szCs w:val="20"/>
          <w:vertAlign w:val="superscript"/>
        </w:rPr>
        <w:t>1</w:t>
      </w:r>
      <w:r w:rsidRPr="00B314BD">
        <w:rPr>
          <w:b/>
          <w:sz w:val="20"/>
          <w:szCs w:val="20"/>
        </w:rPr>
        <w:t xml:space="preserve"> </w:t>
      </w:r>
      <w:r w:rsidRPr="000D5546">
        <w:rPr>
          <w:b/>
          <w:bCs/>
          <w:sz w:val="18"/>
          <w:szCs w:val="18"/>
        </w:rPr>
        <w:t>Ka</w:t>
      </w:r>
      <w:r>
        <w:rPr>
          <w:b/>
          <w:bCs/>
          <w:sz w:val="18"/>
          <w:szCs w:val="18"/>
        </w:rPr>
        <w:t>í</w:t>
      </w:r>
      <w:r w:rsidR="002132AA">
        <w:rPr>
          <w:b/>
          <w:bCs/>
          <w:sz w:val="18"/>
          <w:szCs w:val="18"/>
        </w:rPr>
        <w:t>l</w:t>
      </w:r>
      <w:r w:rsidRPr="000D5546">
        <w:rPr>
          <w:b/>
          <w:bCs/>
          <w:sz w:val="18"/>
          <w:szCs w:val="18"/>
        </w:rPr>
        <w:t xml:space="preserve">la Alves Da Silva </w:t>
      </w:r>
      <w:r w:rsidRPr="00B314BD">
        <w:rPr>
          <w:b/>
          <w:sz w:val="20"/>
          <w:szCs w:val="20"/>
          <w:vertAlign w:val="superscript"/>
        </w:rPr>
        <w:t>1</w:t>
      </w:r>
    </w:p>
    <w:p w14:paraId="218D1010" w14:textId="77777777" w:rsidR="00CB1A89" w:rsidRPr="00B314BD" w:rsidRDefault="00CB1A89" w:rsidP="00CB1A89">
      <w:pPr>
        <w:spacing w:line="276" w:lineRule="auto"/>
        <w:ind w:left="221" w:right="214"/>
        <w:jc w:val="center"/>
        <w:rPr>
          <w:bCs/>
          <w:sz w:val="20"/>
          <w:szCs w:val="20"/>
        </w:rPr>
      </w:pPr>
      <w:r w:rsidRPr="00B314BD">
        <w:rPr>
          <w:bCs/>
          <w:sz w:val="20"/>
          <w:szCs w:val="20"/>
        </w:rPr>
        <w:t xml:space="preserve">Universidade Federal do Piauí, Campus </w:t>
      </w:r>
      <w:r w:rsidRPr="00B314BD">
        <w:rPr>
          <w:bCs/>
          <w:i/>
          <w:iCs/>
          <w:sz w:val="20"/>
          <w:szCs w:val="20"/>
        </w:rPr>
        <w:t>Professora Cinobelina Elvas</w:t>
      </w:r>
      <w:r w:rsidRPr="00B314BD">
        <w:rPr>
          <w:bCs/>
          <w:sz w:val="20"/>
          <w:szCs w:val="20"/>
          <w:vertAlign w:val="superscript"/>
        </w:rPr>
        <w:t>1</w:t>
      </w:r>
      <w:r w:rsidRPr="00B314BD">
        <w:rPr>
          <w:bCs/>
          <w:sz w:val="20"/>
          <w:szCs w:val="20"/>
        </w:rPr>
        <w:t>, Engenheira Florestal</w:t>
      </w:r>
      <w:r w:rsidRPr="00B314BD">
        <w:rPr>
          <w:bCs/>
          <w:sz w:val="20"/>
          <w:szCs w:val="20"/>
          <w:vertAlign w:val="superscript"/>
        </w:rPr>
        <w:t>2</w:t>
      </w:r>
    </w:p>
    <w:p w14:paraId="3BAE004B" w14:textId="77777777" w:rsidR="00CB1A89" w:rsidRPr="00B314BD" w:rsidRDefault="00CB1A89" w:rsidP="00CB1A89">
      <w:pPr>
        <w:spacing w:line="276" w:lineRule="auto"/>
        <w:ind w:left="221" w:right="214"/>
        <w:jc w:val="center"/>
        <w:rPr>
          <w:bCs/>
          <w:sz w:val="20"/>
          <w:szCs w:val="20"/>
        </w:rPr>
      </w:pPr>
      <w:bookmarkStart w:id="1" w:name="_heading=h.yp96iwu2o7wg" w:colFirst="0" w:colLast="0"/>
      <w:bookmarkEnd w:id="1"/>
      <w:r w:rsidRPr="00B314BD">
        <w:rPr>
          <w:bCs/>
          <w:sz w:val="20"/>
          <w:szCs w:val="20"/>
        </w:rPr>
        <w:t>* walyfi@hotmail.com</w:t>
      </w:r>
    </w:p>
    <w:p w14:paraId="15A85590" w14:textId="484FE39A" w:rsidR="00C802EF" w:rsidRPr="00731CFD" w:rsidRDefault="003E1B16">
      <w:pPr>
        <w:jc w:val="center"/>
        <w:rPr>
          <w:sz w:val="20"/>
          <w:szCs w:val="20"/>
        </w:rPr>
      </w:pPr>
      <w:r w:rsidRPr="00731CFD">
        <w:rPr>
          <w:sz w:val="20"/>
          <w:szCs w:val="20"/>
        </w:rPr>
        <w:t>_________________________________________________________________________________________</w:t>
      </w:r>
    </w:p>
    <w:p w14:paraId="75E722A4" w14:textId="77777777" w:rsidR="00C802EF" w:rsidRPr="00731CFD" w:rsidRDefault="00C802EF">
      <w:pPr>
        <w:jc w:val="both"/>
        <w:rPr>
          <w:sz w:val="20"/>
          <w:szCs w:val="20"/>
        </w:rPr>
      </w:pPr>
    </w:p>
    <w:p w14:paraId="3F28E9A9" w14:textId="796D0E17" w:rsidR="00C802EF" w:rsidRPr="00731CFD" w:rsidRDefault="003E1B16">
      <w:pPr>
        <w:jc w:val="both"/>
        <w:rPr>
          <w:sz w:val="20"/>
          <w:szCs w:val="20"/>
        </w:rPr>
      </w:pPr>
      <w:r w:rsidRPr="00731CFD">
        <w:rPr>
          <w:b/>
          <w:sz w:val="20"/>
          <w:szCs w:val="20"/>
        </w:rPr>
        <w:t>RESUMO</w:t>
      </w:r>
    </w:p>
    <w:p w14:paraId="26C82CCA" w14:textId="35F7E361" w:rsidR="00BC55B0" w:rsidRPr="00E32651" w:rsidRDefault="00BC55B0" w:rsidP="00BC55B0">
      <w:pPr>
        <w:jc w:val="both"/>
        <w:rPr>
          <w:sz w:val="20"/>
          <w:szCs w:val="20"/>
          <w:lang w:val="pt-PT"/>
        </w:rPr>
      </w:pPr>
      <w:r w:rsidRPr="00BC55B0">
        <w:rPr>
          <w:sz w:val="20"/>
          <w:szCs w:val="20"/>
          <w:lang w:val="pt-PT"/>
        </w:rPr>
        <w:t>O Brasil destaca-se como um dos grandes produtores mundiais de madeira de eucalipto, sendo eles 7,8 milhões de h</w:t>
      </w:r>
      <w:r w:rsidR="00762228">
        <w:rPr>
          <w:sz w:val="20"/>
          <w:szCs w:val="20"/>
          <w:lang w:val="pt-PT"/>
        </w:rPr>
        <w:t>a</w:t>
      </w:r>
      <w:r w:rsidRPr="00BC55B0">
        <w:rPr>
          <w:sz w:val="20"/>
          <w:szCs w:val="20"/>
          <w:lang w:val="pt-PT"/>
        </w:rPr>
        <w:t xml:space="preserve"> plantado, dos 10,2 milhões totais cultivada no pais.</w:t>
      </w:r>
      <w:r w:rsidRPr="00BC55B0">
        <w:rPr>
          <w:rFonts w:ascii="Nunito Sans" w:hAnsi="Nunito Sans"/>
          <w:color w:val="513CEA"/>
          <w:sz w:val="20"/>
          <w:szCs w:val="20"/>
          <w:shd w:val="clear" w:color="auto" w:fill="FFFFFF"/>
        </w:rPr>
        <w:t xml:space="preserve"> </w:t>
      </w:r>
      <w:r w:rsidRPr="00BC55B0">
        <w:rPr>
          <w:sz w:val="20"/>
          <w:szCs w:val="20"/>
        </w:rPr>
        <w:t>O objetivo deste estudo foi avaliar a produção anual de madeira de eucalipto e pinus do Brasil, especialmente, a de eucalipto nos municípios do Piauí, utilizando dados do IBGE no período de 2019 a 2023</w:t>
      </w:r>
      <w:r w:rsidRPr="00BC55B0">
        <w:rPr>
          <w:sz w:val="20"/>
          <w:szCs w:val="20"/>
          <w:lang w:val="pt-PT"/>
        </w:rPr>
        <w:t>. Entre 2013 e 2023, a produtividade média das plantações manteve-se elevada, entre 38 e 42 m³ ha</w:t>
      </w:r>
      <w:r w:rsidRPr="00BC55B0">
        <w:rPr>
          <w:sz w:val="20"/>
          <w:szCs w:val="20"/>
          <w:vertAlign w:val="superscript"/>
          <w:lang w:val="pt-PT"/>
        </w:rPr>
        <w:t>-1</w:t>
      </w:r>
      <w:r w:rsidRPr="00BC55B0">
        <w:rPr>
          <w:sz w:val="20"/>
          <w:szCs w:val="20"/>
          <w:lang w:val="pt-PT"/>
        </w:rPr>
        <w:t xml:space="preserve"> ano</w:t>
      </w:r>
      <w:r w:rsidRPr="00BC55B0">
        <w:rPr>
          <w:sz w:val="20"/>
          <w:szCs w:val="20"/>
          <w:vertAlign w:val="superscript"/>
          <w:lang w:val="pt-PT"/>
        </w:rPr>
        <w:t>-1</w:t>
      </w:r>
      <w:r w:rsidRPr="00BC55B0">
        <w:rPr>
          <w:sz w:val="20"/>
          <w:szCs w:val="20"/>
          <w:lang w:val="pt-PT"/>
        </w:rPr>
        <w:t>, graças a avanços em programas de melhoramento genético e práticas silviculturais aprimoradas. A partir do ano de 20</w:t>
      </w:r>
      <w:r w:rsidR="00E32651">
        <w:rPr>
          <w:sz w:val="20"/>
          <w:szCs w:val="20"/>
          <w:lang w:val="pt-PT"/>
        </w:rPr>
        <w:t>22</w:t>
      </w:r>
      <w:r w:rsidRPr="00BC55B0">
        <w:rPr>
          <w:sz w:val="20"/>
          <w:szCs w:val="20"/>
          <w:lang w:val="pt-PT"/>
        </w:rPr>
        <w:t>, a produtividade média foi cerca de 37</w:t>
      </w:r>
      <w:r w:rsidR="00E32651">
        <w:rPr>
          <w:sz w:val="20"/>
          <w:szCs w:val="20"/>
          <w:lang w:val="pt-PT"/>
        </w:rPr>
        <w:t>,7</w:t>
      </w:r>
      <w:r w:rsidRPr="00BC55B0">
        <w:rPr>
          <w:sz w:val="20"/>
          <w:szCs w:val="20"/>
          <w:lang w:val="pt-PT"/>
        </w:rPr>
        <w:t xml:space="preserve"> m³ ha</w:t>
      </w:r>
      <w:r w:rsidRPr="00BC55B0">
        <w:rPr>
          <w:sz w:val="20"/>
          <w:szCs w:val="20"/>
          <w:vertAlign w:val="superscript"/>
          <w:lang w:val="pt-PT"/>
        </w:rPr>
        <w:t>-1</w:t>
      </w:r>
      <w:r w:rsidRPr="00BC55B0">
        <w:rPr>
          <w:sz w:val="20"/>
          <w:szCs w:val="20"/>
          <w:lang w:val="pt-PT"/>
        </w:rPr>
        <w:t xml:space="preserve"> ano</w:t>
      </w:r>
      <w:r w:rsidRPr="00BC55B0">
        <w:rPr>
          <w:sz w:val="20"/>
          <w:szCs w:val="20"/>
          <w:vertAlign w:val="superscript"/>
          <w:lang w:val="pt-PT"/>
        </w:rPr>
        <w:t>-1</w:t>
      </w:r>
      <w:r w:rsidR="00E32651">
        <w:rPr>
          <w:sz w:val="20"/>
          <w:szCs w:val="20"/>
          <w:lang w:val="pt-PT"/>
        </w:rPr>
        <w:t xml:space="preserve"> em relação as medias anteriores</w:t>
      </w:r>
      <w:r w:rsidRPr="00BC55B0">
        <w:rPr>
          <w:sz w:val="20"/>
          <w:szCs w:val="20"/>
          <w:lang w:val="pt-PT"/>
        </w:rPr>
        <w:t xml:space="preserve">, </w:t>
      </w:r>
      <w:r w:rsidRPr="00BC55B0">
        <w:rPr>
          <w:sz w:val="20"/>
          <w:szCs w:val="20"/>
        </w:rPr>
        <w:t>a menor do período, possivelmente devido a eventos climáticos extremos como secas e ondas de calor</w:t>
      </w:r>
      <w:r w:rsidRPr="00BC55B0">
        <w:rPr>
          <w:sz w:val="20"/>
          <w:szCs w:val="20"/>
          <w:lang w:val="pt-PT"/>
        </w:rPr>
        <w:t xml:space="preserve">. Para enfrentar esses desafios, o setor de florestal tem investido em inovação tecnológica como, manejo de precisão e diversificação genética com materiais adaptados as condições de escassez hídrica, visando sustentar a produtividade e a resiliência dos plantios diante dos eventos climático. A </w:t>
      </w:r>
      <w:r w:rsidRPr="00BC55B0">
        <w:rPr>
          <w:sz w:val="20"/>
          <w:szCs w:val="20"/>
        </w:rPr>
        <w:t xml:space="preserve">área total de eucalipto em 2023 foi 7.550.549 hectares e pinus foi de </w:t>
      </w:r>
      <w:r w:rsidR="00E32651">
        <w:rPr>
          <w:sz w:val="20"/>
          <w:szCs w:val="20"/>
        </w:rPr>
        <w:t>1,756,989</w:t>
      </w:r>
      <w:r w:rsidRPr="00BC55B0">
        <w:rPr>
          <w:sz w:val="20"/>
          <w:szCs w:val="20"/>
        </w:rPr>
        <w:t xml:space="preserve"> hectares. A produção total de madeira de florestas plantadas para o mesmo ano foi de 7,55 milhões de metros cúbicos. No Piauí, houve uma redução nas áreas plantadas, caindo de 32.431 hectares em 2019 para 25.701 hectares em 2023 impactando na produção de madeira na região, que é concentrada nos municípios de Elesbão Veloso, Passagem Franca e Regeneração, os maiores produtores de eucalipto no estado</w:t>
      </w:r>
    </w:p>
    <w:p w14:paraId="1C5B8B4E" w14:textId="640A980A" w:rsidR="00856539" w:rsidRPr="00731CFD" w:rsidRDefault="003E1B16" w:rsidP="0055598C">
      <w:pPr>
        <w:widowControl/>
        <w:ind w:right="4"/>
        <w:rPr>
          <w:sz w:val="20"/>
          <w:szCs w:val="20"/>
        </w:rPr>
      </w:pPr>
      <w:r w:rsidRPr="00BC55B0">
        <w:rPr>
          <w:i/>
          <w:sz w:val="20"/>
          <w:szCs w:val="20"/>
        </w:rPr>
        <w:t>Palavras-chave</w:t>
      </w:r>
      <w:r w:rsidRPr="00BC55B0">
        <w:rPr>
          <w:sz w:val="20"/>
          <w:szCs w:val="20"/>
        </w:rPr>
        <w:t xml:space="preserve">: </w:t>
      </w:r>
      <w:r w:rsidR="005462AA">
        <w:rPr>
          <w:sz w:val="20"/>
          <w:szCs w:val="20"/>
        </w:rPr>
        <w:t>E</w:t>
      </w:r>
      <w:r w:rsidR="00856539" w:rsidRPr="00BC55B0">
        <w:rPr>
          <w:sz w:val="20"/>
          <w:szCs w:val="20"/>
        </w:rPr>
        <w:t>ucalip</w:t>
      </w:r>
      <w:r w:rsidR="006C0743">
        <w:rPr>
          <w:sz w:val="20"/>
          <w:szCs w:val="20"/>
        </w:rPr>
        <w:t>t</w:t>
      </w:r>
      <w:r w:rsidR="00856539" w:rsidRPr="00BC55B0">
        <w:rPr>
          <w:sz w:val="20"/>
          <w:szCs w:val="20"/>
        </w:rPr>
        <w:t xml:space="preserve">ocultura, </w:t>
      </w:r>
      <w:r w:rsidR="005462AA">
        <w:rPr>
          <w:sz w:val="20"/>
          <w:szCs w:val="20"/>
        </w:rPr>
        <w:t>P</w:t>
      </w:r>
      <w:r w:rsidR="00856539" w:rsidRPr="00BC55B0">
        <w:rPr>
          <w:sz w:val="20"/>
          <w:szCs w:val="20"/>
        </w:rPr>
        <w:t>rodutividade florestal</w:t>
      </w:r>
      <w:r w:rsidR="00856539" w:rsidRPr="00731CFD">
        <w:rPr>
          <w:sz w:val="20"/>
          <w:szCs w:val="20"/>
        </w:rPr>
        <w:t xml:space="preserve">, </w:t>
      </w:r>
      <w:r w:rsidR="005462AA">
        <w:rPr>
          <w:sz w:val="20"/>
          <w:szCs w:val="20"/>
        </w:rPr>
        <w:t>R</w:t>
      </w:r>
      <w:r w:rsidR="00856539" w:rsidRPr="00731CFD">
        <w:rPr>
          <w:sz w:val="20"/>
          <w:szCs w:val="20"/>
        </w:rPr>
        <w:t>eflorestamento.</w:t>
      </w:r>
    </w:p>
    <w:p w14:paraId="18DBA1B0" w14:textId="77777777" w:rsidR="00C802EF" w:rsidRPr="00731CFD" w:rsidRDefault="00C802EF">
      <w:pPr>
        <w:widowControl/>
        <w:jc w:val="both"/>
        <w:rPr>
          <w:b/>
          <w:sz w:val="20"/>
          <w:szCs w:val="20"/>
        </w:rPr>
      </w:pPr>
    </w:p>
    <w:p w14:paraId="3CD6974F" w14:textId="5D25EC20" w:rsidR="00C802EF" w:rsidRPr="00731CFD" w:rsidRDefault="003E1B16">
      <w:pPr>
        <w:widowControl/>
        <w:jc w:val="both"/>
        <w:rPr>
          <w:sz w:val="20"/>
          <w:szCs w:val="20"/>
        </w:rPr>
      </w:pPr>
      <w:r w:rsidRPr="00731CFD">
        <w:rPr>
          <w:b/>
          <w:sz w:val="20"/>
          <w:szCs w:val="20"/>
        </w:rPr>
        <w:t>INTRODUÇÃO</w:t>
      </w:r>
    </w:p>
    <w:p w14:paraId="03B67957" w14:textId="77777777" w:rsidR="00683288" w:rsidRPr="00731CFD" w:rsidRDefault="00683288">
      <w:pPr>
        <w:widowControl/>
        <w:ind w:firstLine="709"/>
        <w:jc w:val="both"/>
        <w:rPr>
          <w:sz w:val="20"/>
          <w:szCs w:val="20"/>
        </w:rPr>
      </w:pPr>
    </w:p>
    <w:p w14:paraId="15DDC5D3" w14:textId="4B8CE88E" w:rsidR="00624569" w:rsidRPr="00731CFD" w:rsidRDefault="00624569" w:rsidP="005D3946">
      <w:pPr>
        <w:widowControl/>
        <w:ind w:firstLine="709"/>
        <w:jc w:val="both"/>
        <w:rPr>
          <w:sz w:val="20"/>
          <w:szCs w:val="20"/>
        </w:rPr>
      </w:pPr>
      <w:bookmarkStart w:id="2" w:name="_Hlk197949762"/>
      <w:r w:rsidRPr="00731CFD">
        <w:rPr>
          <w:sz w:val="20"/>
          <w:szCs w:val="20"/>
        </w:rPr>
        <w:t>O Brasil é um dos maiores produtores mundiais na área da silvicultura, especialmente na cultura do eucalipto, com relevante importância para a economia, principalmente na produção de celulose e papel, além de outros produtos oriundos do setor. A área total plantada no país corresponde a cerca de 10,2 milhões de hectares, a cultura do eucalipto corresponde a 7,8 milhões de hectares, o que corresponde a 76% da área de florestas plantadas, conforme relatórios recentes da Indústria Brasileira de Árvores (IBÁ</w:t>
      </w:r>
      <w:r w:rsidR="00D40F75">
        <w:rPr>
          <w:sz w:val="20"/>
          <w:szCs w:val="20"/>
        </w:rPr>
        <w:t xml:space="preserve">, </w:t>
      </w:r>
      <w:r w:rsidRPr="00731CFD">
        <w:rPr>
          <w:sz w:val="20"/>
          <w:szCs w:val="20"/>
        </w:rPr>
        <w:t xml:space="preserve">2024). </w:t>
      </w:r>
    </w:p>
    <w:bookmarkEnd w:id="2"/>
    <w:p w14:paraId="77FAEA2B" w14:textId="57E0B772" w:rsidR="00624569" w:rsidRPr="00731CFD" w:rsidRDefault="00624569" w:rsidP="00624569">
      <w:pPr>
        <w:widowControl/>
        <w:ind w:firstLine="708"/>
        <w:jc w:val="both"/>
        <w:rPr>
          <w:sz w:val="20"/>
          <w:szCs w:val="20"/>
        </w:rPr>
      </w:pPr>
      <w:r w:rsidRPr="00731CFD">
        <w:rPr>
          <w:sz w:val="20"/>
          <w:szCs w:val="20"/>
        </w:rPr>
        <w:t xml:space="preserve">Quanto </w:t>
      </w:r>
      <w:r w:rsidR="0069625E" w:rsidRPr="00731CFD">
        <w:rPr>
          <w:sz w:val="20"/>
          <w:szCs w:val="20"/>
        </w:rPr>
        <w:t>aos aspectos</w:t>
      </w:r>
      <w:r w:rsidRPr="00731CFD">
        <w:rPr>
          <w:sz w:val="20"/>
          <w:szCs w:val="20"/>
        </w:rPr>
        <w:t xml:space="preserve"> da distribuição geográfica da atividade silvicultural por regiões no país, a região Sudeste lidera em termos de área plantada, seguida pelas regiões Sul, Nordeste e Norte. Na última década, a produtividade média das plantações de eucalipto no Brasil, apresentam variações entre 20,0 e 41,1 m³</w:t>
      </w:r>
      <w:r w:rsidR="005462AA">
        <w:rPr>
          <w:sz w:val="20"/>
          <w:szCs w:val="20"/>
        </w:rPr>
        <w:t>*</w:t>
      </w:r>
      <w:r w:rsidRPr="00731CFD">
        <w:rPr>
          <w:sz w:val="20"/>
          <w:szCs w:val="20"/>
        </w:rPr>
        <w:t>ha⁻¹</w:t>
      </w:r>
      <w:r w:rsidR="005462AA">
        <w:rPr>
          <w:sz w:val="20"/>
          <w:szCs w:val="20"/>
        </w:rPr>
        <w:t>*</w:t>
      </w:r>
      <w:r w:rsidRPr="00731CFD">
        <w:rPr>
          <w:sz w:val="20"/>
          <w:szCs w:val="20"/>
        </w:rPr>
        <w:t xml:space="preserve">ano⁻¹ (IBÁ, 2024). A discrepância com as altas médias de produtividades, ocorre </w:t>
      </w:r>
      <w:r w:rsidR="0002545F" w:rsidRPr="00731CFD">
        <w:rPr>
          <w:sz w:val="20"/>
          <w:szCs w:val="20"/>
        </w:rPr>
        <w:t>devido</w:t>
      </w:r>
      <w:r w:rsidRPr="00731CFD">
        <w:rPr>
          <w:sz w:val="20"/>
          <w:szCs w:val="20"/>
        </w:rPr>
        <w:t xml:space="preserve"> contínuo avanço dos programas de melhoramento genético, que desenvolveram clones mais adaptados a diferentes condições edafoclimáticas, além da implementação de práticas silviculturais aprimoradas, como o cultivo mínimo, cuja técnica  mantém ao menos 70% da superfície do solo protegida com resíduos florestais, promovendo a conservação da umidade,  a proteção contra a erosão, o que favorece ao desenvolvimento da cultura (Stape et al., 2010).</w:t>
      </w:r>
    </w:p>
    <w:p w14:paraId="5B8980FB" w14:textId="697D0C61" w:rsidR="008C7198" w:rsidRPr="00731CFD" w:rsidRDefault="008C7198" w:rsidP="008C7198">
      <w:pPr>
        <w:widowControl/>
        <w:ind w:firstLine="708"/>
        <w:jc w:val="both"/>
        <w:rPr>
          <w:sz w:val="20"/>
          <w:szCs w:val="20"/>
        </w:rPr>
      </w:pPr>
      <w:r w:rsidRPr="00731CFD">
        <w:rPr>
          <w:sz w:val="20"/>
          <w:szCs w:val="20"/>
        </w:rPr>
        <w:t>Apesar dos avanços tecnológicos e do elevado desempenho produtivo, observou-se a partir de 2022 uma leve redução na produtividade média, que passou a ser de 32,7 m³</w:t>
      </w:r>
      <w:r w:rsidR="005462AA">
        <w:rPr>
          <w:sz w:val="20"/>
          <w:szCs w:val="20"/>
        </w:rPr>
        <w:t>*</w:t>
      </w:r>
      <w:r w:rsidRPr="00731CFD">
        <w:rPr>
          <w:sz w:val="20"/>
          <w:szCs w:val="20"/>
        </w:rPr>
        <w:t>ha⁻¹</w:t>
      </w:r>
      <w:r w:rsidR="005462AA">
        <w:rPr>
          <w:sz w:val="20"/>
          <w:szCs w:val="20"/>
        </w:rPr>
        <w:t>*</w:t>
      </w:r>
      <w:r w:rsidRPr="00731CFD">
        <w:rPr>
          <w:sz w:val="20"/>
          <w:szCs w:val="20"/>
        </w:rPr>
        <w:t>ano⁻¹. Esse valor representa uma queda em relação às médias registradas em anos anteriores, que variavam entre 3</w:t>
      </w:r>
      <w:r w:rsidR="0000096C" w:rsidRPr="00731CFD">
        <w:rPr>
          <w:sz w:val="20"/>
          <w:szCs w:val="20"/>
        </w:rPr>
        <w:t>5,3</w:t>
      </w:r>
      <w:r w:rsidRPr="00731CFD">
        <w:rPr>
          <w:sz w:val="20"/>
          <w:szCs w:val="20"/>
        </w:rPr>
        <w:t xml:space="preserve"> e </w:t>
      </w:r>
      <w:r w:rsidR="0000096C" w:rsidRPr="00731CFD">
        <w:rPr>
          <w:sz w:val="20"/>
          <w:szCs w:val="20"/>
        </w:rPr>
        <w:t>38,9</w:t>
      </w:r>
      <w:r w:rsidRPr="00731CFD">
        <w:rPr>
          <w:sz w:val="20"/>
          <w:szCs w:val="20"/>
        </w:rPr>
        <w:t xml:space="preserve"> m³</w:t>
      </w:r>
      <w:r w:rsidR="005462AA">
        <w:rPr>
          <w:sz w:val="20"/>
          <w:szCs w:val="20"/>
        </w:rPr>
        <w:t>*</w:t>
      </w:r>
      <w:r w:rsidRPr="00731CFD">
        <w:rPr>
          <w:sz w:val="20"/>
          <w:szCs w:val="20"/>
        </w:rPr>
        <w:t>ha⁻¹</w:t>
      </w:r>
      <w:r w:rsidR="005462AA">
        <w:rPr>
          <w:sz w:val="20"/>
          <w:szCs w:val="20"/>
        </w:rPr>
        <w:t>*</w:t>
      </w:r>
      <w:r w:rsidRPr="00731CFD">
        <w:rPr>
          <w:sz w:val="20"/>
          <w:szCs w:val="20"/>
        </w:rPr>
        <w:t>ano⁻¹. No entanto, é importante destacar que essa variação ainda se mantém dentro de um intervalo considerado tecnicamente satisfatório (IBÁ, 2023; 2024).</w:t>
      </w:r>
    </w:p>
    <w:p w14:paraId="5BFA2081" w14:textId="4796650C" w:rsidR="00624569" w:rsidRPr="00731CFD" w:rsidRDefault="00624569" w:rsidP="00624569">
      <w:pPr>
        <w:widowControl/>
        <w:ind w:firstLine="708"/>
        <w:jc w:val="both"/>
        <w:rPr>
          <w:sz w:val="20"/>
          <w:szCs w:val="20"/>
        </w:rPr>
      </w:pPr>
      <w:r w:rsidRPr="00731CFD">
        <w:rPr>
          <w:sz w:val="20"/>
          <w:szCs w:val="20"/>
        </w:rPr>
        <w:t xml:space="preserve">Dentre os principais fatores responsáveis por essa redução de produtividade mencionada anteriormente, destacam-se o aumento da frequência de eventos climáticos extremos, como secas prolongadas e ondas de calor </w:t>
      </w:r>
      <w:r w:rsidR="002135C9" w:rsidRPr="002135C9">
        <w:rPr>
          <w:sz w:val="20"/>
          <w:szCs w:val="20"/>
        </w:rPr>
        <w:t>(ALMEIDA; LEMOS; SILVA, 2020)</w:t>
      </w:r>
      <w:r w:rsidR="002135C9" w:rsidRPr="002135C9" w:rsidDel="002135C9">
        <w:rPr>
          <w:sz w:val="20"/>
          <w:szCs w:val="20"/>
        </w:rPr>
        <w:t>.</w:t>
      </w:r>
      <w:r w:rsidRPr="00731CFD">
        <w:rPr>
          <w:sz w:val="20"/>
          <w:szCs w:val="20"/>
        </w:rPr>
        <w:t xml:space="preserve"> Assim como o esgotamento nutricional dos solos em áreas de reflorestamento contínuo, e o crescimento da incidência de pragas e doenças, como a vespa-da-galha e a ferrugem do eucalipto (Zanetti et al., 2019).</w:t>
      </w:r>
    </w:p>
    <w:p w14:paraId="25BDE662" w14:textId="7C0A1C6E" w:rsidR="00624569" w:rsidRPr="00731CFD" w:rsidRDefault="00624569" w:rsidP="00624569">
      <w:pPr>
        <w:widowControl/>
        <w:ind w:firstLine="708"/>
        <w:jc w:val="both"/>
        <w:rPr>
          <w:sz w:val="20"/>
          <w:szCs w:val="20"/>
        </w:rPr>
      </w:pPr>
      <w:r w:rsidRPr="00731CFD">
        <w:rPr>
          <w:sz w:val="20"/>
          <w:szCs w:val="20"/>
        </w:rPr>
        <w:t xml:space="preserve">Esses desafios têm levado o setor florestal a investir ainda mais em inovação tecnológica, manejo de precisão e diversificação genética adaptadas as diversas condições climáticas, como estratégias para sustentar a </w:t>
      </w:r>
      <w:r w:rsidRPr="00731CFD">
        <w:rPr>
          <w:sz w:val="20"/>
          <w:szCs w:val="20"/>
        </w:rPr>
        <w:lastRenderedPageBreak/>
        <w:t xml:space="preserve">produtividade e garantir a resiliência dos plantios frente às mudanças climáticas </w:t>
      </w:r>
      <w:r w:rsidR="002135C9" w:rsidRPr="002135C9">
        <w:rPr>
          <w:sz w:val="20"/>
          <w:szCs w:val="20"/>
        </w:rPr>
        <w:t>(ALMEIDA; LEMOS; SILVA, 2020</w:t>
      </w:r>
      <w:r w:rsidR="002135C9">
        <w:t>).</w:t>
      </w:r>
    </w:p>
    <w:p w14:paraId="013BF833" w14:textId="3F197FB2" w:rsidR="00624569" w:rsidRPr="00731CFD" w:rsidRDefault="00624569" w:rsidP="00624569">
      <w:pPr>
        <w:widowControl/>
        <w:ind w:firstLine="708"/>
        <w:jc w:val="both"/>
        <w:rPr>
          <w:sz w:val="20"/>
          <w:szCs w:val="20"/>
        </w:rPr>
      </w:pPr>
      <w:r w:rsidRPr="00731CFD">
        <w:rPr>
          <w:sz w:val="20"/>
          <w:szCs w:val="20"/>
        </w:rPr>
        <w:t>Diante desse contexto, este estudo teve por objetivo avaliar a produção média anual d</w:t>
      </w:r>
      <w:r w:rsidR="0012169C">
        <w:rPr>
          <w:sz w:val="20"/>
          <w:szCs w:val="20"/>
        </w:rPr>
        <w:t>e madeira d</w:t>
      </w:r>
      <w:r w:rsidRPr="00731CFD">
        <w:rPr>
          <w:sz w:val="20"/>
          <w:szCs w:val="20"/>
        </w:rPr>
        <w:t>a cultura do eucalipto</w:t>
      </w:r>
      <w:r w:rsidR="0012169C">
        <w:rPr>
          <w:sz w:val="20"/>
          <w:szCs w:val="20"/>
        </w:rPr>
        <w:t>, pinus e outras espécies</w:t>
      </w:r>
      <w:r w:rsidRPr="00731CFD">
        <w:rPr>
          <w:sz w:val="20"/>
          <w:szCs w:val="20"/>
        </w:rPr>
        <w:t xml:space="preserve"> nos últimos cinco anos a nível territorial do Brasil e </w:t>
      </w:r>
      <w:r w:rsidR="0012169C">
        <w:rPr>
          <w:sz w:val="20"/>
          <w:szCs w:val="20"/>
        </w:rPr>
        <w:t xml:space="preserve">a produção madeireira de eucalipto nos </w:t>
      </w:r>
      <w:r w:rsidRPr="00731CFD">
        <w:rPr>
          <w:sz w:val="20"/>
          <w:szCs w:val="20"/>
        </w:rPr>
        <w:t>municípios do estado do Piauí.</w:t>
      </w:r>
    </w:p>
    <w:p w14:paraId="676B35C7" w14:textId="77777777" w:rsidR="00624569" w:rsidRPr="00731CFD" w:rsidRDefault="00624569" w:rsidP="00624569">
      <w:pPr>
        <w:widowControl/>
        <w:ind w:firstLine="708"/>
        <w:jc w:val="both"/>
        <w:rPr>
          <w:sz w:val="20"/>
          <w:szCs w:val="20"/>
        </w:rPr>
      </w:pPr>
    </w:p>
    <w:p w14:paraId="58D98A87" w14:textId="762C5C97" w:rsidR="00C802EF" w:rsidRDefault="003E1B16">
      <w:pPr>
        <w:widowControl/>
        <w:jc w:val="both"/>
        <w:rPr>
          <w:b/>
          <w:sz w:val="20"/>
          <w:szCs w:val="20"/>
        </w:rPr>
      </w:pPr>
      <w:r w:rsidRPr="00731CFD">
        <w:rPr>
          <w:b/>
          <w:sz w:val="20"/>
          <w:szCs w:val="20"/>
        </w:rPr>
        <w:t xml:space="preserve">MATERIAL E MÉTODOS </w:t>
      </w:r>
    </w:p>
    <w:p w14:paraId="1EE911B5" w14:textId="77777777" w:rsidR="001164AC" w:rsidRPr="00731CFD" w:rsidRDefault="001164AC">
      <w:pPr>
        <w:widowControl/>
        <w:jc w:val="both"/>
        <w:rPr>
          <w:sz w:val="20"/>
          <w:szCs w:val="20"/>
        </w:rPr>
      </w:pPr>
    </w:p>
    <w:p w14:paraId="687FB775" w14:textId="640C4074" w:rsidR="00624569" w:rsidRPr="00731CFD" w:rsidRDefault="00624569" w:rsidP="00624569">
      <w:pPr>
        <w:widowControl/>
        <w:ind w:firstLine="709"/>
        <w:jc w:val="both"/>
        <w:rPr>
          <w:sz w:val="20"/>
          <w:szCs w:val="20"/>
          <w:lang w:val="pt-PT"/>
        </w:rPr>
      </w:pPr>
      <w:bookmarkStart w:id="3" w:name="_Hlk197949978"/>
      <w:r w:rsidRPr="00731CFD">
        <w:rPr>
          <w:sz w:val="20"/>
          <w:szCs w:val="20"/>
          <w:lang w:val="pt-PT"/>
        </w:rPr>
        <w:t>A pesquisa foi realizada a nível de território nacional e nos municípios do estado do Piauí. Os dados foram obtidos junto ao banco de informações da Pesquisa Agrícola Municipal do Instituto Brasileiro de Geografia e Estatística (IBGE). Para tanto, extraiu-se os dados da produção de Eucalipto, Pinus e Outras Espécies no período 2019–2023, utilizou-se o Sistema de Recuperação Automática (SIDRA, 2</w:t>
      </w:r>
      <w:r w:rsidR="00117C5A">
        <w:rPr>
          <w:sz w:val="20"/>
          <w:szCs w:val="20"/>
          <w:lang w:val="pt-PT"/>
        </w:rPr>
        <w:t>024).</w:t>
      </w:r>
    </w:p>
    <w:p w14:paraId="06ADF387" w14:textId="7D50D806" w:rsidR="00624569" w:rsidRPr="00731CFD" w:rsidRDefault="00624569" w:rsidP="00624569">
      <w:pPr>
        <w:widowControl/>
        <w:ind w:firstLine="709"/>
        <w:jc w:val="both"/>
        <w:rPr>
          <w:sz w:val="20"/>
          <w:szCs w:val="20"/>
          <w:lang w:val="pt-PT"/>
        </w:rPr>
      </w:pPr>
      <w:r w:rsidRPr="00731CFD">
        <w:rPr>
          <w:sz w:val="20"/>
          <w:szCs w:val="20"/>
          <w:lang w:val="pt-PT"/>
        </w:rPr>
        <w:t xml:space="preserve">Foi avaliada a </w:t>
      </w:r>
      <w:r w:rsidR="00117C5A" w:rsidRPr="00731CFD">
        <w:rPr>
          <w:sz w:val="20"/>
          <w:szCs w:val="20"/>
          <w:lang w:val="pt-PT"/>
        </w:rPr>
        <w:t>variável</w:t>
      </w:r>
      <w:r w:rsidRPr="00731CFD">
        <w:rPr>
          <w:sz w:val="20"/>
          <w:szCs w:val="20"/>
          <w:lang w:val="pt-PT"/>
        </w:rPr>
        <w:t xml:space="preserve"> referentes à produção da silvicultura quanto a: Produção nacional de madeira (nível nacional, estadual e municipal </w:t>
      </w:r>
      <w:r w:rsidR="00994F47">
        <w:rPr>
          <w:sz w:val="20"/>
          <w:szCs w:val="20"/>
          <w:lang w:val="pt-PT"/>
        </w:rPr>
        <w:t xml:space="preserve">- </w:t>
      </w:r>
      <w:r w:rsidRPr="00731CFD">
        <w:rPr>
          <w:sz w:val="20"/>
          <w:szCs w:val="20"/>
          <w:lang w:val="pt-PT"/>
        </w:rPr>
        <w:t xml:space="preserve">PI). </w:t>
      </w:r>
    </w:p>
    <w:p w14:paraId="5A64245C" w14:textId="6BD1390C" w:rsidR="00624569" w:rsidRPr="00731CFD" w:rsidRDefault="00624569" w:rsidP="00624569">
      <w:pPr>
        <w:widowControl/>
        <w:ind w:firstLine="709"/>
        <w:jc w:val="both"/>
        <w:rPr>
          <w:sz w:val="20"/>
          <w:szCs w:val="20"/>
          <w:lang w:val="pt-PT"/>
        </w:rPr>
      </w:pPr>
      <w:r w:rsidRPr="00731CFD">
        <w:rPr>
          <w:sz w:val="20"/>
          <w:szCs w:val="20"/>
          <w:lang w:val="pt-PT"/>
        </w:rPr>
        <w:t xml:space="preserve">Após a extração de dados do SIDRA, os dados foram organizados e filtrados conforme intervalo de anos mencionado, quando a nível municipal, apenas para os </w:t>
      </w:r>
      <w:r w:rsidR="00117C5A" w:rsidRPr="00731CFD">
        <w:rPr>
          <w:sz w:val="20"/>
          <w:szCs w:val="20"/>
          <w:lang w:val="pt-PT"/>
        </w:rPr>
        <w:t>municípios</w:t>
      </w:r>
      <w:r w:rsidRPr="00731CFD">
        <w:rPr>
          <w:sz w:val="20"/>
          <w:szCs w:val="20"/>
          <w:lang w:val="pt-PT"/>
        </w:rPr>
        <w:t xml:space="preserve"> que apresentassem produção madeireira da silvicultura de florestas plantadas. Em seguida os dados foram plotados em figuras para melhor visualização.</w:t>
      </w:r>
    </w:p>
    <w:bookmarkEnd w:id="3"/>
    <w:p w14:paraId="311E5C7B" w14:textId="77777777" w:rsidR="00624569" w:rsidRPr="00731CFD" w:rsidRDefault="00624569">
      <w:pPr>
        <w:widowControl/>
        <w:jc w:val="both"/>
        <w:rPr>
          <w:sz w:val="20"/>
          <w:szCs w:val="20"/>
        </w:rPr>
      </w:pPr>
    </w:p>
    <w:p w14:paraId="2BAC9FA9" w14:textId="6E59022D" w:rsidR="00C802EF" w:rsidRDefault="003E1B16">
      <w:pPr>
        <w:widowControl/>
        <w:jc w:val="both"/>
        <w:rPr>
          <w:b/>
          <w:sz w:val="20"/>
          <w:szCs w:val="20"/>
        </w:rPr>
      </w:pPr>
      <w:r w:rsidRPr="00731CFD">
        <w:rPr>
          <w:b/>
          <w:sz w:val="20"/>
          <w:szCs w:val="20"/>
        </w:rPr>
        <w:t xml:space="preserve">RESULTADOS E DISCUSSÃO </w:t>
      </w:r>
    </w:p>
    <w:p w14:paraId="67B565BE" w14:textId="77777777" w:rsidR="001164AC" w:rsidRPr="00731CFD" w:rsidRDefault="001164AC">
      <w:pPr>
        <w:widowControl/>
        <w:jc w:val="both"/>
        <w:rPr>
          <w:sz w:val="20"/>
          <w:szCs w:val="20"/>
        </w:rPr>
      </w:pPr>
    </w:p>
    <w:p w14:paraId="1060D3B1" w14:textId="6C553525" w:rsidR="005C3F58" w:rsidRDefault="00624569" w:rsidP="005C3F58">
      <w:pPr>
        <w:widowControl/>
        <w:ind w:firstLine="709"/>
        <w:jc w:val="both"/>
        <w:rPr>
          <w:sz w:val="20"/>
          <w:szCs w:val="20"/>
        </w:rPr>
      </w:pPr>
      <w:r w:rsidRPr="00731CFD">
        <w:rPr>
          <w:sz w:val="20"/>
          <w:szCs w:val="20"/>
        </w:rPr>
        <w:t>No cenário nacional, observa-se relativa estabilidade na produção de madeira para as culturas de eucalipto, pinus e outras espécies. Os volumes de madeira anual, para a cultura do eucalipto variou de 7.360,69 mil m³ano</w:t>
      </w:r>
      <w:r w:rsidRPr="00731CFD">
        <w:rPr>
          <w:sz w:val="20"/>
          <w:szCs w:val="20"/>
          <w:vertAlign w:val="superscript"/>
        </w:rPr>
        <w:t>-1</w:t>
      </w:r>
      <w:r w:rsidRPr="00731CFD">
        <w:rPr>
          <w:sz w:val="20"/>
          <w:szCs w:val="20"/>
        </w:rPr>
        <w:t xml:space="preserve"> (2021) e 7.550,59 mil m³</w:t>
      </w:r>
      <w:r w:rsidR="00994F47">
        <w:rPr>
          <w:sz w:val="20"/>
          <w:szCs w:val="20"/>
        </w:rPr>
        <w:t>*</w:t>
      </w:r>
      <w:r w:rsidRPr="00731CFD">
        <w:rPr>
          <w:sz w:val="20"/>
          <w:szCs w:val="20"/>
        </w:rPr>
        <w:t>ano</w:t>
      </w:r>
      <w:r w:rsidRPr="00731CFD">
        <w:rPr>
          <w:sz w:val="20"/>
          <w:szCs w:val="20"/>
          <w:vertAlign w:val="superscript"/>
        </w:rPr>
        <w:t>-1</w:t>
      </w:r>
      <w:r w:rsidRPr="00731CFD">
        <w:rPr>
          <w:sz w:val="20"/>
          <w:szCs w:val="20"/>
        </w:rPr>
        <w:t xml:space="preserve"> (2023). A cultura do pinus apresenta ligeira oscilação, mantendo-se acima de 1,7 milhão de m³ano</w:t>
      </w:r>
      <w:r w:rsidRPr="00731CFD">
        <w:rPr>
          <w:sz w:val="20"/>
          <w:szCs w:val="20"/>
          <w:vertAlign w:val="superscript"/>
        </w:rPr>
        <w:t>-1</w:t>
      </w:r>
      <w:r w:rsidRPr="00731CFD">
        <w:rPr>
          <w:sz w:val="20"/>
          <w:szCs w:val="20"/>
        </w:rPr>
        <w:t>, enquanto as outras espécies florestais (culturas diversas) tiveram um leve declínio, de 386,3 mil m³ ano</w:t>
      </w:r>
      <w:r w:rsidRPr="00731CFD">
        <w:rPr>
          <w:sz w:val="20"/>
          <w:szCs w:val="20"/>
          <w:vertAlign w:val="superscript"/>
        </w:rPr>
        <w:t>-1</w:t>
      </w:r>
      <w:r w:rsidRPr="00731CFD">
        <w:rPr>
          <w:sz w:val="20"/>
          <w:szCs w:val="20"/>
        </w:rPr>
        <w:t xml:space="preserve"> em 2019 para 357,5 mil m³ ano</w:t>
      </w:r>
      <w:r w:rsidRPr="00731CFD">
        <w:rPr>
          <w:sz w:val="20"/>
          <w:szCs w:val="20"/>
          <w:vertAlign w:val="superscript"/>
        </w:rPr>
        <w:t xml:space="preserve">-1 </w:t>
      </w:r>
      <w:r w:rsidRPr="00731CFD">
        <w:rPr>
          <w:sz w:val="20"/>
          <w:szCs w:val="20"/>
        </w:rPr>
        <w:t>em 2023. Esses números evidencia a consolidação da cultura do eucalipto como principal fonte de matéria-prima de madeira, impulsionada pela sua alta produtividade, adaptabilidade edafoclimática, facilidade de manejo e demanda pela indústria de celulose</w:t>
      </w:r>
      <w:r w:rsidR="0012169C">
        <w:rPr>
          <w:sz w:val="20"/>
          <w:szCs w:val="20"/>
        </w:rPr>
        <w:t xml:space="preserve"> no Brasil</w:t>
      </w:r>
      <w:r w:rsidRPr="00731CFD">
        <w:rPr>
          <w:sz w:val="20"/>
          <w:szCs w:val="20"/>
        </w:rPr>
        <w:t xml:space="preserve"> (IBÁ, 2023</w:t>
      </w:r>
      <w:r w:rsidR="00585130">
        <w:rPr>
          <w:sz w:val="20"/>
          <w:szCs w:val="20"/>
        </w:rPr>
        <w:t>)</w:t>
      </w:r>
    </w:p>
    <w:p w14:paraId="5CF8CB41" w14:textId="64E716C1" w:rsidR="003B689B" w:rsidRPr="0012269D" w:rsidRDefault="00914ACC" w:rsidP="005C3F58">
      <w:pPr>
        <w:widowControl/>
        <w:ind w:firstLine="709"/>
        <w:jc w:val="both"/>
        <w:rPr>
          <w:sz w:val="20"/>
          <w:szCs w:val="20"/>
        </w:rPr>
      </w:pPr>
      <w:r w:rsidRPr="00117C5A">
        <w:rPr>
          <w:sz w:val="20"/>
          <w:szCs w:val="20"/>
        </w:rPr>
        <w:t xml:space="preserve">Ao decorrer de décadas observa-se </w:t>
      </w:r>
      <w:r w:rsidR="009A2365" w:rsidRPr="00117C5A">
        <w:rPr>
          <w:sz w:val="20"/>
          <w:szCs w:val="20"/>
        </w:rPr>
        <w:t>aumento na área plantada</w:t>
      </w:r>
      <w:r w:rsidRPr="00117C5A">
        <w:rPr>
          <w:sz w:val="20"/>
          <w:szCs w:val="20"/>
        </w:rPr>
        <w:t xml:space="preserve"> no Brasil</w:t>
      </w:r>
      <w:r w:rsidR="009A2365" w:rsidRPr="00117C5A">
        <w:rPr>
          <w:sz w:val="20"/>
          <w:szCs w:val="20"/>
        </w:rPr>
        <w:t xml:space="preserve">, passando de </w:t>
      </w:r>
      <w:r w:rsidR="009A2365" w:rsidRPr="00117C5A">
        <w:rPr>
          <w:rStyle w:val="Forte"/>
          <w:b w:val="0"/>
          <w:sz w:val="20"/>
          <w:szCs w:val="20"/>
        </w:rPr>
        <w:t>7.450.500 hectares em</w:t>
      </w:r>
      <w:r w:rsidR="009A2365" w:rsidRPr="00117C5A">
        <w:rPr>
          <w:rStyle w:val="Forte"/>
          <w:sz w:val="20"/>
          <w:szCs w:val="20"/>
        </w:rPr>
        <w:t xml:space="preserve"> </w:t>
      </w:r>
      <w:r w:rsidR="009A2365" w:rsidRPr="00117C5A">
        <w:rPr>
          <w:rStyle w:val="Forte"/>
          <w:b w:val="0"/>
          <w:sz w:val="20"/>
          <w:szCs w:val="20"/>
        </w:rPr>
        <w:t>2019</w:t>
      </w:r>
      <w:r w:rsidR="009A2365" w:rsidRPr="00117C5A">
        <w:rPr>
          <w:sz w:val="20"/>
          <w:szCs w:val="20"/>
        </w:rPr>
        <w:t xml:space="preserve"> para </w:t>
      </w:r>
      <w:r w:rsidR="009A2365" w:rsidRPr="00117C5A">
        <w:rPr>
          <w:rStyle w:val="Forte"/>
          <w:b w:val="0"/>
          <w:sz w:val="20"/>
          <w:szCs w:val="20"/>
        </w:rPr>
        <w:t>7.550.549 hectares em 2023</w:t>
      </w:r>
      <w:r w:rsidR="009A2365" w:rsidRPr="00117C5A">
        <w:rPr>
          <w:sz w:val="20"/>
          <w:szCs w:val="20"/>
        </w:rPr>
        <w:t xml:space="preserve">, o que representa uma </w:t>
      </w:r>
      <w:r w:rsidR="009A2365" w:rsidRPr="00117C5A">
        <w:rPr>
          <w:rStyle w:val="Forte"/>
          <w:b w:val="0"/>
          <w:sz w:val="20"/>
          <w:szCs w:val="20"/>
        </w:rPr>
        <w:t>elevação de 1,34%</w:t>
      </w:r>
      <w:r w:rsidR="009A2365" w:rsidRPr="00117C5A">
        <w:rPr>
          <w:b/>
          <w:sz w:val="20"/>
          <w:szCs w:val="20"/>
        </w:rPr>
        <w:t>.</w:t>
      </w:r>
      <w:r w:rsidR="009A2365" w:rsidRPr="00117C5A">
        <w:rPr>
          <w:sz w:val="20"/>
          <w:szCs w:val="20"/>
        </w:rPr>
        <w:t xml:space="preserve"> </w:t>
      </w:r>
      <w:r w:rsidR="006D6AC0" w:rsidRPr="00117C5A">
        <w:rPr>
          <w:sz w:val="20"/>
          <w:szCs w:val="20"/>
        </w:rPr>
        <w:t xml:space="preserve"> O cultivo de </w:t>
      </w:r>
      <w:r w:rsidR="006D6AC0" w:rsidRPr="00117C5A">
        <w:rPr>
          <w:rStyle w:val="Forte"/>
          <w:b w:val="0"/>
          <w:sz w:val="20"/>
          <w:szCs w:val="20"/>
        </w:rPr>
        <w:t>pinus</w:t>
      </w:r>
      <w:r w:rsidR="006D6AC0" w:rsidRPr="00117C5A">
        <w:rPr>
          <w:sz w:val="20"/>
          <w:szCs w:val="20"/>
        </w:rPr>
        <w:t xml:space="preserve"> apresentou uma leve </w:t>
      </w:r>
      <w:r w:rsidR="006D6AC0" w:rsidRPr="00117C5A">
        <w:rPr>
          <w:rStyle w:val="Forte"/>
          <w:b w:val="0"/>
          <w:sz w:val="20"/>
          <w:szCs w:val="20"/>
        </w:rPr>
        <w:t>redução de 4,90%</w:t>
      </w:r>
      <w:r w:rsidR="006D6AC0" w:rsidRPr="00117C5A">
        <w:rPr>
          <w:b/>
          <w:sz w:val="20"/>
          <w:szCs w:val="20"/>
        </w:rPr>
        <w:t xml:space="preserve">, </w:t>
      </w:r>
      <w:r w:rsidR="006D6AC0" w:rsidRPr="00117C5A">
        <w:rPr>
          <w:sz w:val="20"/>
          <w:szCs w:val="20"/>
        </w:rPr>
        <w:t xml:space="preserve">diminuindo de </w:t>
      </w:r>
      <w:r w:rsidR="006D6AC0" w:rsidRPr="00117C5A">
        <w:rPr>
          <w:rStyle w:val="Forte"/>
          <w:b w:val="0"/>
          <w:sz w:val="20"/>
          <w:szCs w:val="20"/>
        </w:rPr>
        <w:t>1.848.670 hectares para 1.756.989 hectares</w:t>
      </w:r>
      <w:r w:rsidR="006D6AC0" w:rsidRPr="00117C5A">
        <w:rPr>
          <w:sz w:val="20"/>
          <w:szCs w:val="20"/>
        </w:rPr>
        <w:br/>
        <w:t xml:space="preserve">As áreas destinadas a </w:t>
      </w:r>
      <w:r w:rsidR="006D6AC0" w:rsidRPr="00117C5A">
        <w:rPr>
          <w:rStyle w:val="Forte"/>
          <w:b w:val="0"/>
          <w:sz w:val="20"/>
          <w:szCs w:val="20"/>
        </w:rPr>
        <w:t>outras espécies florestais</w:t>
      </w:r>
      <w:r w:rsidR="006D6AC0" w:rsidRPr="00117C5A">
        <w:rPr>
          <w:b/>
          <w:sz w:val="20"/>
          <w:szCs w:val="20"/>
        </w:rPr>
        <w:t xml:space="preserve"> </w:t>
      </w:r>
      <w:r w:rsidR="006D6AC0" w:rsidRPr="00117C5A">
        <w:rPr>
          <w:sz w:val="20"/>
          <w:szCs w:val="20"/>
        </w:rPr>
        <w:t xml:space="preserve">também sofreram retração, passando de </w:t>
      </w:r>
      <w:r w:rsidR="006D6AC0" w:rsidRPr="00117C5A">
        <w:rPr>
          <w:rStyle w:val="Forte"/>
          <w:b w:val="0"/>
          <w:sz w:val="20"/>
          <w:szCs w:val="20"/>
        </w:rPr>
        <w:t>386.349 hectares em 2019</w:t>
      </w:r>
      <w:r w:rsidR="006D6AC0" w:rsidRPr="00117C5A">
        <w:rPr>
          <w:sz w:val="20"/>
          <w:szCs w:val="20"/>
        </w:rPr>
        <w:t xml:space="preserve"> para </w:t>
      </w:r>
      <w:r w:rsidR="006D6AC0" w:rsidRPr="00117C5A">
        <w:rPr>
          <w:rStyle w:val="Forte"/>
          <w:b w:val="0"/>
          <w:sz w:val="20"/>
          <w:szCs w:val="20"/>
        </w:rPr>
        <w:t>357.577 hectares em 2023</w:t>
      </w:r>
      <w:r w:rsidR="006D6AC0" w:rsidRPr="00117C5A">
        <w:rPr>
          <w:sz w:val="20"/>
          <w:szCs w:val="20"/>
        </w:rPr>
        <w:t>, o que corresponde a uma</w:t>
      </w:r>
      <w:r w:rsidR="006D6AC0" w:rsidRPr="00117C5A">
        <w:rPr>
          <w:b/>
          <w:sz w:val="20"/>
          <w:szCs w:val="20"/>
        </w:rPr>
        <w:t xml:space="preserve"> </w:t>
      </w:r>
      <w:r w:rsidR="006D6AC0" w:rsidRPr="00117C5A">
        <w:rPr>
          <w:rStyle w:val="Forte"/>
          <w:b w:val="0"/>
          <w:sz w:val="20"/>
          <w:szCs w:val="20"/>
        </w:rPr>
        <w:t>queda de 7,45%</w:t>
      </w:r>
      <w:r w:rsidR="006D6AC0" w:rsidRPr="00117C5A">
        <w:rPr>
          <w:b/>
          <w:sz w:val="20"/>
          <w:szCs w:val="20"/>
        </w:rPr>
        <w:t xml:space="preserve">. </w:t>
      </w:r>
      <w:r w:rsidR="009A2365" w:rsidRPr="00117C5A">
        <w:rPr>
          <w:sz w:val="20"/>
          <w:szCs w:val="20"/>
        </w:rPr>
        <w:t xml:space="preserve">Esse crescimento, embora modesto, indica uma relativa estabilidade no setor florestal (IBGE </w:t>
      </w:r>
      <w:r w:rsidR="00117C5A">
        <w:rPr>
          <w:sz w:val="20"/>
          <w:szCs w:val="20"/>
        </w:rPr>
        <w:t>2024)</w:t>
      </w:r>
      <w:r w:rsidR="00261F74">
        <w:rPr>
          <w:noProof/>
          <w:lang w:bidi="ar-SA"/>
        </w:rPr>
        <w:drawing>
          <wp:inline distT="0" distB="0" distL="0" distR="0" wp14:anchorId="4E5C07A0" wp14:editId="31D674FD">
            <wp:extent cx="5183505" cy="3362325"/>
            <wp:effectExtent l="0" t="0" r="17145" b="9525"/>
            <wp:docPr id="1954825290" name="Gráfico 1">
              <a:extLst xmlns:a="http://schemas.openxmlformats.org/drawingml/2006/main">
                <a:ext uri="{FF2B5EF4-FFF2-40B4-BE49-F238E27FC236}">
                  <a16:creationId xmlns:a16="http://schemas.microsoft.com/office/drawing/2014/main" id="{92831EDD-4742-F113-9402-002B94577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2C3D32" w14:textId="5364B753" w:rsidR="002E3146" w:rsidRDefault="003B689B" w:rsidP="00216CEC">
      <w:pPr>
        <w:pStyle w:val="Legenda"/>
        <w:spacing w:after="0"/>
        <w:ind w:left="851"/>
        <w:jc w:val="both"/>
        <w:rPr>
          <w:i w:val="0"/>
          <w:iCs w:val="0"/>
          <w:color w:val="auto"/>
          <w:sz w:val="20"/>
          <w:szCs w:val="20"/>
        </w:rPr>
      </w:pPr>
      <w:r w:rsidRPr="00731CFD">
        <w:rPr>
          <w:i w:val="0"/>
          <w:iCs w:val="0"/>
          <w:color w:val="auto"/>
          <w:sz w:val="20"/>
          <w:szCs w:val="20"/>
        </w:rPr>
        <w:t xml:space="preserve">Figura </w:t>
      </w:r>
      <w:r w:rsidRPr="00731CFD">
        <w:rPr>
          <w:i w:val="0"/>
          <w:iCs w:val="0"/>
          <w:color w:val="auto"/>
          <w:sz w:val="20"/>
          <w:szCs w:val="20"/>
        </w:rPr>
        <w:fldChar w:fldCharType="begin"/>
      </w:r>
      <w:r w:rsidRPr="008C3C10">
        <w:rPr>
          <w:i w:val="0"/>
          <w:iCs w:val="0"/>
          <w:color w:val="auto"/>
          <w:sz w:val="20"/>
          <w:szCs w:val="20"/>
        </w:rPr>
        <w:instrText xml:space="preserve"> SEQ Figura \* ARABIC </w:instrText>
      </w:r>
      <w:r w:rsidRPr="00731CFD">
        <w:rPr>
          <w:i w:val="0"/>
          <w:iCs w:val="0"/>
          <w:color w:val="auto"/>
          <w:sz w:val="20"/>
          <w:szCs w:val="20"/>
        </w:rPr>
        <w:fldChar w:fldCharType="separate"/>
      </w:r>
      <w:r w:rsidR="001D776D">
        <w:rPr>
          <w:i w:val="0"/>
          <w:iCs w:val="0"/>
          <w:noProof/>
          <w:color w:val="auto"/>
          <w:sz w:val="20"/>
          <w:szCs w:val="20"/>
        </w:rPr>
        <w:t>1</w:t>
      </w:r>
      <w:r w:rsidRPr="00731CFD">
        <w:rPr>
          <w:i w:val="0"/>
          <w:iCs w:val="0"/>
          <w:color w:val="auto"/>
          <w:sz w:val="20"/>
          <w:szCs w:val="20"/>
        </w:rPr>
        <w:fldChar w:fldCharType="end"/>
      </w:r>
      <w:r w:rsidR="001D1396">
        <w:rPr>
          <w:i w:val="0"/>
          <w:iCs w:val="0"/>
          <w:color w:val="auto"/>
          <w:sz w:val="20"/>
          <w:szCs w:val="20"/>
        </w:rPr>
        <w:t xml:space="preserve">. </w:t>
      </w:r>
      <w:r w:rsidRPr="00731CFD">
        <w:rPr>
          <w:i w:val="0"/>
          <w:iCs w:val="0"/>
          <w:color w:val="auto"/>
          <w:sz w:val="20"/>
          <w:szCs w:val="20"/>
        </w:rPr>
        <w:t xml:space="preserve">Produção </w:t>
      </w:r>
      <w:r w:rsidR="002E3146">
        <w:rPr>
          <w:i w:val="0"/>
          <w:iCs w:val="0"/>
          <w:color w:val="auto"/>
          <w:sz w:val="20"/>
          <w:szCs w:val="20"/>
        </w:rPr>
        <w:t>n</w:t>
      </w:r>
      <w:r w:rsidR="002E3146" w:rsidRPr="00731CFD">
        <w:rPr>
          <w:i w:val="0"/>
          <w:iCs w:val="0"/>
          <w:color w:val="auto"/>
          <w:sz w:val="20"/>
          <w:szCs w:val="20"/>
        </w:rPr>
        <w:t>acional</w:t>
      </w:r>
      <w:r w:rsidR="002E3146">
        <w:rPr>
          <w:i w:val="0"/>
          <w:iCs w:val="0"/>
          <w:color w:val="auto"/>
          <w:sz w:val="20"/>
          <w:szCs w:val="20"/>
        </w:rPr>
        <w:t xml:space="preserve"> de madeira, oriunda de florestas plantadas</w:t>
      </w:r>
      <w:r w:rsidR="002E3146" w:rsidRPr="00731CFD">
        <w:rPr>
          <w:i w:val="0"/>
          <w:iCs w:val="0"/>
          <w:color w:val="auto"/>
          <w:sz w:val="20"/>
          <w:szCs w:val="20"/>
        </w:rPr>
        <w:t xml:space="preserve"> </w:t>
      </w:r>
      <w:r w:rsidRPr="00731CFD">
        <w:rPr>
          <w:i w:val="0"/>
          <w:iCs w:val="0"/>
          <w:color w:val="auto"/>
          <w:sz w:val="20"/>
          <w:szCs w:val="20"/>
        </w:rPr>
        <w:t xml:space="preserve">de </w:t>
      </w:r>
      <w:r w:rsidR="002E3146">
        <w:rPr>
          <w:i w:val="0"/>
          <w:iCs w:val="0"/>
          <w:color w:val="auto"/>
          <w:sz w:val="20"/>
          <w:szCs w:val="20"/>
        </w:rPr>
        <w:t>e</w:t>
      </w:r>
      <w:r w:rsidR="002E3146" w:rsidRPr="00731CFD">
        <w:rPr>
          <w:i w:val="0"/>
          <w:iCs w:val="0"/>
          <w:color w:val="auto"/>
          <w:sz w:val="20"/>
          <w:szCs w:val="20"/>
        </w:rPr>
        <w:t>ucalipto</w:t>
      </w:r>
      <w:r w:rsidR="002E3146">
        <w:rPr>
          <w:i w:val="0"/>
          <w:iCs w:val="0"/>
          <w:color w:val="auto"/>
          <w:sz w:val="20"/>
          <w:szCs w:val="20"/>
        </w:rPr>
        <w:t>,</w:t>
      </w:r>
      <w:r w:rsidR="002E3146" w:rsidRPr="00731CFD">
        <w:rPr>
          <w:i w:val="0"/>
          <w:iCs w:val="0"/>
          <w:color w:val="auto"/>
          <w:sz w:val="20"/>
          <w:szCs w:val="20"/>
        </w:rPr>
        <w:t xml:space="preserve"> </w:t>
      </w:r>
      <w:r w:rsidR="002E3146">
        <w:rPr>
          <w:i w:val="0"/>
          <w:iCs w:val="0"/>
          <w:color w:val="auto"/>
          <w:sz w:val="20"/>
          <w:szCs w:val="20"/>
        </w:rPr>
        <w:t>p</w:t>
      </w:r>
      <w:r w:rsidR="002E3146" w:rsidRPr="00731CFD">
        <w:rPr>
          <w:i w:val="0"/>
          <w:iCs w:val="0"/>
          <w:color w:val="auto"/>
          <w:sz w:val="20"/>
          <w:szCs w:val="20"/>
        </w:rPr>
        <w:t>inus</w:t>
      </w:r>
      <w:r w:rsidR="002E3146">
        <w:rPr>
          <w:i w:val="0"/>
          <w:iCs w:val="0"/>
          <w:color w:val="auto"/>
          <w:sz w:val="20"/>
          <w:szCs w:val="20"/>
        </w:rPr>
        <w:t>,</w:t>
      </w:r>
      <w:r w:rsidR="002E3146" w:rsidRPr="00731CFD">
        <w:rPr>
          <w:i w:val="0"/>
          <w:iCs w:val="0"/>
          <w:color w:val="auto"/>
          <w:sz w:val="20"/>
          <w:szCs w:val="20"/>
        </w:rPr>
        <w:t xml:space="preserve"> </w:t>
      </w:r>
      <w:r w:rsidR="00F45EF0" w:rsidRPr="00731CFD">
        <w:rPr>
          <w:i w:val="0"/>
          <w:iCs w:val="0"/>
          <w:color w:val="auto"/>
          <w:sz w:val="20"/>
          <w:szCs w:val="20"/>
        </w:rPr>
        <w:t>e</w:t>
      </w:r>
      <w:r w:rsidRPr="00731CFD">
        <w:rPr>
          <w:i w:val="0"/>
          <w:iCs w:val="0"/>
          <w:color w:val="auto"/>
          <w:sz w:val="20"/>
          <w:szCs w:val="20"/>
        </w:rPr>
        <w:t xml:space="preserve"> outras espécies</w:t>
      </w:r>
      <w:r w:rsidR="002E3146">
        <w:rPr>
          <w:i w:val="0"/>
          <w:iCs w:val="0"/>
          <w:color w:val="auto"/>
          <w:sz w:val="20"/>
          <w:szCs w:val="20"/>
        </w:rPr>
        <w:t>.</w:t>
      </w:r>
      <w:r w:rsidRPr="00731CFD">
        <w:rPr>
          <w:i w:val="0"/>
          <w:iCs w:val="0"/>
          <w:color w:val="auto"/>
          <w:sz w:val="20"/>
          <w:szCs w:val="20"/>
        </w:rPr>
        <w:t xml:space="preserve"> </w:t>
      </w:r>
    </w:p>
    <w:p w14:paraId="21976FCC" w14:textId="77777777" w:rsidR="003B6B57" w:rsidRPr="005A739F" w:rsidRDefault="003B6B57" w:rsidP="00AB77F7">
      <w:pPr>
        <w:pStyle w:val="Legenda"/>
        <w:spacing w:after="0" w:line="360" w:lineRule="auto"/>
        <w:ind w:left="851"/>
        <w:jc w:val="both"/>
        <w:rPr>
          <w:i w:val="0"/>
          <w:iCs w:val="0"/>
          <w:color w:val="auto"/>
          <w:sz w:val="20"/>
          <w:szCs w:val="20"/>
        </w:rPr>
      </w:pPr>
      <w:r w:rsidRPr="005A739F">
        <w:rPr>
          <w:i w:val="0"/>
          <w:iCs w:val="0"/>
          <w:color w:val="auto"/>
          <w:sz w:val="20"/>
          <w:szCs w:val="20"/>
        </w:rPr>
        <w:lastRenderedPageBreak/>
        <w:t xml:space="preserve">Fonte: </w:t>
      </w:r>
      <w:r>
        <w:rPr>
          <w:i w:val="0"/>
          <w:iCs w:val="0"/>
          <w:color w:val="auto"/>
          <w:sz w:val="20"/>
          <w:szCs w:val="20"/>
        </w:rPr>
        <w:t>Adaptado de SIDRA</w:t>
      </w:r>
      <w:r w:rsidRPr="005A739F">
        <w:rPr>
          <w:i w:val="0"/>
          <w:iCs w:val="0"/>
          <w:color w:val="auto"/>
          <w:sz w:val="20"/>
          <w:szCs w:val="20"/>
        </w:rPr>
        <w:t xml:space="preserve"> (2024).</w:t>
      </w:r>
    </w:p>
    <w:p w14:paraId="72964212" w14:textId="77777777" w:rsidR="009C620B" w:rsidRPr="009C620B" w:rsidRDefault="009C620B" w:rsidP="009C620B"/>
    <w:p w14:paraId="77C615A3" w14:textId="77777777" w:rsidR="001D1396" w:rsidRDefault="001D1396" w:rsidP="00624569">
      <w:pPr>
        <w:widowControl/>
        <w:ind w:firstLine="709"/>
        <w:jc w:val="both"/>
        <w:rPr>
          <w:sz w:val="20"/>
          <w:szCs w:val="20"/>
        </w:rPr>
      </w:pPr>
    </w:p>
    <w:p w14:paraId="36839EA1" w14:textId="64EB7AD5" w:rsidR="00783970" w:rsidRPr="008C3C10" w:rsidRDefault="00624569" w:rsidP="00624569">
      <w:pPr>
        <w:widowControl/>
        <w:ind w:firstLine="709"/>
        <w:jc w:val="both"/>
        <w:rPr>
          <w:sz w:val="20"/>
          <w:szCs w:val="20"/>
        </w:rPr>
      </w:pPr>
      <w:r w:rsidRPr="00731CFD">
        <w:rPr>
          <w:sz w:val="20"/>
          <w:szCs w:val="20"/>
        </w:rPr>
        <w:t xml:space="preserve">Quanto ao cenário estadual do Piauí, diverge do cenário nacional, revela queda contínua na produção florestal </w:t>
      </w:r>
      <w:r w:rsidRPr="008C3C10">
        <w:rPr>
          <w:sz w:val="20"/>
          <w:szCs w:val="20"/>
        </w:rPr>
        <w:t>nos últimos cinco anos, cuja produção foi de 32.434,00 m³</w:t>
      </w:r>
      <w:r w:rsidR="00994F47">
        <w:rPr>
          <w:sz w:val="20"/>
          <w:szCs w:val="20"/>
        </w:rPr>
        <w:t>*</w:t>
      </w:r>
      <w:r w:rsidRPr="008C3C10">
        <w:rPr>
          <w:sz w:val="20"/>
          <w:szCs w:val="20"/>
        </w:rPr>
        <w:t>ano</w:t>
      </w:r>
      <w:r w:rsidRPr="008C3C10">
        <w:rPr>
          <w:sz w:val="20"/>
          <w:szCs w:val="20"/>
          <w:vertAlign w:val="superscript"/>
        </w:rPr>
        <w:t>-1</w:t>
      </w:r>
      <w:r w:rsidRPr="008C3C10">
        <w:rPr>
          <w:sz w:val="20"/>
          <w:szCs w:val="20"/>
        </w:rPr>
        <w:t xml:space="preserve"> em 2019, para 25.701,00 m³</w:t>
      </w:r>
      <w:r w:rsidR="00994F47">
        <w:rPr>
          <w:sz w:val="20"/>
          <w:szCs w:val="20"/>
        </w:rPr>
        <w:t>*</w:t>
      </w:r>
      <w:r w:rsidRPr="008C3C10">
        <w:rPr>
          <w:sz w:val="20"/>
          <w:szCs w:val="20"/>
        </w:rPr>
        <w:t>ano</w:t>
      </w:r>
      <w:r w:rsidRPr="008C3C10">
        <w:rPr>
          <w:sz w:val="20"/>
          <w:szCs w:val="20"/>
          <w:vertAlign w:val="superscript"/>
        </w:rPr>
        <w:t>-1</w:t>
      </w:r>
      <w:r w:rsidRPr="008C3C10">
        <w:rPr>
          <w:sz w:val="20"/>
          <w:szCs w:val="20"/>
        </w:rPr>
        <w:t xml:space="preserve"> no ano de 2023</w:t>
      </w:r>
      <w:r w:rsidR="00E60CAD">
        <w:rPr>
          <w:sz w:val="20"/>
          <w:szCs w:val="20"/>
        </w:rPr>
        <w:t xml:space="preserve"> (Figura 2)</w:t>
      </w:r>
      <w:r w:rsidR="00807B5F" w:rsidRPr="008C3C10">
        <w:rPr>
          <w:sz w:val="20"/>
          <w:szCs w:val="20"/>
        </w:rPr>
        <w:t xml:space="preserve">. </w:t>
      </w:r>
    </w:p>
    <w:p w14:paraId="4A832A8A" w14:textId="638F44DD" w:rsidR="004A2256" w:rsidRPr="00731CFD" w:rsidRDefault="009C620B" w:rsidP="00F45EF0">
      <w:pPr>
        <w:keepNext/>
        <w:widowControl/>
        <w:jc w:val="center"/>
      </w:pPr>
      <w:r>
        <w:rPr>
          <w:noProof/>
          <w:lang w:bidi="ar-SA"/>
        </w:rPr>
        <w:drawing>
          <wp:inline distT="0" distB="0" distL="0" distR="0" wp14:anchorId="7F8AA704" wp14:editId="555BCFA8">
            <wp:extent cx="5172075" cy="2190750"/>
            <wp:effectExtent l="0" t="0" r="9525" b="0"/>
            <wp:docPr id="1354809463" name="Gráfico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332F02" w14:textId="54A97A11" w:rsidR="0012169C" w:rsidRDefault="004A2256" w:rsidP="005846AD">
      <w:pPr>
        <w:pStyle w:val="Legenda"/>
        <w:spacing w:after="0" w:line="360" w:lineRule="auto"/>
        <w:ind w:left="851"/>
        <w:jc w:val="both"/>
        <w:rPr>
          <w:i w:val="0"/>
          <w:iCs w:val="0"/>
          <w:color w:val="auto"/>
          <w:sz w:val="20"/>
          <w:szCs w:val="20"/>
        </w:rPr>
      </w:pPr>
      <w:r w:rsidRPr="005A739F">
        <w:rPr>
          <w:i w:val="0"/>
          <w:iCs w:val="0"/>
          <w:color w:val="auto"/>
          <w:sz w:val="20"/>
          <w:szCs w:val="20"/>
        </w:rPr>
        <w:t xml:space="preserve">Figura </w:t>
      </w:r>
      <w:r w:rsidR="005A739F" w:rsidRPr="005A739F">
        <w:rPr>
          <w:i w:val="0"/>
          <w:iCs w:val="0"/>
          <w:color w:val="auto"/>
          <w:sz w:val="20"/>
          <w:szCs w:val="20"/>
        </w:rPr>
        <w:t>2.</w:t>
      </w:r>
      <w:r w:rsidR="001D1396" w:rsidRPr="005A739F">
        <w:rPr>
          <w:i w:val="0"/>
          <w:iCs w:val="0"/>
          <w:color w:val="auto"/>
          <w:sz w:val="20"/>
          <w:szCs w:val="20"/>
        </w:rPr>
        <w:t xml:space="preserve"> </w:t>
      </w:r>
      <w:r w:rsidRPr="005A739F">
        <w:rPr>
          <w:i w:val="0"/>
          <w:iCs w:val="0"/>
          <w:color w:val="auto"/>
          <w:sz w:val="20"/>
          <w:szCs w:val="20"/>
        </w:rPr>
        <w:t xml:space="preserve">Produção </w:t>
      </w:r>
      <w:r w:rsidR="00F45EF0" w:rsidRPr="005A739F">
        <w:rPr>
          <w:i w:val="0"/>
          <w:iCs w:val="0"/>
          <w:color w:val="auto"/>
          <w:sz w:val="20"/>
          <w:szCs w:val="20"/>
        </w:rPr>
        <w:t>de</w:t>
      </w:r>
      <w:r w:rsidRPr="005A739F">
        <w:rPr>
          <w:i w:val="0"/>
          <w:iCs w:val="0"/>
          <w:color w:val="auto"/>
          <w:sz w:val="20"/>
          <w:szCs w:val="20"/>
        </w:rPr>
        <w:t xml:space="preserve"> </w:t>
      </w:r>
      <w:r w:rsidR="0012169C">
        <w:rPr>
          <w:i w:val="0"/>
          <w:iCs w:val="0"/>
          <w:color w:val="auto"/>
          <w:sz w:val="20"/>
          <w:szCs w:val="20"/>
        </w:rPr>
        <w:t>madeira de e</w:t>
      </w:r>
      <w:r w:rsidRPr="005A739F">
        <w:rPr>
          <w:i w:val="0"/>
          <w:iCs w:val="0"/>
          <w:color w:val="auto"/>
          <w:sz w:val="20"/>
          <w:szCs w:val="20"/>
        </w:rPr>
        <w:t>ucalipto</w:t>
      </w:r>
      <w:r w:rsidR="00F45EF0" w:rsidRPr="005A739F">
        <w:rPr>
          <w:i w:val="0"/>
          <w:iCs w:val="0"/>
          <w:color w:val="auto"/>
          <w:sz w:val="20"/>
          <w:szCs w:val="20"/>
        </w:rPr>
        <w:t xml:space="preserve"> no estado do Piauí</w:t>
      </w:r>
      <w:r w:rsidR="00AB77F7">
        <w:rPr>
          <w:i w:val="0"/>
          <w:iCs w:val="0"/>
          <w:color w:val="auto"/>
          <w:sz w:val="20"/>
          <w:szCs w:val="20"/>
        </w:rPr>
        <w:t>.</w:t>
      </w:r>
    </w:p>
    <w:p w14:paraId="36E894FB" w14:textId="77777777" w:rsidR="003B6B57" w:rsidRPr="005A739F" w:rsidRDefault="003B6B57" w:rsidP="00AB77F7">
      <w:pPr>
        <w:pStyle w:val="Legenda"/>
        <w:spacing w:after="0" w:line="360" w:lineRule="auto"/>
        <w:ind w:left="851"/>
        <w:jc w:val="both"/>
        <w:rPr>
          <w:i w:val="0"/>
          <w:iCs w:val="0"/>
          <w:color w:val="auto"/>
          <w:sz w:val="20"/>
          <w:szCs w:val="20"/>
        </w:rPr>
      </w:pPr>
      <w:r w:rsidRPr="005A739F">
        <w:rPr>
          <w:i w:val="0"/>
          <w:iCs w:val="0"/>
          <w:color w:val="auto"/>
          <w:sz w:val="20"/>
          <w:szCs w:val="20"/>
        </w:rPr>
        <w:t xml:space="preserve">Fonte: </w:t>
      </w:r>
      <w:r>
        <w:rPr>
          <w:i w:val="0"/>
          <w:iCs w:val="0"/>
          <w:color w:val="auto"/>
          <w:sz w:val="20"/>
          <w:szCs w:val="20"/>
        </w:rPr>
        <w:t>Adaptado de SIDRA</w:t>
      </w:r>
      <w:r w:rsidRPr="005A739F">
        <w:rPr>
          <w:i w:val="0"/>
          <w:iCs w:val="0"/>
          <w:color w:val="auto"/>
          <w:sz w:val="20"/>
          <w:szCs w:val="20"/>
        </w:rPr>
        <w:t xml:space="preserve"> (2024).</w:t>
      </w:r>
    </w:p>
    <w:p w14:paraId="18F4CBD3" w14:textId="77777777" w:rsidR="001D1396" w:rsidRDefault="001D1396" w:rsidP="00624569">
      <w:pPr>
        <w:widowControl/>
        <w:ind w:firstLine="709"/>
        <w:jc w:val="both"/>
        <w:rPr>
          <w:sz w:val="20"/>
          <w:szCs w:val="20"/>
        </w:rPr>
      </w:pPr>
    </w:p>
    <w:p w14:paraId="2D67B0F7" w14:textId="38D428AD" w:rsidR="004A2256" w:rsidRPr="00866AE4" w:rsidRDefault="00E60CAD" w:rsidP="00866AE4">
      <w:pPr>
        <w:widowControl/>
        <w:ind w:firstLine="709"/>
        <w:jc w:val="both"/>
        <w:rPr>
          <w:sz w:val="20"/>
          <w:szCs w:val="20"/>
        </w:rPr>
      </w:pPr>
      <w:r w:rsidRPr="006D6AC0">
        <w:rPr>
          <w:sz w:val="20"/>
          <w:szCs w:val="20"/>
        </w:rPr>
        <w:t>Segundo Bezerra (2021), entre 2013 e 2020, o Piauí apresentou uma redução de 14,9% na área destinada à silvicultura, contrastando com a expansão de 15,9% observada no cenário nacion</w:t>
      </w:r>
      <w:r w:rsidR="004B25FF">
        <w:rPr>
          <w:sz w:val="20"/>
          <w:szCs w:val="20"/>
        </w:rPr>
        <w:t xml:space="preserve">al </w:t>
      </w:r>
      <w:r w:rsidR="00866AE4" w:rsidRPr="006D6AC0">
        <w:rPr>
          <w:sz w:val="20"/>
          <w:szCs w:val="20"/>
        </w:rPr>
        <w:t xml:space="preserve">no estado do Piauí apresentou uma redução significativa de 20,75% na área de florestas plantadas, </w:t>
      </w:r>
      <w:r w:rsidR="00914ACC" w:rsidRPr="006D6AC0">
        <w:rPr>
          <w:sz w:val="20"/>
          <w:szCs w:val="20"/>
        </w:rPr>
        <w:t>com área no ano de 2019 correspondente a</w:t>
      </w:r>
      <w:r w:rsidR="00866AE4" w:rsidRPr="006D6AC0">
        <w:rPr>
          <w:sz w:val="20"/>
          <w:szCs w:val="20"/>
        </w:rPr>
        <w:t xml:space="preserve"> 32.431 </w:t>
      </w:r>
      <w:r w:rsidR="00914ACC" w:rsidRPr="006D6AC0">
        <w:rPr>
          <w:sz w:val="20"/>
          <w:szCs w:val="20"/>
        </w:rPr>
        <w:t>h</w:t>
      </w:r>
      <w:r w:rsidR="00762228">
        <w:rPr>
          <w:sz w:val="20"/>
          <w:szCs w:val="20"/>
        </w:rPr>
        <w:t>a</w:t>
      </w:r>
      <w:r w:rsidR="00762228" w:rsidRPr="00762228">
        <w:t xml:space="preserve"> </w:t>
      </w:r>
      <w:r w:rsidR="00762228" w:rsidRPr="00762228">
        <w:rPr>
          <w:sz w:val="20"/>
          <w:szCs w:val="20"/>
        </w:rPr>
        <w:t>357,577</w:t>
      </w:r>
      <w:r w:rsidR="00914ACC" w:rsidRPr="006D6AC0">
        <w:rPr>
          <w:sz w:val="20"/>
          <w:szCs w:val="20"/>
        </w:rPr>
        <w:t>,</w:t>
      </w:r>
      <w:r w:rsidR="00866AE4" w:rsidRPr="006D6AC0">
        <w:rPr>
          <w:sz w:val="20"/>
          <w:szCs w:val="20"/>
        </w:rPr>
        <w:t xml:space="preserve"> para 25.701 ha e</w:t>
      </w:r>
      <w:r w:rsidR="00994F47">
        <w:rPr>
          <w:sz w:val="20"/>
          <w:szCs w:val="20"/>
        </w:rPr>
        <w:t>m</w:t>
      </w:r>
      <w:r w:rsidR="00866AE4" w:rsidRPr="006D6AC0">
        <w:rPr>
          <w:sz w:val="20"/>
          <w:szCs w:val="20"/>
        </w:rPr>
        <w:t xml:space="preserve"> 2023 (IBGE 2024).</w:t>
      </w:r>
      <w:r w:rsidR="00866AE4">
        <w:rPr>
          <w:sz w:val="20"/>
          <w:szCs w:val="20"/>
        </w:rPr>
        <w:t xml:space="preserve">  </w:t>
      </w:r>
      <w:r w:rsidRPr="008C3C10">
        <w:rPr>
          <w:sz w:val="20"/>
          <w:szCs w:val="20"/>
        </w:rPr>
        <w:t>Essa redução é atribuída à baixa demanda regional, ausência de incentivos e à não concretização de indústrias previstas para o estado. Nesse período, a área plantada no Piauí passou de 38,2 mil para 32,5 mil hectares, enquanto no Brasil cresceu de 8,2 para 9,6 milhões de hectares.</w:t>
      </w:r>
    </w:p>
    <w:p w14:paraId="062B3C4D" w14:textId="77777777" w:rsidR="00E60CAD" w:rsidRPr="00731CFD" w:rsidRDefault="00E60CAD" w:rsidP="00624569">
      <w:pPr>
        <w:widowControl/>
        <w:ind w:firstLine="709"/>
        <w:jc w:val="both"/>
        <w:rPr>
          <w:sz w:val="20"/>
          <w:szCs w:val="20"/>
        </w:rPr>
      </w:pPr>
    </w:p>
    <w:p w14:paraId="09A757C2" w14:textId="73DE59AE" w:rsidR="00261F74" w:rsidRDefault="00261F74" w:rsidP="00AB77F7">
      <w:pPr>
        <w:widowControl/>
        <w:jc w:val="center"/>
        <w:rPr>
          <w:b/>
          <w:bCs/>
          <w:sz w:val="20"/>
          <w:szCs w:val="20"/>
        </w:rPr>
      </w:pPr>
      <w:r>
        <w:rPr>
          <w:noProof/>
          <w:lang w:bidi="ar-SA"/>
        </w:rPr>
        <w:drawing>
          <wp:inline distT="0" distB="0" distL="0" distR="0" wp14:anchorId="34236EDC" wp14:editId="4B169635">
            <wp:extent cx="5762625" cy="2476500"/>
            <wp:effectExtent l="0" t="0" r="9525" b="0"/>
            <wp:docPr id="2" name="Gráfico 1">
              <a:extLst xmlns:a="http://schemas.openxmlformats.org/drawingml/2006/main">
                <a:ext uri="{FF2B5EF4-FFF2-40B4-BE49-F238E27FC236}">
                  <a16:creationId xmlns:a16="http://schemas.microsoft.com/office/drawing/2014/main" id="{91153760-BD5C-790E-EA2A-CC89059CDC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D44E43" w14:textId="7CB2BFEB" w:rsidR="003B6B57" w:rsidRPr="00EF51E6" w:rsidRDefault="00261F74" w:rsidP="00AB77F7">
      <w:pPr>
        <w:pStyle w:val="Corpodetexto"/>
        <w:keepNext/>
        <w:ind w:left="851"/>
        <w:jc w:val="both"/>
        <w:rPr>
          <w:sz w:val="20"/>
          <w:szCs w:val="20"/>
        </w:rPr>
      </w:pPr>
      <w:r w:rsidRPr="00EF51E6">
        <w:rPr>
          <w:sz w:val="20"/>
          <w:szCs w:val="20"/>
        </w:rPr>
        <w:t xml:space="preserve">Figura </w:t>
      </w:r>
      <w:r w:rsidRPr="00EF51E6">
        <w:rPr>
          <w:i/>
          <w:iCs/>
          <w:sz w:val="20"/>
          <w:szCs w:val="20"/>
        </w:rPr>
        <w:fldChar w:fldCharType="begin"/>
      </w:r>
      <w:r w:rsidRPr="00EF51E6">
        <w:rPr>
          <w:sz w:val="20"/>
          <w:szCs w:val="20"/>
        </w:rPr>
        <w:instrText xml:space="preserve"> SEQ Figura \* ARABIC </w:instrText>
      </w:r>
      <w:r w:rsidRPr="00EF51E6">
        <w:rPr>
          <w:i/>
          <w:iCs/>
          <w:sz w:val="20"/>
          <w:szCs w:val="20"/>
        </w:rPr>
        <w:fldChar w:fldCharType="separate"/>
      </w:r>
      <w:r w:rsidR="001D776D">
        <w:rPr>
          <w:noProof/>
          <w:sz w:val="20"/>
          <w:szCs w:val="20"/>
        </w:rPr>
        <w:t>2</w:t>
      </w:r>
      <w:r w:rsidRPr="00EF51E6">
        <w:rPr>
          <w:i/>
          <w:iCs/>
          <w:sz w:val="20"/>
          <w:szCs w:val="20"/>
        </w:rPr>
        <w:fldChar w:fldCharType="end"/>
      </w:r>
      <w:r w:rsidRPr="00EF51E6">
        <w:rPr>
          <w:sz w:val="20"/>
          <w:szCs w:val="20"/>
        </w:rPr>
        <w:t>. Muníci</w:t>
      </w:r>
      <w:r w:rsidR="00F425D7">
        <w:rPr>
          <w:sz w:val="20"/>
          <w:szCs w:val="20"/>
        </w:rPr>
        <w:t>pi</w:t>
      </w:r>
      <w:r w:rsidRPr="00EF51E6">
        <w:rPr>
          <w:sz w:val="20"/>
          <w:szCs w:val="20"/>
        </w:rPr>
        <w:t xml:space="preserve">os </w:t>
      </w:r>
      <w:r w:rsidR="003B6B57" w:rsidRPr="00EF51E6">
        <w:rPr>
          <w:sz w:val="20"/>
          <w:szCs w:val="20"/>
        </w:rPr>
        <w:t xml:space="preserve">com </w:t>
      </w:r>
      <w:r w:rsidR="003012EA" w:rsidRPr="00EF51E6">
        <w:rPr>
          <w:sz w:val="20"/>
          <w:szCs w:val="20"/>
        </w:rPr>
        <w:t>maiores produções</w:t>
      </w:r>
      <w:r w:rsidR="003B6B57" w:rsidRPr="00EF51E6">
        <w:rPr>
          <w:sz w:val="20"/>
          <w:szCs w:val="20"/>
        </w:rPr>
        <w:t xml:space="preserve"> de madeira de eucalipto no estado do </w:t>
      </w:r>
      <w:r w:rsidRPr="00EF51E6">
        <w:rPr>
          <w:sz w:val="20"/>
          <w:szCs w:val="20"/>
        </w:rPr>
        <w:t>Piauí</w:t>
      </w:r>
      <w:r w:rsidR="003B6B57" w:rsidRPr="00EF51E6">
        <w:rPr>
          <w:sz w:val="20"/>
          <w:szCs w:val="20"/>
        </w:rPr>
        <w:t xml:space="preserve"> nos últimos cinco anos</w:t>
      </w:r>
      <w:r w:rsidRPr="00EF51E6">
        <w:rPr>
          <w:sz w:val="20"/>
          <w:szCs w:val="20"/>
        </w:rPr>
        <w:t xml:space="preserve">. </w:t>
      </w:r>
    </w:p>
    <w:p w14:paraId="6E9007C1" w14:textId="6A8E994A" w:rsidR="003B6B57" w:rsidRPr="00EF51E6" w:rsidRDefault="003B6B57" w:rsidP="00AB77F7">
      <w:pPr>
        <w:pStyle w:val="Legenda"/>
        <w:spacing w:after="0" w:line="360" w:lineRule="auto"/>
        <w:ind w:left="851"/>
        <w:jc w:val="both"/>
        <w:rPr>
          <w:i w:val="0"/>
          <w:iCs w:val="0"/>
          <w:color w:val="auto"/>
          <w:sz w:val="20"/>
          <w:szCs w:val="20"/>
        </w:rPr>
      </w:pPr>
      <w:r w:rsidRPr="00EF51E6">
        <w:rPr>
          <w:i w:val="0"/>
          <w:iCs w:val="0"/>
          <w:color w:val="auto"/>
          <w:sz w:val="20"/>
          <w:szCs w:val="20"/>
        </w:rPr>
        <w:t>Fonte: Adaptado de SIDRA (2024).</w:t>
      </w:r>
    </w:p>
    <w:p w14:paraId="70975943" w14:textId="77777777" w:rsidR="00420824" w:rsidRPr="009E171C" w:rsidRDefault="00420824" w:rsidP="00813F2D">
      <w:pPr>
        <w:pStyle w:val="Corpodetexto"/>
        <w:keepNext/>
        <w:rPr>
          <w:i/>
          <w:iCs/>
          <w:sz w:val="18"/>
          <w:szCs w:val="18"/>
        </w:rPr>
      </w:pPr>
    </w:p>
    <w:p w14:paraId="77C09B2E" w14:textId="77777777" w:rsidR="00866AE4" w:rsidRDefault="00624569" w:rsidP="00861A39">
      <w:pPr>
        <w:widowControl/>
        <w:ind w:firstLine="720"/>
        <w:jc w:val="both"/>
      </w:pPr>
      <w:r w:rsidRPr="008C3C10">
        <w:rPr>
          <w:sz w:val="20"/>
          <w:szCs w:val="20"/>
        </w:rPr>
        <w:t xml:space="preserve">O padrão observado em muitos municípios é a </w:t>
      </w:r>
      <w:r w:rsidR="00261F74">
        <w:rPr>
          <w:sz w:val="20"/>
          <w:szCs w:val="20"/>
        </w:rPr>
        <w:t>diminuição na produção</w:t>
      </w:r>
      <w:r w:rsidRPr="008C3C10">
        <w:rPr>
          <w:sz w:val="20"/>
          <w:szCs w:val="20"/>
        </w:rPr>
        <w:t xml:space="preserve">, o que pode indicar falta de políticas públicas que incentivem o reflorestamento comercial e a silvicultura de precisão. Essa estagnação ou declínio local contrasta com os investimentos observados em outras regiões do país, como o Sudeste, onde há forte </w:t>
      </w:r>
      <w:r w:rsidRPr="008C3C10">
        <w:rPr>
          <w:sz w:val="20"/>
          <w:szCs w:val="20"/>
        </w:rPr>
        <w:lastRenderedPageBreak/>
        <w:t>presença de empresas do setor florestal que investem continuamente em pesquisa, melhoramento genético e práticas sustentáveis (Stape et al., 2010).</w:t>
      </w:r>
      <w:r w:rsidR="00866AE4" w:rsidRPr="00866AE4">
        <w:t xml:space="preserve"> </w:t>
      </w:r>
    </w:p>
    <w:p w14:paraId="31A4EC46" w14:textId="6ED2EEEA" w:rsidR="00624569" w:rsidRPr="008C3C10" w:rsidRDefault="00866AE4" w:rsidP="00861A39">
      <w:pPr>
        <w:widowControl/>
        <w:ind w:firstLine="720"/>
        <w:jc w:val="both"/>
        <w:rPr>
          <w:sz w:val="20"/>
          <w:szCs w:val="20"/>
        </w:rPr>
      </w:pPr>
      <w:r w:rsidRPr="006D6AC0">
        <w:rPr>
          <w:sz w:val="20"/>
          <w:szCs w:val="20"/>
        </w:rPr>
        <w:t>Elesbão Veloso (PI), Passagem Franca do Piauí (PI) e Regeneração (PI) Esses três municípios localizam-se na região centro-sul do Piauí</w:t>
      </w:r>
      <w:r w:rsidR="00914ACC" w:rsidRPr="006D6AC0">
        <w:rPr>
          <w:sz w:val="20"/>
          <w:szCs w:val="20"/>
        </w:rPr>
        <w:t>,</w:t>
      </w:r>
      <w:r w:rsidRPr="006D6AC0">
        <w:rPr>
          <w:sz w:val="20"/>
          <w:szCs w:val="20"/>
        </w:rPr>
        <w:t xml:space="preserve"> entre</w:t>
      </w:r>
      <w:r w:rsidR="00914ACC" w:rsidRPr="006D6AC0">
        <w:rPr>
          <w:sz w:val="20"/>
          <w:szCs w:val="20"/>
        </w:rPr>
        <w:t xml:space="preserve"> os anos de</w:t>
      </w:r>
      <w:r w:rsidRPr="006D6AC0">
        <w:rPr>
          <w:sz w:val="20"/>
          <w:szCs w:val="20"/>
        </w:rPr>
        <w:t xml:space="preserve"> 2019 e 2023, a área plantada </w:t>
      </w:r>
      <w:r w:rsidR="00570392" w:rsidRPr="006D6AC0">
        <w:rPr>
          <w:sz w:val="20"/>
          <w:szCs w:val="20"/>
        </w:rPr>
        <w:t>corresponde a</w:t>
      </w:r>
      <w:r w:rsidRPr="006D6AC0">
        <w:rPr>
          <w:sz w:val="20"/>
          <w:szCs w:val="20"/>
        </w:rPr>
        <w:t xml:space="preserve"> 6.762 ha </w:t>
      </w:r>
      <w:r w:rsidR="00570392" w:rsidRPr="006D6AC0">
        <w:rPr>
          <w:sz w:val="20"/>
          <w:szCs w:val="20"/>
        </w:rPr>
        <w:t xml:space="preserve">da cultura do eucalipto, </w:t>
      </w:r>
      <w:r w:rsidRPr="006D6AC0">
        <w:rPr>
          <w:sz w:val="20"/>
          <w:szCs w:val="20"/>
        </w:rPr>
        <w:t xml:space="preserve">para 3.784 ha, </w:t>
      </w:r>
      <w:r w:rsidR="00570392" w:rsidRPr="006D6AC0">
        <w:rPr>
          <w:sz w:val="20"/>
          <w:szCs w:val="20"/>
        </w:rPr>
        <w:t>o que corresponde numa</w:t>
      </w:r>
      <w:r w:rsidRPr="006D6AC0">
        <w:rPr>
          <w:sz w:val="20"/>
          <w:szCs w:val="20"/>
        </w:rPr>
        <w:t xml:space="preserve"> redução de 44,04%. </w:t>
      </w:r>
      <w:r w:rsidR="00570392" w:rsidRPr="006D6AC0">
        <w:rPr>
          <w:sz w:val="20"/>
          <w:szCs w:val="20"/>
        </w:rPr>
        <w:t>Já na região Sul</w:t>
      </w:r>
      <w:r w:rsidRPr="006D6AC0">
        <w:rPr>
          <w:sz w:val="20"/>
          <w:szCs w:val="20"/>
        </w:rPr>
        <w:t xml:space="preserve"> do estado</w:t>
      </w:r>
      <w:r w:rsidR="00570392" w:rsidRPr="006D6AC0">
        <w:rPr>
          <w:sz w:val="20"/>
          <w:szCs w:val="20"/>
        </w:rPr>
        <w:t xml:space="preserve"> do Piauí</w:t>
      </w:r>
      <w:r w:rsidRPr="006D6AC0">
        <w:rPr>
          <w:sz w:val="20"/>
          <w:szCs w:val="20"/>
        </w:rPr>
        <w:t xml:space="preserve">, </w:t>
      </w:r>
      <w:r w:rsidR="00570392" w:rsidRPr="006D6AC0">
        <w:rPr>
          <w:sz w:val="20"/>
          <w:szCs w:val="20"/>
        </w:rPr>
        <w:t xml:space="preserve">o </w:t>
      </w:r>
      <w:r w:rsidR="006D6AC0" w:rsidRPr="006D6AC0">
        <w:rPr>
          <w:sz w:val="20"/>
          <w:szCs w:val="20"/>
        </w:rPr>
        <w:t>município</w:t>
      </w:r>
      <w:r w:rsidR="00570392" w:rsidRPr="006D6AC0">
        <w:rPr>
          <w:sz w:val="20"/>
          <w:szCs w:val="20"/>
        </w:rPr>
        <w:t xml:space="preserve"> de </w:t>
      </w:r>
      <w:r w:rsidRPr="006D6AC0">
        <w:rPr>
          <w:sz w:val="20"/>
          <w:szCs w:val="20"/>
        </w:rPr>
        <w:t>Uruçuí</w:t>
      </w:r>
      <w:r w:rsidR="00570392" w:rsidRPr="006D6AC0">
        <w:rPr>
          <w:sz w:val="20"/>
          <w:szCs w:val="20"/>
        </w:rPr>
        <w:t>, e</w:t>
      </w:r>
      <w:r w:rsidRPr="006D6AC0">
        <w:rPr>
          <w:sz w:val="20"/>
          <w:szCs w:val="20"/>
        </w:rPr>
        <w:t xml:space="preserve">m 2019, </w:t>
      </w:r>
      <w:r w:rsidR="00570392" w:rsidRPr="006D6AC0">
        <w:rPr>
          <w:sz w:val="20"/>
          <w:szCs w:val="20"/>
        </w:rPr>
        <w:t>apresentava área de</w:t>
      </w:r>
      <w:r w:rsidRPr="006D6AC0">
        <w:rPr>
          <w:sz w:val="20"/>
          <w:szCs w:val="20"/>
        </w:rPr>
        <w:t xml:space="preserve"> 3.659 ha de florestas plantadas</w:t>
      </w:r>
      <w:r w:rsidR="00570392" w:rsidRPr="006D6AC0">
        <w:rPr>
          <w:sz w:val="20"/>
          <w:szCs w:val="20"/>
        </w:rPr>
        <w:t xml:space="preserve"> de eucalipto</w:t>
      </w:r>
      <w:r w:rsidRPr="006D6AC0">
        <w:rPr>
          <w:sz w:val="20"/>
          <w:szCs w:val="20"/>
        </w:rPr>
        <w:t xml:space="preserve">, </w:t>
      </w:r>
      <w:r w:rsidR="00570392" w:rsidRPr="006D6AC0">
        <w:rPr>
          <w:sz w:val="20"/>
          <w:szCs w:val="20"/>
        </w:rPr>
        <w:t xml:space="preserve">as </w:t>
      </w:r>
      <w:r w:rsidRPr="006D6AC0">
        <w:rPr>
          <w:sz w:val="20"/>
          <w:szCs w:val="20"/>
        </w:rPr>
        <w:t>área</w:t>
      </w:r>
      <w:r w:rsidR="00994F47">
        <w:rPr>
          <w:sz w:val="20"/>
          <w:szCs w:val="20"/>
        </w:rPr>
        <w:t>s</w:t>
      </w:r>
      <w:r w:rsidRPr="006D6AC0">
        <w:rPr>
          <w:sz w:val="20"/>
          <w:szCs w:val="20"/>
        </w:rPr>
        <w:t xml:space="preserve"> </w:t>
      </w:r>
      <w:r w:rsidR="00570392" w:rsidRPr="006D6AC0">
        <w:rPr>
          <w:sz w:val="20"/>
          <w:szCs w:val="20"/>
        </w:rPr>
        <w:t>decresceram</w:t>
      </w:r>
      <w:r w:rsidRPr="006D6AC0">
        <w:rPr>
          <w:sz w:val="20"/>
          <w:szCs w:val="20"/>
        </w:rPr>
        <w:t xml:space="preserve"> para 2.259 ha em 2023, uma redução de 38,27%. J</w:t>
      </w:r>
      <w:r w:rsidR="00994F47">
        <w:rPr>
          <w:sz w:val="20"/>
          <w:szCs w:val="20"/>
        </w:rPr>
        <w:t>á</w:t>
      </w:r>
      <w:r w:rsidRPr="006D6AC0">
        <w:rPr>
          <w:sz w:val="20"/>
          <w:szCs w:val="20"/>
        </w:rPr>
        <w:t xml:space="preserve"> Antônio Almeida (PI</w:t>
      </w:r>
      <w:r w:rsidR="00AD20C6" w:rsidRPr="006D6AC0">
        <w:rPr>
          <w:sz w:val="20"/>
          <w:szCs w:val="20"/>
        </w:rPr>
        <w:t>),</w:t>
      </w:r>
      <w:r w:rsidRPr="006D6AC0">
        <w:rPr>
          <w:sz w:val="20"/>
          <w:szCs w:val="20"/>
        </w:rPr>
        <w:t xml:space="preserve"> também localizado no sul do estado, foi o que apresentou a maior redução proporcional da área florestal entre os municípios analisados, passando de 3.600 ha em 2019 para apenas 1.660 ha em 2023, o que equivale a uma queda de 53,89%</w:t>
      </w:r>
      <w:r w:rsidR="003012EA">
        <w:rPr>
          <w:sz w:val="20"/>
          <w:szCs w:val="20"/>
        </w:rPr>
        <w:t xml:space="preserve"> </w:t>
      </w:r>
      <w:r w:rsidRPr="006D6AC0">
        <w:rPr>
          <w:sz w:val="20"/>
          <w:szCs w:val="20"/>
        </w:rPr>
        <w:t>(IBGE 2024</w:t>
      </w:r>
      <w:r w:rsidR="006D6AC0" w:rsidRPr="006D6AC0">
        <w:rPr>
          <w:sz w:val="20"/>
          <w:szCs w:val="20"/>
        </w:rPr>
        <w:t>)</w:t>
      </w:r>
      <w:r w:rsidR="003012EA">
        <w:rPr>
          <w:sz w:val="20"/>
          <w:szCs w:val="20"/>
        </w:rPr>
        <w:t>.</w:t>
      </w:r>
    </w:p>
    <w:p w14:paraId="1F08FB4B" w14:textId="77777777" w:rsidR="00624569" w:rsidRPr="008C3C10" w:rsidRDefault="00624569" w:rsidP="00624569">
      <w:pPr>
        <w:widowControl/>
        <w:ind w:firstLine="709"/>
        <w:jc w:val="both"/>
        <w:rPr>
          <w:sz w:val="20"/>
          <w:szCs w:val="20"/>
        </w:rPr>
      </w:pPr>
    </w:p>
    <w:p w14:paraId="369D3920" w14:textId="77777777" w:rsidR="00624569" w:rsidRPr="008C3C10" w:rsidRDefault="00624569" w:rsidP="00624569">
      <w:pPr>
        <w:widowControl/>
        <w:jc w:val="both"/>
        <w:rPr>
          <w:sz w:val="20"/>
          <w:szCs w:val="20"/>
        </w:rPr>
      </w:pPr>
      <w:r w:rsidRPr="008C3C10">
        <w:rPr>
          <w:b/>
          <w:sz w:val="20"/>
          <w:szCs w:val="20"/>
        </w:rPr>
        <w:t>CONCLUSÕES</w:t>
      </w:r>
    </w:p>
    <w:p w14:paraId="30119B4D" w14:textId="77777777" w:rsidR="00853FED" w:rsidRDefault="00853FED" w:rsidP="00624569">
      <w:pPr>
        <w:widowControl/>
        <w:ind w:firstLine="709"/>
        <w:jc w:val="both"/>
        <w:rPr>
          <w:sz w:val="20"/>
          <w:szCs w:val="20"/>
        </w:rPr>
      </w:pPr>
    </w:p>
    <w:p w14:paraId="3B4EDF05" w14:textId="77777777" w:rsidR="003B6B57" w:rsidRDefault="00624569" w:rsidP="00233A2E">
      <w:pPr>
        <w:widowControl/>
        <w:ind w:firstLine="720"/>
        <w:jc w:val="both"/>
        <w:rPr>
          <w:sz w:val="20"/>
          <w:szCs w:val="20"/>
        </w:rPr>
      </w:pPr>
      <w:r w:rsidRPr="008C3C10">
        <w:rPr>
          <w:sz w:val="20"/>
          <w:szCs w:val="20"/>
        </w:rPr>
        <w:t>Com base nos dados sintetizados sobre a produção de madeira no Brasil e no estado do Piauí, é possível concluir que, a produção nacional manteve-se relativamente estável entre 2019 e 2023.O cenário do estado do Piauí foi o oposto, no qual ficou evidente o declínio na produção madeireira na cultura do eucalipto</w:t>
      </w:r>
      <w:r w:rsidR="004C4031">
        <w:rPr>
          <w:sz w:val="20"/>
          <w:szCs w:val="20"/>
        </w:rPr>
        <w:t xml:space="preserve"> </w:t>
      </w:r>
    </w:p>
    <w:p w14:paraId="0828927F" w14:textId="77777777" w:rsidR="003B6B57" w:rsidRDefault="00624569" w:rsidP="00233A2E">
      <w:pPr>
        <w:widowControl/>
        <w:ind w:firstLine="720"/>
        <w:jc w:val="both"/>
        <w:rPr>
          <w:sz w:val="20"/>
          <w:szCs w:val="20"/>
        </w:rPr>
      </w:pPr>
      <w:r w:rsidRPr="008C3C10">
        <w:rPr>
          <w:sz w:val="20"/>
          <w:szCs w:val="20"/>
        </w:rPr>
        <w:t>A produção estadual está fortemente concentrada em poucos municípios, como Elesbão Veloso, Passagem Franca, e Regeneração, que lideram os volumes de madeira da cultura do eucalipto</w:t>
      </w:r>
      <w:r w:rsidR="005A739F">
        <w:rPr>
          <w:sz w:val="20"/>
          <w:szCs w:val="20"/>
        </w:rPr>
        <w:t xml:space="preserve"> </w:t>
      </w:r>
    </w:p>
    <w:p w14:paraId="3846C88F" w14:textId="70F1D295" w:rsidR="00624569" w:rsidRPr="008C3C10" w:rsidRDefault="00624569" w:rsidP="00233A2E">
      <w:pPr>
        <w:widowControl/>
        <w:ind w:firstLine="720"/>
        <w:jc w:val="both"/>
        <w:rPr>
          <w:sz w:val="20"/>
          <w:szCs w:val="20"/>
        </w:rPr>
      </w:pPr>
      <w:r w:rsidRPr="008C3C10">
        <w:rPr>
          <w:sz w:val="20"/>
          <w:szCs w:val="20"/>
        </w:rPr>
        <w:t>É necessário promover políticas públicas de incentivo ao desenvolvimento da silvicultura, para produção madeireira, com apoio técnico aos pequenos e médios produtores, visando à sustentabilidade e ao aumento da oferta madeireira no estado do Piauí.</w:t>
      </w:r>
    </w:p>
    <w:p w14:paraId="0E88E5AD" w14:textId="77777777" w:rsidR="00624569" w:rsidRPr="008C3C10" w:rsidRDefault="00624569" w:rsidP="00624569">
      <w:pPr>
        <w:widowControl/>
        <w:jc w:val="both"/>
        <w:rPr>
          <w:sz w:val="20"/>
          <w:szCs w:val="20"/>
        </w:rPr>
      </w:pPr>
    </w:p>
    <w:p w14:paraId="34DFDB84" w14:textId="62361BDB" w:rsidR="00624569" w:rsidRDefault="00624569" w:rsidP="00624569">
      <w:pPr>
        <w:widowControl/>
        <w:jc w:val="both"/>
        <w:rPr>
          <w:b/>
          <w:sz w:val="20"/>
          <w:szCs w:val="20"/>
        </w:rPr>
      </w:pPr>
      <w:r w:rsidRPr="008C3C10">
        <w:rPr>
          <w:b/>
          <w:sz w:val="20"/>
          <w:szCs w:val="20"/>
        </w:rPr>
        <w:t>AGRADECIMENTOS</w:t>
      </w:r>
    </w:p>
    <w:p w14:paraId="50D78D5B" w14:textId="77777777" w:rsidR="00853FED" w:rsidRPr="008C3C10" w:rsidRDefault="00853FED" w:rsidP="00624569">
      <w:pPr>
        <w:widowControl/>
        <w:jc w:val="both"/>
        <w:rPr>
          <w:sz w:val="20"/>
          <w:szCs w:val="20"/>
        </w:rPr>
      </w:pPr>
    </w:p>
    <w:p w14:paraId="0AF51D3D" w14:textId="518997C4" w:rsidR="00624569" w:rsidRPr="008C3C10" w:rsidRDefault="00624569" w:rsidP="009E171C">
      <w:pPr>
        <w:widowControl/>
        <w:ind w:firstLine="709"/>
        <w:jc w:val="both"/>
        <w:rPr>
          <w:sz w:val="20"/>
          <w:szCs w:val="20"/>
        </w:rPr>
      </w:pPr>
      <w:r w:rsidRPr="008C3C10">
        <w:rPr>
          <w:sz w:val="20"/>
          <w:szCs w:val="20"/>
        </w:rPr>
        <w:t>À Universidade Federal do Piauí (UFPI), Campus Professora Cinobelina Elvas (CPCE), pelo suporte institucional e pela infraestrutura disponibilizada. Ao Grupo de Pesquisa SilPeF – Silvicultura e Pesquisas Florestais &amp; LESF – Laboratório de Ecofisiologia e Sementes Florestais, pelo apoio técnico e científico proporcionado.</w:t>
      </w:r>
    </w:p>
    <w:p w14:paraId="786F6F2B" w14:textId="77777777" w:rsidR="00624569" w:rsidRPr="008C3C10" w:rsidRDefault="00624569" w:rsidP="00624569">
      <w:pPr>
        <w:widowControl/>
        <w:ind w:firstLine="709"/>
        <w:jc w:val="both"/>
        <w:rPr>
          <w:sz w:val="20"/>
          <w:szCs w:val="20"/>
        </w:rPr>
      </w:pPr>
    </w:p>
    <w:p w14:paraId="799902A4" w14:textId="44F19FE7" w:rsidR="00624569" w:rsidRPr="001C538F" w:rsidRDefault="00624569" w:rsidP="00E14CE2">
      <w:pPr>
        <w:widowControl/>
        <w:jc w:val="both"/>
        <w:rPr>
          <w:sz w:val="20"/>
          <w:szCs w:val="20"/>
          <w:lang w:val="en-US"/>
        </w:rPr>
      </w:pPr>
      <w:r w:rsidRPr="001C538F">
        <w:rPr>
          <w:b/>
          <w:sz w:val="20"/>
          <w:szCs w:val="20"/>
          <w:lang w:val="en-US"/>
        </w:rPr>
        <w:t>REFERÊNCIAS</w:t>
      </w:r>
    </w:p>
    <w:p w14:paraId="33362F97" w14:textId="2F704EAD" w:rsidR="000140E4" w:rsidRPr="0012269D" w:rsidRDefault="000140E4" w:rsidP="0012269D">
      <w:pPr>
        <w:widowControl/>
        <w:spacing w:before="100" w:beforeAutospacing="1" w:after="100" w:afterAutospacing="1"/>
        <w:jc w:val="both"/>
        <w:rPr>
          <w:sz w:val="20"/>
          <w:szCs w:val="20"/>
          <w:lang w:bidi="ar-SA"/>
        </w:rPr>
      </w:pPr>
      <w:r w:rsidRPr="0012269D">
        <w:rPr>
          <w:sz w:val="20"/>
          <w:szCs w:val="20"/>
          <w:lang w:val="en-US" w:bidi="ar-SA"/>
        </w:rPr>
        <w:t xml:space="preserve">ALMEIDA, A. C.; LEMOS, C. F.; SILVA, P. H. M. Climate change and eucalyptus plantation management in Brazil: Challenges and opportunities. </w:t>
      </w:r>
      <w:r w:rsidRPr="0012269D">
        <w:rPr>
          <w:b/>
          <w:bCs/>
          <w:sz w:val="20"/>
          <w:szCs w:val="20"/>
          <w:lang w:bidi="ar-SA"/>
        </w:rPr>
        <w:t>Journal of Forestry Research</w:t>
      </w:r>
      <w:r w:rsidRPr="0012269D">
        <w:rPr>
          <w:sz w:val="20"/>
          <w:szCs w:val="20"/>
          <w:lang w:bidi="ar-SA"/>
        </w:rPr>
        <w:t>, v. 31, p. 1953–1966, 2020.</w:t>
      </w:r>
    </w:p>
    <w:p w14:paraId="40CC878D" w14:textId="74169896" w:rsidR="000140E4" w:rsidRPr="0012269D" w:rsidRDefault="000140E4" w:rsidP="0012269D">
      <w:pPr>
        <w:widowControl/>
        <w:spacing w:before="100" w:beforeAutospacing="1" w:after="100" w:afterAutospacing="1"/>
        <w:jc w:val="both"/>
        <w:rPr>
          <w:sz w:val="20"/>
          <w:szCs w:val="20"/>
          <w:lang w:bidi="ar-SA"/>
        </w:rPr>
      </w:pPr>
      <w:r w:rsidRPr="0012269D">
        <w:rPr>
          <w:sz w:val="20"/>
          <w:szCs w:val="20"/>
          <w:lang w:bidi="ar-SA"/>
        </w:rPr>
        <w:t xml:space="preserve">BEZERRA, </w:t>
      </w:r>
      <w:r w:rsidR="00A8577E" w:rsidRPr="0012269D">
        <w:rPr>
          <w:sz w:val="20"/>
          <w:szCs w:val="20"/>
          <w:lang w:bidi="ar-SA"/>
        </w:rPr>
        <w:t xml:space="preserve">A. L. </w:t>
      </w:r>
      <w:r w:rsidRPr="0012269D">
        <w:rPr>
          <w:sz w:val="20"/>
          <w:szCs w:val="20"/>
          <w:lang w:bidi="ar-SA"/>
        </w:rPr>
        <w:t>M. Exploração de matas nativas predomina na produção florestal do Piauí. 2021. Disponível em: https://www.al.pi.leg.br/tv/noticias-tv-1/exploracao-de-matas-nativas-predomina-na-producao-florestal-do-piaui. Acesso em: 21 maio 2025.</w:t>
      </w:r>
    </w:p>
    <w:p w14:paraId="017901F2" w14:textId="74001D1B" w:rsidR="000140E4" w:rsidRPr="0012269D" w:rsidRDefault="000140E4" w:rsidP="0012269D">
      <w:pPr>
        <w:widowControl/>
        <w:spacing w:before="100" w:beforeAutospacing="1" w:after="100" w:afterAutospacing="1"/>
        <w:jc w:val="both"/>
        <w:rPr>
          <w:sz w:val="20"/>
          <w:szCs w:val="20"/>
          <w:lang w:bidi="ar-SA"/>
        </w:rPr>
      </w:pPr>
      <w:r w:rsidRPr="0012269D">
        <w:rPr>
          <w:sz w:val="20"/>
          <w:szCs w:val="20"/>
          <w:lang w:bidi="ar-SA"/>
        </w:rPr>
        <w:t>IBÁ – INDÚSTRIA BRASILEIRA DE ÁRVORES. Relatório Anual 2023. 2023. Disponível em: https://iba.org. Acesso em: 2</w:t>
      </w:r>
      <w:r w:rsidR="002135C9" w:rsidRPr="0012269D">
        <w:rPr>
          <w:sz w:val="20"/>
          <w:szCs w:val="20"/>
          <w:lang w:bidi="ar-SA"/>
        </w:rPr>
        <w:t>0</w:t>
      </w:r>
      <w:r w:rsidRPr="0012269D">
        <w:rPr>
          <w:sz w:val="20"/>
          <w:szCs w:val="20"/>
          <w:lang w:bidi="ar-SA"/>
        </w:rPr>
        <w:t xml:space="preserve"> maio 2025.</w:t>
      </w:r>
    </w:p>
    <w:p w14:paraId="1A4C4C9A" w14:textId="43697CE2" w:rsidR="000140E4" w:rsidRPr="0012269D" w:rsidRDefault="000140E4" w:rsidP="0012269D">
      <w:pPr>
        <w:widowControl/>
        <w:spacing w:before="100" w:beforeAutospacing="1" w:after="100" w:afterAutospacing="1"/>
        <w:jc w:val="both"/>
        <w:rPr>
          <w:sz w:val="20"/>
          <w:szCs w:val="20"/>
          <w:lang w:bidi="ar-SA"/>
        </w:rPr>
      </w:pPr>
      <w:r w:rsidRPr="0012269D">
        <w:rPr>
          <w:sz w:val="20"/>
          <w:szCs w:val="20"/>
          <w:lang w:bidi="ar-SA"/>
        </w:rPr>
        <w:t>IBÁ – INDÚSTRIA BRASILEIRA DE ÁRVORES. Relatório Anual 2024. 2024. Disponível em: https://iba.org. Acesso em: 2</w:t>
      </w:r>
      <w:r w:rsidR="002135C9" w:rsidRPr="0012269D">
        <w:rPr>
          <w:sz w:val="20"/>
          <w:szCs w:val="20"/>
          <w:lang w:bidi="ar-SA"/>
        </w:rPr>
        <w:t>0</w:t>
      </w:r>
      <w:r w:rsidRPr="0012269D">
        <w:rPr>
          <w:sz w:val="20"/>
          <w:szCs w:val="20"/>
          <w:lang w:bidi="ar-SA"/>
        </w:rPr>
        <w:t xml:space="preserve"> maio 2025.</w:t>
      </w:r>
    </w:p>
    <w:p w14:paraId="7C235F73" w14:textId="664AE4E7" w:rsidR="000140E4" w:rsidRPr="0012269D" w:rsidRDefault="003B6B57" w:rsidP="0012269D">
      <w:pPr>
        <w:widowControl/>
        <w:spacing w:before="100" w:beforeAutospacing="1" w:after="100" w:afterAutospacing="1"/>
        <w:jc w:val="both"/>
        <w:rPr>
          <w:sz w:val="20"/>
          <w:szCs w:val="20"/>
          <w:lang w:bidi="ar-SA"/>
        </w:rPr>
      </w:pPr>
      <w:r w:rsidRPr="0012269D">
        <w:rPr>
          <w:sz w:val="20"/>
          <w:szCs w:val="20"/>
          <w:lang w:bidi="ar-SA"/>
        </w:rPr>
        <w:t xml:space="preserve">IBGE - </w:t>
      </w:r>
      <w:r w:rsidR="000140E4" w:rsidRPr="0012269D">
        <w:rPr>
          <w:sz w:val="20"/>
          <w:szCs w:val="20"/>
          <w:lang w:bidi="ar-SA"/>
        </w:rPr>
        <w:t>INSTITUTO BRASILEIRO DE GEOGRAFIA E ESTATÍSTICA. Plano Diretor de Tecnologia da Informação e Comunicação (PDTIC) 2023-2024. Rio de Janeiro: IBGE, 2024. Disponível em: https://www.ibge.gov.br. Acesso em: 26 maio 2025.</w:t>
      </w:r>
    </w:p>
    <w:p w14:paraId="3E46C4C5" w14:textId="2A34C488" w:rsidR="003B6B57" w:rsidRPr="0012269D" w:rsidRDefault="00866AE4" w:rsidP="0012269D">
      <w:pPr>
        <w:widowControl/>
        <w:spacing w:before="100" w:beforeAutospacing="1" w:after="100" w:afterAutospacing="1"/>
        <w:jc w:val="both"/>
        <w:rPr>
          <w:sz w:val="20"/>
          <w:szCs w:val="20"/>
          <w:lang w:val="en-US" w:bidi="ar-SA"/>
        </w:rPr>
      </w:pPr>
      <w:r w:rsidRPr="0012269D">
        <w:rPr>
          <w:rStyle w:val="Forte"/>
          <w:b w:val="0"/>
          <w:sz w:val="20"/>
          <w:szCs w:val="20"/>
        </w:rPr>
        <w:t>SIDRA – Sistema IBGE de Recuperação Automática</w:t>
      </w:r>
      <w:r w:rsidRPr="0012269D">
        <w:rPr>
          <w:sz w:val="20"/>
          <w:szCs w:val="20"/>
        </w:rPr>
        <w:t xml:space="preserve">. </w:t>
      </w:r>
      <w:r w:rsidRPr="0012269D">
        <w:rPr>
          <w:rStyle w:val="nfase"/>
          <w:b/>
          <w:bCs/>
          <w:i w:val="0"/>
          <w:sz w:val="20"/>
          <w:szCs w:val="20"/>
        </w:rPr>
        <w:t>Produção Agrícola Municipal</w:t>
      </w:r>
      <w:r w:rsidRPr="0012269D">
        <w:rPr>
          <w:i/>
          <w:sz w:val="20"/>
          <w:szCs w:val="20"/>
        </w:rPr>
        <w:t>,</w:t>
      </w:r>
      <w:r w:rsidR="006A6B31" w:rsidRPr="0012269D">
        <w:rPr>
          <w:sz w:val="20"/>
          <w:szCs w:val="20"/>
        </w:rPr>
        <w:t xml:space="preserve"> 2024</w:t>
      </w:r>
      <w:r w:rsidRPr="0012269D">
        <w:rPr>
          <w:sz w:val="20"/>
          <w:szCs w:val="20"/>
        </w:rPr>
        <w:t>. Disponível em</w:t>
      </w:r>
      <w:r w:rsidR="00727871" w:rsidRPr="0012269D">
        <w:rPr>
          <w:sz w:val="20"/>
          <w:szCs w:val="20"/>
        </w:rPr>
        <w:t>:</w:t>
      </w:r>
      <w:r w:rsidRPr="0012269D">
        <w:rPr>
          <w:sz w:val="20"/>
          <w:szCs w:val="20"/>
        </w:rPr>
        <w:t xml:space="preserve"> </w:t>
      </w:r>
      <w:hyperlink r:id="rId12" w:history="1">
        <w:r w:rsidR="00727871" w:rsidRPr="0012269D">
          <w:rPr>
            <w:rStyle w:val="Hyperlink"/>
            <w:color w:val="auto"/>
            <w:sz w:val="20"/>
            <w:szCs w:val="20"/>
          </w:rPr>
          <w:t>https://sidra.ibge.gov.br/pesquisa/pam/tabelas</w:t>
        </w:r>
      </w:hyperlink>
      <w:r w:rsidR="00727871" w:rsidRPr="0012269D">
        <w:rPr>
          <w:sz w:val="20"/>
          <w:szCs w:val="20"/>
        </w:rPr>
        <w:t xml:space="preserve">. </w:t>
      </w:r>
      <w:r w:rsidR="00727871" w:rsidRPr="0012269D">
        <w:rPr>
          <w:sz w:val="20"/>
          <w:szCs w:val="20"/>
          <w:lang w:val="en-US"/>
        </w:rPr>
        <w:t>Acesso em 27 maio 2025</w:t>
      </w:r>
    </w:p>
    <w:p w14:paraId="7411AA42" w14:textId="6EF1689A" w:rsidR="000140E4" w:rsidRPr="0012269D" w:rsidRDefault="000140E4" w:rsidP="0012269D">
      <w:pPr>
        <w:widowControl/>
        <w:spacing w:before="100" w:beforeAutospacing="1" w:after="100" w:afterAutospacing="1"/>
        <w:jc w:val="both"/>
        <w:rPr>
          <w:sz w:val="20"/>
          <w:szCs w:val="20"/>
          <w:lang w:val="en-US" w:bidi="ar-SA"/>
        </w:rPr>
      </w:pPr>
      <w:r w:rsidRPr="0012269D">
        <w:rPr>
          <w:sz w:val="20"/>
          <w:szCs w:val="20"/>
          <w:lang w:val="en-US" w:bidi="ar-SA"/>
        </w:rPr>
        <w:t xml:space="preserve">STAPE, J. L.; BINKLEY, D.; RYAN, M. G. Eucalyptus production and the supply, use and efficiency of use of water, light and nitrogen across a geographic gradient in Brazil. </w:t>
      </w:r>
      <w:r w:rsidRPr="0012269D">
        <w:rPr>
          <w:b/>
          <w:bCs/>
          <w:sz w:val="20"/>
          <w:szCs w:val="20"/>
          <w:lang w:val="en-US" w:bidi="ar-SA"/>
        </w:rPr>
        <w:t>Forest Ecology and Management</w:t>
      </w:r>
      <w:r w:rsidRPr="0012269D">
        <w:rPr>
          <w:sz w:val="20"/>
          <w:szCs w:val="20"/>
          <w:lang w:val="en-US" w:bidi="ar-SA"/>
        </w:rPr>
        <w:t>, v. 259, n. 9, p. 1675–1684, 2010. https://doi.org/10.1016/j.foreco.2010.01.020.</w:t>
      </w:r>
    </w:p>
    <w:p w14:paraId="651165A5" w14:textId="6DC0180B" w:rsidR="00C802EF" w:rsidRPr="0012269D" w:rsidRDefault="000140E4" w:rsidP="0012269D">
      <w:pPr>
        <w:widowControl/>
        <w:spacing w:before="100" w:beforeAutospacing="1" w:after="100" w:afterAutospacing="1"/>
        <w:jc w:val="both"/>
        <w:rPr>
          <w:sz w:val="20"/>
          <w:szCs w:val="20"/>
          <w:lang w:bidi="ar-SA"/>
        </w:rPr>
      </w:pPr>
      <w:r w:rsidRPr="0012269D">
        <w:rPr>
          <w:sz w:val="20"/>
          <w:szCs w:val="20"/>
          <w:lang w:bidi="ar-SA"/>
        </w:rPr>
        <w:t xml:space="preserve">ZANETTI, R.; SOUZA, J. L.; SANTOS, G. P. Pragas em plantações de eucalipto: avanços e desafios no Brasil. </w:t>
      </w:r>
      <w:r w:rsidRPr="0012269D">
        <w:rPr>
          <w:b/>
          <w:sz w:val="20"/>
          <w:szCs w:val="20"/>
          <w:lang w:bidi="ar-SA"/>
        </w:rPr>
        <w:t>Revista Árvore</w:t>
      </w:r>
      <w:r w:rsidRPr="0012269D">
        <w:rPr>
          <w:sz w:val="20"/>
          <w:szCs w:val="20"/>
          <w:lang w:bidi="ar-SA"/>
        </w:rPr>
        <w:t>, v. 43, n. 1, e430103, 2019.</w:t>
      </w:r>
    </w:p>
    <w:sectPr w:rsidR="00C802EF" w:rsidRPr="0012269D" w:rsidSect="001D53B6">
      <w:footerReference w:type="default" r:id="rId13"/>
      <w:headerReference w:type="first" r:id="rId14"/>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56EAB" w14:textId="77777777" w:rsidR="0036606D" w:rsidRDefault="0036606D">
      <w:r>
        <w:separator/>
      </w:r>
    </w:p>
  </w:endnote>
  <w:endnote w:type="continuationSeparator" w:id="0">
    <w:p w14:paraId="6C09CF6A" w14:textId="77777777" w:rsidR="0036606D" w:rsidRDefault="00366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E03A6692-1DA3-479B-9D18-C8367C7E6DEB}"/>
    <w:embedItalic r:id="rId2" w:fontKey="{74F46F3F-74D3-47E0-B282-6AEFED620951}"/>
  </w:font>
  <w:font w:name="Segoe UI">
    <w:panose1 w:val="020B0502040204020203"/>
    <w:charset w:val="00"/>
    <w:family w:val="swiss"/>
    <w:pitch w:val="variable"/>
    <w:sig w:usb0="E4002EFF" w:usb1="C000E47F" w:usb2="00000009" w:usb3="00000000" w:csb0="000001FF" w:csb1="00000000"/>
    <w:embedRegular r:id="rId3" w:fontKey="{BA27A4F4-8316-45C5-A6D3-348BCE32DF2E}"/>
  </w:font>
  <w:font w:name="Nunito Sans">
    <w:charset w:val="00"/>
    <w:family w:val="auto"/>
    <w:pitch w:val="variable"/>
    <w:sig w:usb0="A00002FF" w:usb1="5000204B" w:usb2="00000000" w:usb3="00000000" w:csb0="00000197" w:csb1="00000000"/>
    <w:embedRegular r:id="rId4" w:fontKey="{22918F49-2270-4644-B232-2F76C1346697}"/>
  </w:font>
  <w:font w:name="Cambria">
    <w:panose1 w:val="02040503050406030204"/>
    <w:charset w:val="00"/>
    <w:family w:val="roman"/>
    <w:pitch w:val="variable"/>
    <w:sig w:usb0="E00006FF" w:usb1="420024FF" w:usb2="02000000" w:usb3="00000000" w:csb0="0000019F" w:csb1="00000000"/>
    <w:embedRegular r:id="rId5" w:fontKey="{285D980B-D487-4E69-9A28-341C0C410E42}"/>
  </w:font>
  <w:font w:name="Calibri">
    <w:panose1 w:val="020F0502020204030204"/>
    <w:charset w:val="00"/>
    <w:family w:val="swiss"/>
    <w:pitch w:val="variable"/>
    <w:sig w:usb0="E4002EFF" w:usb1="C000247B" w:usb2="00000009" w:usb3="00000000" w:csb0="000001FF" w:csb1="00000000"/>
    <w:embedRegular r:id="rId6" w:fontKey="{62B8A7A7-690E-481B-AC82-C0AC47C76D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8B96F" w14:textId="77777777" w:rsidR="0036606D" w:rsidRDefault="0036606D">
      <w:r>
        <w:separator/>
      </w:r>
    </w:p>
  </w:footnote>
  <w:footnote w:type="continuationSeparator" w:id="0">
    <w:p w14:paraId="6F3FEAA2" w14:textId="77777777" w:rsidR="0036606D" w:rsidRDefault="00366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E80E55">
    <w:pPr>
      <w:pStyle w:val="Cabealho"/>
      <w:jc w:val="center"/>
    </w:pPr>
    <w:r>
      <w:rPr>
        <w:noProof/>
        <w:lang w:bidi="ar-SA"/>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99637C"/>
    <w:multiLevelType w:val="hybridMultilevel"/>
    <w:tmpl w:val="D174CD3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2076514504">
    <w:abstractNumId w:val="1"/>
  </w:num>
  <w:num w:numId="2" w16cid:durableId="705519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0096C"/>
    <w:rsid w:val="0000306C"/>
    <w:rsid w:val="000140E4"/>
    <w:rsid w:val="0002545F"/>
    <w:rsid w:val="00033A86"/>
    <w:rsid w:val="000607B1"/>
    <w:rsid w:val="000A7983"/>
    <w:rsid w:val="001164AC"/>
    <w:rsid w:val="00116DE3"/>
    <w:rsid w:val="00117C5A"/>
    <w:rsid w:val="0012169C"/>
    <w:rsid w:val="00121B53"/>
    <w:rsid w:val="0012269D"/>
    <w:rsid w:val="0012736D"/>
    <w:rsid w:val="0013487D"/>
    <w:rsid w:val="001473D5"/>
    <w:rsid w:val="0015091E"/>
    <w:rsid w:val="00165829"/>
    <w:rsid w:val="001B7DEE"/>
    <w:rsid w:val="001C538F"/>
    <w:rsid w:val="001D1396"/>
    <w:rsid w:val="001D53B6"/>
    <w:rsid w:val="001D776D"/>
    <w:rsid w:val="00201D17"/>
    <w:rsid w:val="002132AA"/>
    <w:rsid w:val="002135C9"/>
    <w:rsid w:val="00216CEC"/>
    <w:rsid w:val="00232E9D"/>
    <w:rsid w:val="00233A2E"/>
    <w:rsid w:val="00261F74"/>
    <w:rsid w:val="002A578B"/>
    <w:rsid w:val="002C2720"/>
    <w:rsid w:val="002C2E0B"/>
    <w:rsid w:val="002E2A33"/>
    <w:rsid w:val="002E3146"/>
    <w:rsid w:val="003012EA"/>
    <w:rsid w:val="00331D90"/>
    <w:rsid w:val="0033715D"/>
    <w:rsid w:val="0036606D"/>
    <w:rsid w:val="0038232C"/>
    <w:rsid w:val="00385249"/>
    <w:rsid w:val="003853C9"/>
    <w:rsid w:val="00395495"/>
    <w:rsid w:val="003B689B"/>
    <w:rsid w:val="003B6B57"/>
    <w:rsid w:val="003E1B16"/>
    <w:rsid w:val="00420824"/>
    <w:rsid w:val="0049100C"/>
    <w:rsid w:val="004A2256"/>
    <w:rsid w:val="004B25FF"/>
    <w:rsid w:val="004C4031"/>
    <w:rsid w:val="004F59FA"/>
    <w:rsid w:val="00517B04"/>
    <w:rsid w:val="00520C57"/>
    <w:rsid w:val="005336D1"/>
    <w:rsid w:val="005462AA"/>
    <w:rsid w:val="0055598C"/>
    <w:rsid w:val="00570392"/>
    <w:rsid w:val="005846AD"/>
    <w:rsid w:val="00585130"/>
    <w:rsid w:val="00586834"/>
    <w:rsid w:val="005925B4"/>
    <w:rsid w:val="00595C6C"/>
    <w:rsid w:val="005A3A5E"/>
    <w:rsid w:val="005A739F"/>
    <w:rsid w:val="005B03BB"/>
    <w:rsid w:val="005C3F58"/>
    <w:rsid w:val="005D3946"/>
    <w:rsid w:val="00624569"/>
    <w:rsid w:val="00625F78"/>
    <w:rsid w:val="0065165D"/>
    <w:rsid w:val="00662632"/>
    <w:rsid w:val="00683288"/>
    <w:rsid w:val="0069625E"/>
    <w:rsid w:val="0069729A"/>
    <w:rsid w:val="006A6B31"/>
    <w:rsid w:val="006A78CA"/>
    <w:rsid w:val="006C0743"/>
    <w:rsid w:val="006C161F"/>
    <w:rsid w:val="006D6AC0"/>
    <w:rsid w:val="00701B2E"/>
    <w:rsid w:val="00721849"/>
    <w:rsid w:val="0072335F"/>
    <w:rsid w:val="00727871"/>
    <w:rsid w:val="00731CFD"/>
    <w:rsid w:val="007420B6"/>
    <w:rsid w:val="00762228"/>
    <w:rsid w:val="00762775"/>
    <w:rsid w:val="00766C9F"/>
    <w:rsid w:val="00783970"/>
    <w:rsid w:val="0079562D"/>
    <w:rsid w:val="007C585E"/>
    <w:rsid w:val="007F6677"/>
    <w:rsid w:val="00807B5F"/>
    <w:rsid w:val="00813F2D"/>
    <w:rsid w:val="00853FED"/>
    <w:rsid w:val="00856539"/>
    <w:rsid w:val="00861A39"/>
    <w:rsid w:val="008666C5"/>
    <w:rsid w:val="00866AE4"/>
    <w:rsid w:val="008A1A46"/>
    <w:rsid w:val="008B5D3C"/>
    <w:rsid w:val="008C3C10"/>
    <w:rsid w:val="008C4317"/>
    <w:rsid w:val="008C7198"/>
    <w:rsid w:val="00905321"/>
    <w:rsid w:val="00914ACC"/>
    <w:rsid w:val="00922AB1"/>
    <w:rsid w:val="00926965"/>
    <w:rsid w:val="00927DCB"/>
    <w:rsid w:val="0094674D"/>
    <w:rsid w:val="00953BB6"/>
    <w:rsid w:val="00954230"/>
    <w:rsid w:val="00987143"/>
    <w:rsid w:val="00994F47"/>
    <w:rsid w:val="009A2365"/>
    <w:rsid w:val="009C0B64"/>
    <w:rsid w:val="009C620B"/>
    <w:rsid w:val="009D19A2"/>
    <w:rsid w:val="009D57E4"/>
    <w:rsid w:val="009E171C"/>
    <w:rsid w:val="009F213E"/>
    <w:rsid w:val="00A41AD9"/>
    <w:rsid w:val="00A8577E"/>
    <w:rsid w:val="00A87DE5"/>
    <w:rsid w:val="00AB77F7"/>
    <w:rsid w:val="00AB7EAC"/>
    <w:rsid w:val="00AC3834"/>
    <w:rsid w:val="00AD13C8"/>
    <w:rsid w:val="00AD20C6"/>
    <w:rsid w:val="00AE2B04"/>
    <w:rsid w:val="00B325F8"/>
    <w:rsid w:val="00B74E52"/>
    <w:rsid w:val="00B84A84"/>
    <w:rsid w:val="00BC55B0"/>
    <w:rsid w:val="00C045E9"/>
    <w:rsid w:val="00C10B95"/>
    <w:rsid w:val="00C178AF"/>
    <w:rsid w:val="00C32215"/>
    <w:rsid w:val="00C4014A"/>
    <w:rsid w:val="00C65003"/>
    <w:rsid w:val="00C802EF"/>
    <w:rsid w:val="00CB1A89"/>
    <w:rsid w:val="00CB5E0D"/>
    <w:rsid w:val="00D01704"/>
    <w:rsid w:val="00D1606A"/>
    <w:rsid w:val="00D40F75"/>
    <w:rsid w:val="00D4796A"/>
    <w:rsid w:val="00DA28E0"/>
    <w:rsid w:val="00DD1AC9"/>
    <w:rsid w:val="00DD2A6A"/>
    <w:rsid w:val="00DF0738"/>
    <w:rsid w:val="00E03085"/>
    <w:rsid w:val="00E066AF"/>
    <w:rsid w:val="00E14CE2"/>
    <w:rsid w:val="00E1508E"/>
    <w:rsid w:val="00E32651"/>
    <w:rsid w:val="00E427AD"/>
    <w:rsid w:val="00E5343D"/>
    <w:rsid w:val="00E60CAD"/>
    <w:rsid w:val="00E60F5A"/>
    <w:rsid w:val="00E64B70"/>
    <w:rsid w:val="00E7189D"/>
    <w:rsid w:val="00E80E55"/>
    <w:rsid w:val="00EB37BC"/>
    <w:rsid w:val="00EB54CB"/>
    <w:rsid w:val="00ED084B"/>
    <w:rsid w:val="00ED53C4"/>
    <w:rsid w:val="00ED6ED9"/>
    <w:rsid w:val="00EF51E6"/>
    <w:rsid w:val="00F330E8"/>
    <w:rsid w:val="00F425D7"/>
    <w:rsid w:val="00F45EF0"/>
    <w:rsid w:val="00F477E8"/>
    <w:rsid w:val="00F657E0"/>
    <w:rsid w:val="00F72159"/>
    <w:rsid w:val="00F93A92"/>
    <w:rsid w:val="00FB2325"/>
    <w:rsid w:val="00FC2E2F"/>
    <w:rsid w:val="00FF0B30"/>
    <w:rsid w:val="00FF4B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E3AC5C25-5576-418B-909A-33A00F57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styleId="Refdecomentrio">
    <w:name w:val="annotation reference"/>
    <w:basedOn w:val="Fontepargpadro"/>
    <w:uiPriority w:val="99"/>
    <w:semiHidden/>
    <w:unhideWhenUsed/>
    <w:rsid w:val="00B325F8"/>
    <w:rPr>
      <w:sz w:val="16"/>
      <w:szCs w:val="16"/>
    </w:rPr>
  </w:style>
  <w:style w:type="paragraph" w:styleId="Textodecomentrio">
    <w:name w:val="annotation text"/>
    <w:basedOn w:val="Normal"/>
    <w:link w:val="TextodecomentrioChar"/>
    <w:uiPriority w:val="99"/>
    <w:unhideWhenUsed/>
    <w:rsid w:val="00B325F8"/>
    <w:rPr>
      <w:sz w:val="20"/>
      <w:szCs w:val="20"/>
    </w:rPr>
  </w:style>
  <w:style w:type="character" w:customStyle="1" w:styleId="TextodecomentrioChar">
    <w:name w:val="Texto de comentário Char"/>
    <w:basedOn w:val="Fontepargpadro"/>
    <w:link w:val="Textodecomentrio"/>
    <w:uiPriority w:val="99"/>
    <w:rsid w:val="00B325F8"/>
    <w:rPr>
      <w:sz w:val="20"/>
      <w:szCs w:val="20"/>
      <w:lang w:bidi="pt-BR"/>
    </w:rPr>
  </w:style>
  <w:style w:type="paragraph" w:styleId="Legenda">
    <w:name w:val="caption"/>
    <w:basedOn w:val="Normal"/>
    <w:next w:val="Normal"/>
    <w:uiPriority w:val="35"/>
    <w:unhideWhenUsed/>
    <w:qFormat/>
    <w:rsid w:val="009D19A2"/>
    <w:pPr>
      <w:spacing w:after="200"/>
    </w:pPr>
    <w:rPr>
      <w:i/>
      <w:iCs/>
      <w:color w:val="1F497D" w:themeColor="text2"/>
      <w:sz w:val="18"/>
      <w:szCs w:val="18"/>
    </w:rPr>
  </w:style>
  <w:style w:type="character" w:customStyle="1" w:styleId="CorpodetextoChar">
    <w:name w:val="Corpo de texto Char"/>
    <w:basedOn w:val="Fontepargpadro"/>
    <w:link w:val="Corpodetexto"/>
    <w:uiPriority w:val="1"/>
    <w:rsid w:val="00624569"/>
    <w:rPr>
      <w:sz w:val="24"/>
      <w:szCs w:val="24"/>
      <w:lang w:bidi="pt-BR"/>
    </w:rPr>
  </w:style>
  <w:style w:type="paragraph" w:styleId="Assuntodocomentrio">
    <w:name w:val="annotation subject"/>
    <w:basedOn w:val="Textodecomentrio"/>
    <w:next w:val="Textodecomentrio"/>
    <w:link w:val="AssuntodocomentrioChar"/>
    <w:uiPriority w:val="99"/>
    <w:semiHidden/>
    <w:unhideWhenUsed/>
    <w:rsid w:val="003B689B"/>
    <w:rPr>
      <w:b/>
      <w:bCs/>
    </w:rPr>
  </w:style>
  <w:style w:type="character" w:customStyle="1" w:styleId="AssuntodocomentrioChar">
    <w:name w:val="Assunto do comentário Char"/>
    <w:basedOn w:val="TextodecomentrioChar"/>
    <w:link w:val="Assuntodocomentrio"/>
    <w:uiPriority w:val="99"/>
    <w:semiHidden/>
    <w:rsid w:val="003B689B"/>
    <w:rPr>
      <w:b/>
      <w:bCs/>
      <w:sz w:val="20"/>
      <w:szCs w:val="20"/>
      <w:lang w:bidi="pt-BR"/>
    </w:rPr>
  </w:style>
  <w:style w:type="character" w:styleId="Forte">
    <w:name w:val="Strong"/>
    <w:basedOn w:val="Fontepargpadro"/>
    <w:uiPriority w:val="22"/>
    <w:qFormat/>
    <w:rsid w:val="00116DE3"/>
    <w:rPr>
      <w:b/>
      <w:bCs/>
    </w:rPr>
  </w:style>
  <w:style w:type="paragraph" w:styleId="Textodebalo">
    <w:name w:val="Balloon Text"/>
    <w:basedOn w:val="Normal"/>
    <w:link w:val="TextodebaloChar"/>
    <w:uiPriority w:val="99"/>
    <w:semiHidden/>
    <w:unhideWhenUsed/>
    <w:rsid w:val="009C620B"/>
    <w:rPr>
      <w:rFonts w:ascii="Segoe UI" w:hAnsi="Segoe UI" w:cs="Segoe UI"/>
      <w:sz w:val="18"/>
      <w:szCs w:val="18"/>
    </w:rPr>
  </w:style>
  <w:style w:type="character" w:customStyle="1" w:styleId="TextodebaloChar">
    <w:name w:val="Texto de balão Char"/>
    <w:basedOn w:val="Fontepargpadro"/>
    <w:link w:val="Textodebalo"/>
    <w:uiPriority w:val="99"/>
    <w:semiHidden/>
    <w:rsid w:val="009C620B"/>
    <w:rPr>
      <w:rFonts w:ascii="Segoe UI" w:hAnsi="Segoe UI" w:cs="Segoe UI"/>
      <w:sz w:val="18"/>
      <w:szCs w:val="18"/>
      <w:lang w:bidi="pt-BR"/>
    </w:rPr>
  </w:style>
  <w:style w:type="character" w:customStyle="1" w:styleId="MenoPendente1">
    <w:name w:val="Menção Pendente1"/>
    <w:basedOn w:val="Fontepargpadro"/>
    <w:uiPriority w:val="99"/>
    <w:semiHidden/>
    <w:unhideWhenUsed/>
    <w:rsid w:val="00727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7301">
      <w:bodyDiv w:val="1"/>
      <w:marLeft w:val="0"/>
      <w:marRight w:val="0"/>
      <w:marTop w:val="0"/>
      <w:marBottom w:val="0"/>
      <w:divBdr>
        <w:top w:val="none" w:sz="0" w:space="0" w:color="auto"/>
        <w:left w:val="none" w:sz="0" w:space="0" w:color="auto"/>
        <w:bottom w:val="none" w:sz="0" w:space="0" w:color="auto"/>
        <w:right w:val="none" w:sz="0" w:space="0" w:color="auto"/>
      </w:divBdr>
    </w:div>
    <w:div w:id="186256223">
      <w:bodyDiv w:val="1"/>
      <w:marLeft w:val="0"/>
      <w:marRight w:val="0"/>
      <w:marTop w:val="0"/>
      <w:marBottom w:val="0"/>
      <w:divBdr>
        <w:top w:val="none" w:sz="0" w:space="0" w:color="auto"/>
        <w:left w:val="none" w:sz="0" w:space="0" w:color="auto"/>
        <w:bottom w:val="none" w:sz="0" w:space="0" w:color="auto"/>
        <w:right w:val="none" w:sz="0" w:space="0" w:color="auto"/>
      </w:divBdr>
    </w:div>
    <w:div w:id="348996237">
      <w:bodyDiv w:val="1"/>
      <w:marLeft w:val="0"/>
      <w:marRight w:val="0"/>
      <w:marTop w:val="0"/>
      <w:marBottom w:val="0"/>
      <w:divBdr>
        <w:top w:val="none" w:sz="0" w:space="0" w:color="auto"/>
        <w:left w:val="none" w:sz="0" w:space="0" w:color="auto"/>
        <w:bottom w:val="none" w:sz="0" w:space="0" w:color="auto"/>
        <w:right w:val="none" w:sz="0" w:space="0" w:color="auto"/>
      </w:divBdr>
    </w:div>
    <w:div w:id="546990310">
      <w:bodyDiv w:val="1"/>
      <w:marLeft w:val="0"/>
      <w:marRight w:val="0"/>
      <w:marTop w:val="0"/>
      <w:marBottom w:val="0"/>
      <w:divBdr>
        <w:top w:val="none" w:sz="0" w:space="0" w:color="auto"/>
        <w:left w:val="none" w:sz="0" w:space="0" w:color="auto"/>
        <w:bottom w:val="none" w:sz="0" w:space="0" w:color="auto"/>
        <w:right w:val="none" w:sz="0" w:space="0" w:color="auto"/>
      </w:divBdr>
    </w:div>
    <w:div w:id="957376994">
      <w:bodyDiv w:val="1"/>
      <w:marLeft w:val="0"/>
      <w:marRight w:val="0"/>
      <w:marTop w:val="0"/>
      <w:marBottom w:val="0"/>
      <w:divBdr>
        <w:top w:val="none" w:sz="0" w:space="0" w:color="auto"/>
        <w:left w:val="none" w:sz="0" w:space="0" w:color="auto"/>
        <w:bottom w:val="none" w:sz="0" w:space="0" w:color="auto"/>
        <w:right w:val="none" w:sz="0" w:space="0" w:color="auto"/>
      </w:divBdr>
    </w:div>
    <w:div w:id="979384138">
      <w:bodyDiv w:val="1"/>
      <w:marLeft w:val="0"/>
      <w:marRight w:val="0"/>
      <w:marTop w:val="0"/>
      <w:marBottom w:val="0"/>
      <w:divBdr>
        <w:top w:val="none" w:sz="0" w:space="0" w:color="auto"/>
        <w:left w:val="none" w:sz="0" w:space="0" w:color="auto"/>
        <w:bottom w:val="none" w:sz="0" w:space="0" w:color="auto"/>
        <w:right w:val="none" w:sz="0" w:space="0" w:color="auto"/>
      </w:divBdr>
    </w:div>
    <w:div w:id="1064111017">
      <w:bodyDiv w:val="1"/>
      <w:marLeft w:val="0"/>
      <w:marRight w:val="0"/>
      <w:marTop w:val="0"/>
      <w:marBottom w:val="0"/>
      <w:divBdr>
        <w:top w:val="none" w:sz="0" w:space="0" w:color="auto"/>
        <w:left w:val="none" w:sz="0" w:space="0" w:color="auto"/>
        <w:bottom w:val="none" w:sz="0" w:space="0" w:color="auto"/>
        <w:right w:val="none" w:sz="0" w:space="0" w:color="auto"/>
      </w:divBdr>
    </w:div>
    <w:div w:id="1182545069">
      <w:bodyDiv w:val="1"/>
      <w:marLeft w:val="0"/>
      <w:marRight w:val="0"/>
      <w:marTop w:val="0"/>
      <w:marBottom w:val="0"/>
      <w:divBdr>
        <w:top w:val="none" w:sz="0" w:space="0" w:color="auto"/>
        <w:left w:val="none" w:sz="0" w:space="0" w:color="auto"/>
        <w:bottom w:val="none" w:sz="0" w:space="0" w:color="auto"/>
        <w:right w:val="none" w:sz="0" w:space="0" w:color="auto"/>
      </w:divBdr>
    </w:div>
    <w:div w:id="1654215208">
      <w:bodyDiv w:val="1"/>
      <w:marLeft w:val="0"/>
      <w:marRight w:val="0"/>
      <w:marTop w:val="0"/>
      <w:marBottom w:val="0"/>
      <w:divBdr>
        <w:top w:val="none" w:sz="0" w:space="0" w:color="auto"/>
        <w:left w:val="none" w:sz="0" w:space="0" w:color="auto"/>
        <w:bottom w:val="none" w:sz="0" w:space="0" w:color="auto"/>
        <w:right w:val="none" w:sz="0" w:space="0" w:color="auto"/>
      </w:divBdr>
    </w:div>
    <w:div w:id="1959332135">
      <w:bodyDiv w:val="1"/>
      <w:marLeft w:val="0"/>
      <w:marRight w:val="0"/>
      <w:marTop w:val="0"/>
      <w:marBottom w:val="0"/>
      <w:divBdr>
        <w:top w:val="none" w:sz="0" w:space="0" w:color="auto"/>
        <w:left w:val="none" w:sz="0" w:space="0" w:color="auto"/>
        <w:bottom w:val="none" w:sz="0" w:space="0" w:color="auto"/>
        <w:right w:val="none" w:sz="0" w:space="0" w:color="auto"/>
      </w:divBdr>
    </w:div>
    <w:div w:id="1982034180">
      <w:bodyDiv w:val="1"/>
      <w:marLeft w:val="0"/>
      <w:marRight w:val="0"/>
      <w:marTop w:val="0"/>
      <w:marBottom w:val="0"/>
      <w:divBdr>
        <w:top w:val="none" w:sz="0" w:space="0" w:color="auto"/>
        <w:left w:val="none" w:sz="0" w:space="0" w:color="auto"/>
        <w:bottom w:val="none" w:sz="0" w:space="0" w:color="auto"/>
        <w:right w:val="none" w:sz="0" w:space="0" w:color="auto"/>
      </w:divBdr>
    </w:div>
    <w:div w:id="2067489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idra.ibge.gov.br/pesquisa/pam/tabela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il\Desktop\tabela5930_area_est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il\Desktop\tabela5930_area_estad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il\Desktop\tabela5930_area_estado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399027299095882E-2"/>
          <c:y val="0.14872643600515084"/>
          <c:w val="0.86248185349488427"/>
          <c:h val="0.65075960679177836"/>
        </c:manualLayout>
      </c:layout>
      <c:barChart>
        <c:barDir val="col"/>
        <c:grouping val="stacked"/>
        <c:varyColors val="0"/>
        <c:ser>
          <c:idx val="0"/>
          <c:order val="0"/>
          <c:tx>
            <c:strRef>
              <c:f>edit!$A$2</c:f>
              <c:strCache>
                <c:ptCount val="1"/>
                <c:pt idx="0">
                  <c:v>Eucalipto</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edit!$B$1:$F$1</c:f>
              <c:numCache>
                <c:formatCode>General</c:formatCode>
                <c:ptCount val="5"/>
                <c:pt idx="0">
                  <c:v>2019</c:v>
                </c:pt>
                <c:pt idx="1">
                  <c:v>2020</c:v>
                </c:pt>
                <c:pt idx="2">
                  <c:v>2021</c:v>
                </c:pt>
                <c:pt idx="3">
                  <c:v>2022</c:v>
                </c:pt>
                <c:pt idx="4">
                  <c:v>2023</c:v>
                </c:pt>
              </c:numCache>
            </c:numRef>
          </c:cat>
          <c:val>
            <c:numRef>
              <c:f>edit!$B$2:$F$2</c:f>
              <c:numCache>
                <c:formatCode>#,##0_);\(#,##0\)</c:formatCode>
                <c:ptCount val="5"/>
                <c:pt idx="0">
                  <c:v>7452050</c:v>
                </c:pt>
                <c:pt idx="1">
                  <c:v>7440169</c:v>
                </c:pt>
                <c:pt idx="2">
                  <c:v>7300689</c:v>
                </c:pt>
                <c:pt idx="3">
                  <c:v>7317084</c:v>
                </c:pt>
                <c:pt idx="4">
                  <c:v>7550549</c:v>
                </c:pt>
              </c:numCache>
            </c:numRef>
          </c:val>
          <c:extLst>
            <c:ext xmlns:c16="http://schemas.microsoft.com/office/drawing/2014/chart" uri="{C3380CC4-5D6E-409C-BE32-E72D297353CC}">
              <c16:uniqueId val="{00000000-481B-4B05-B7E9-ACFA9C7F3A35}"/>
            </c:ext>
          </c:extLst>
        </c:ser>
        <c:ser>
          <c:idx val="1"/>
          <c:order val="1"/>
          <c:tx>
            <c:strRef>
              <c:f>edit!$A$3</c:f>
              <c:strCache>
                <c:ptCount val="1"/>
                <c:pt idx="0">
                  <c:v>Pinus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edit!$B$1:$F$1</c:f>
              <c:numCache>
                <c:formatCode>General</c:formatCode>
                <c:ptCount val="5"/>
                <c:pt idx="0">
                  <c:v>2019</c:v>
                </c:pt>
                <c:pt idx="1">
                  <c:v>2020</c:v>
                </c:pt>
                <c:pt idx="2">
                  <c:v>2021</c:v>
                </c:pt>
                <c:pt idx="3">
                  <c:v>2022</c:v>
                </c:pt>
                <c:pt idx="4">
                  <c:v>2023</c:v>
                </c:pt>
              </c:numCache>
            </c:numRef>
          </c:cat>
          <c:val>
            <c:numRef>
              <c:f>edit!$B$3:$F$3</c:f>
              <c:numCache>
                <c:formatCode>#,##0_);\(#,##0\)</c:formatCode>
                <c:ptCount val="5"/>
                <c:pt idx="0">
                  <c:v>1848670</c:v>
                </c:pt>
                <c:pt idx="1">
                  <c:v>1830342</c:v>
                </c:pt>
                <c:pt idx="2">
                  <c:v>1783116</c:v>
                </c:pt>
                <c:pt idx="3">
                  <c:v>1735892</c:v>
                </c:pt>
                <c:pt idx="4">
                  <c:v>1756989</c:v>
                </c:pt>
              </c:numCache>
            </c:numRef>
          </c:val>
          <c:extLst>
            <c:ext xmlns:c16="http://schemas.microsoft.com/office/drawing/2014/chart" uri="{C3380CC4-5D6E-409C-BE32-E72D297353CC}">
              <c16:uniqueId val="{00000001-481B-4B05-B7E9-ACFA9C7F3A35}"/>
            </c:ext>
          </c:extLst>
        </c:ser>
        <c:ser>
          <c:idx val="2"/>
          <c:order val="2"/>
          <c:tx>
            <c:strRef>
              <c:f>edit!$A$4</c:f>
              <c:strCache>
                <c:ptCount val="1"/>
                <c:pt idx="0">
                  <c:v>Outras espécies</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edit!$B$1:$F$1</c:f>
              <c:numCache>
                <c:formatCode>General</c:formatCode>
                <c:ptCount val="5"/>
                <c:pt idx="0">
                  <c:v>2019</c:v>
                </c:pt>
                <c:pt idx="1">
                  <c:v>2020</c:v>
                </c:pt>
                <c:pt idx="2">
                  <c:v>2021</c:v>
                </c:pt>
                <c:pt idx="3">
                  <c:v>2022</c:v>
                </c:pt>
                <c:pt idx="4">
                  <c:v>2023</c:v>
                </c:pt>
              </c:numCache>
            </c:numRef>
          </c:cat>
          <c:val>
            <c:numRef>
              <c:f>edit!$B$4:$F$4</c:f>
              <c:numCache>
                <c:formatCode>#,##0_);\(#,##0\)</c:formatCode>
                <c:ptCount val="5"/>
                <c:pt idx="0">
                  <c:v>386349</c:v>
                </c:pt>
                <c:pt idx="1">
                  <c:v>355217</c:v>
                </c:pt>
                <c:pt idx="2">
                  <c:v>380253</c:v>
                </c:pt>
                <c:pt idx="3">
                  <c:v>374167</c:v>
                </c:pt>
                <c:pt idx="4">
                  <c:v>357577</c:v>
                </c:pt>
              </c:numCache>
            </c:numRef>
          </c:val>
          <c:extLst>
            <c:ext xmlns:c16="http://schemas.microsoft.com/office/drawing/2014/chart" uri="{C3380CC4-5D6E-409C-BE32-E72D297353CC}">
              <c16:uniqueId val="{00000002-481B-4B05-B7E9-ACFA9C7F3A35}"/>
            </c:ext>
          </c:extLst>
        </c:ser>
        <c:dLbls>
          <c:dLblPos val="ctr"/>
          <c:showLegendKey val="0"/>
          <c:showVal val="1"/>
          <c:showCatName val="0"/>
          <c:showSerName val="0"/>
          <c:showPercent val="0"/>
          <c:showBubbleSize val="0"/>
        </c:dLbls>
        <c:gapWidth val="79"/>
        <c:overlap val="100"/>
        <c:axId val="502608080"/>
        <c:axId val="502619056"/>
      </c:barChart>
      <c:catAx>
        <c:axId val="50260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02619056"/>
        <c:crosses val="autoZero"/>
        <c:auto val="1"/>
        <c:lblAlgn val="ctr"/>
        <c:lblOffset val="100"/>
        <c:noMultiLvlLbl val="0"/>
      </c:catAx>
      <c:valAx>
        <c:axId val="502619056"/>
        <c:scaling>
          <c:orientation val="minMax"/>
        </c:scaling>
        <c:delete val="0"/>
        <c:axPos val="l"/>
        <c:title>
          <c:tx>
            <c:rich>
              <a:bodyPr rot="-540000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pt-BR" cap="none"/>
                  <a:t>m³</a:t>
                </a:r>
                <a:r>
                  <a:rPr lang="pt-BR" cap="none" baseline="0"/>
                  <a:t> </a:t>
                </a:r>
                <a:r>
                  <a:rPr lang="pt-BR" cap="none"/>
                  <a:t>ano</a:t>
                </a:r>
                <a:r>
                  <a:rPr lang="pt-BR" cap="none" baseline="30000"/>
                  <a:t>-1</a:t>
                </a:r>
                <a:endParaRPr lang="pt-BR" cap="none"/>
              </a:p>
            </c:rich>
          </c:tx>
          <c:overlay val="0"/>
          <c:spPr>
            <a:noFill/>
            <a:ln>
              <a:noFill/>
            </a:ln>
            <a:effectLst/>
          </c:spPr>
          <c:txPr>
            <a:bodyPr rot="-540000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_);\(#,##0\)" sourceLinked="1"/>
        <c:majorTickMark val="out"/>
        <c:minorTickMark val="none"/>
        <c:tickLblPos val="none"/>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0260808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Entry>
      <c:legendEntry>
        <c:idx val="1"/>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Entry>
      <c:legendEntry>
        <c:idx val="2"/>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Entry>
      <c:layout>
        <c:manualLayout>
          <c:xMode val="edge"/>
          <c:yMode val="edge"/>
          <c:x val="0.28686916872617202"/>
          <c:y val="0.90875289382392899"/>
          <c:w val="0.41770086293170189"/>
          <c:h val="5.7172448038589771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0"/>
    <c:dispBlanksAs val="gap"/>
    <c:showDLblsOverMax val="0"/>
  </c:chart>
  <c:spPr>
    <a:solidFill>
      <a:schemeClr val="lt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edit!$A$12</c:f>
              <c:strCache>
                <c:ptCount val="1"/>
                <c:pt idx="0">
                  <c:v>Eucalipto</c:v>
                </c:pt>
              </c:strCache>
            </c:strRef>
          </c:tx>
          <c:spPr>
            <a:solidFill>
              <a:schemeClr val="accent3">
                <a:shade val="65000"/>
              </a:schemeClr>
            </a:solidFill>
            <a:ln>
              <a:noFill/>
            </a:ln>
            <a:effectLst/>
          </c:spPr>
          <c:invertIfNegative val="0"/>
          <c:dLbls>
            <c:delete val="1"/>
          </c:dLbls>
          <c:cat>
            <c:numRef>
              <c:f>edit!$B$1:$F$1</c:f>
              <c:numCache>
                <c:formatCode>General</c:formatCode>
                <c:ptCount val="5"/>
                <c:pt idx="0">
                  <c:v>2019</c:v>
                </c:pt>
                <c:pt idx="1">
                  <c:v>2020</c:v>
                </c:pt>
                <c:pt idx="2">
                  <c:v>2021</c:v>
                </c:pt>
                <c:pt idx="3">
                  <c:v>2022</c:v>
                </c:pt>
                <c:pt idx="4">
                  <c:v>2023</c:v>
                </c:pt>
              </c:numCache>
            </c:numRef>
          </c:cat>
          <c:val>
            <c:numRef>
              <c:f>edit!$B$12:$F$12</c:f>
              <c:numCache>
                <c:formatCode>#,##0.00</c:formatCode>
                <c:ptCount val="5"/>
                <c:pt idx="0">
                  <c:v>32434</c:v>
                </c:pt>
                <c:pt idx="1">
                  <c:v>32583</c:v>
                </c:pt>
                <c:pt idx="2">
                  <c:v>27427</c:v>
                </c:pt>
                <c:pt idx="3">
                  <c:v>25182</c:v>
                </c:pt>
                <c:pt idx="4">
                  <c:v>25701</c:v>
                </c:pt>
              </c:numCache>
            </c:numRef>
          </c:val>
          <c:extLst>
            <c:ext xmlns:c16="http://schemas.microsoft.com/office/drawing/2014/chart" uri="{C3380CC4-5D6E-409C-BE32-E72D297353CC}">
              <c16:uniqueId val="{00000000-9C5B-494C-AFE1-05E0667697D8}"/>
            </c:ext>
          </c:extLst>
        </c:ser>
        <c:ser>
          <c:idx val="1"/>
          <c:order val="1"/>
          <c:tx>
            <c:strRef>
              <c:f>edit!$A$13</c:f>
              <c:strCache>
                <c:ptCount val="1"/>
                <c:pt idx="0">
                  <c:v>Pinus</c:v>
                </c:pt>
              </c:strCache>
            </c:strRef>
          </c:tx>
          <c:spPr>
            <a:solidFill>
              <a:schemeClr val="accent3"/>
            </a:solidFill>
            <a:ln>
              <a:noFill/>
            </a:ln>
            <a:effectLst/>
          </c:spPr>
          <c:invertIfNegative val="0"/>
          <c:dLbls>
            <c:delete val="1"/>
          </c:dLbls>
          <c:cat>
            <c:numRef>
              <c:f>edit!$B$1:$F$1</c:f>
              <c:numCache>
                <c:formatCode>General</c:formatCode>
                <c:ptCount val="5"/>
                <c:pt idx="0">
                  <c:v>2019</c:v>
                </c:pt>
                <c:pt idx="1">
                  <c:v>2020</c:v>
                </c:pt>
                <c:pt idx="2">
                  <c:v>2021</c:v>
                </c:pt>
                <c:pt idx="3">
                  <c:v>2022</c:v>
                </c:pt>
                <c:pt idx="4">
                  <c:v>2023</c:v>
                </c:pt>
              </c:numCache>
            </c:numRef>
          </c:cat>
          <c:val>
            <c:numRef>
              <c:f>edit!$B$13:$F$13</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9C5B-494C-AFE1-05E0667697D8}"/>
            </c:ext>
          </c:extLst>
        </c:ser>
        <c:ser>
          <c:idx val="2"/>
          <c:order val="2"/>
          <c:tx>
            <c:strRef>
              <c:f>edit!$A$14</c:f>
              <c:strCache>
                <c:ptCount val="1"/>
                <c:pt idx="0">
                  <c:v>Outras espécies</c:v>
                </c:pt>
              </c:strCache>
            </c:strRef>
          </c:tx>
          <c:spPr>
            <a:solidFill>
              <a:schemeClr val="accent3">
                <a:tint val="65000"/>
              </a:schemeClr>
            </a:solidFill>
            <a:ln>
              <a:noFill/>
            </a:ln>
            <a:effectLst/>
          </c:spPr>
          <c:invertIfNegative val="0"/>
          <c:dLbls>
            <c:delete val="1"/>
          </c:dLbls>
          <c:cat>
            <c:numRef>
              <c:f>edit!$B$1:$F$1</c:f>
              <c:numCache>
                <c:formatCode>General</c:formatCode>
                <c:ptCount val="5"/>
                <c:pt idx="0">
                  <c:v>2019</c:v>
                </c:pt>
                <c:pt idx="1">
                  <c:v>2020</c:v>
                </c:pt>
                <c:pt idx="2">
                  <c:v>2021</c:v>
                </c:pt>
                <c:pt idx="3">
                  <c:v>2022</c:v>
                </c:pt>
                <c:pt idx="4">
                  <c:v>2023</c:v>
                </c:pt>
              </c:numCache>
            </c:numRef>
          </c:cat>
          <c:val>
            <c:numRef>
              <c:f>edit!$B$14:$F$14</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9C5B-494C-AFE1-05E0667697D8}"/>
            </c:ext>
          </c:extLst>
        </c:ser>
        <c:dLbls>
          <c:dLblPos val="ctr"/>
          <c:showLegendKey val="0"/>
          <c:showVal val="1"/>
          <c:showCatName val="0"/>
          <c:showSerName val="0"/>
          <c:showPercent val="0"/>
          <c:showBubbleSize val="0"/>
        </c:dLbls>
        <c:gapWidth val="79"/>
        <c:overlap val="100"/>
        <c:axId val="502610824"/>
        <c:axId val="502607296"/>
      </c:barChart>
      <c:catAx>
        <c:axId val="502610824"/>
        <c:scaling>
          <c:orientation val="minMax"/>
        </c:scaling>
        <c:delete val="0"/>
        <c:axPos val="b"/>
        <c:title>
          <c:tx>
            <c:rich>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pt-BR" cap="none"/>
                  <a:t>Ano</a:t>
                </a:r>
              </a:p>
            </c:rich>
          </c:tx>
          <c:overlay val="0"/>
          <c:spPr>
            <a:noFill/>
            <a:ln>
              <a:noFill/>
            </a:ln>
            <a:effectLst/>
          </c:spPr>
          <c:txPr>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02607296"/>
        <c:crosses val="autoZero"/>
        <c:auto val="1"/>
        <c:lblAlgn val="ctr"/>
        <c:lblOffset val="100"/>
        <c:noMultiLvlLbl val="0"/>
      </c:catAx>
      <c:valAx>
        <c:axId val="50260729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rPr>
                  <a:t>m³ ano</a:t>
                </a:r>
                <a:r>
                  <a:rPr lang="pt-BR" sz="1000" b="1" i="0" u="none" strike="noStrike" kern="1200" cap="none" baseline="30000">
                    <a:solidFill>
                      <a:sysClr val="windowText" lastClr="000000"/>
                    </a:solidFill>
                    <a:effectLst/>
                    <a:latin typeface="Times New Roman" panose="02020603050405020304" pitchFamily="18" charset="0"/>
                    <a:cs typeface="Times New Roman" panose="02020603050405020304" pitchFamily="18" charset="0"/>
                  </a:rPr>
                  <a:t>-1</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0261082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0"/>
    <c:dispBlanksAs val="gap"/>
    <c:showDLblsOverMax val="0"/>
  </c:chart>
  <c:spPr>
    <a:solidFill>
      <a:schemeClr val="lt1"/>
    </a:solidFill>
    <a:ln w="9525" cap="flat" cmpd="sng" algn="ctr">
      <a:solidFill>
        <a:schemeClr val="bg1"/>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Planilha1!$B$2</c:f>
              <c:strCache>
                <c:ptCount val="1"/>
                <c:pt idx="0">
                  <c:v>Elesbão Veloso (PI)</c:v>
                </c:pt>
              </c:strCache>
            </c:strRef>
          </c:tx>
          <c:spPr>
            <a:solidFill>
              <a:schemeClr val="accent3">
                <a:shade val="53000"/>
              </a:schemeClr>
            </a:solidFill>
            <a:ln>
              <a:noFill/>
            </a:ln>
            <a:effectLst/>
          </c:spPr>
          <c:invertIfNegative val="0"/>
          <c:dLbls>
            <c:delete val="1"/>
          </c:dLbls>
          <c:cat>
            <c:numRef>
              <c:f>Planilha1!$C$1:$G$1</c:f>
              <c:numCache>
                <c:formatCode>General</c:formatCode>
                <c:ptCount val="5"/>
                <c:pt idx="0">
                  <c:v>2019</c:v>
                </c:pt>
                <c:pt idx="1">
                  <c:v>2020</c:v>
                </c:pt>
                <c:pt idx="2">
                  <c:v>2021</c:v>
                </c:pt>
                <c:pt idx="3">
                  <c:v>2022</c:v>
                </c:pt>
                <c:pt idx="4">
                  <c:v>2023</c:v>
                </c:pt>
              </c:numCache>
            </c:numRef>
          </c:cat>
          <c:val>
            <c:numRef>
              <c:f>Planilha1!$C$2:$G$2</c:f>
              <c:numCache>
                <c:formatCode>General</c:formatCode>
                <c:ptCount val="5"/>
                <c:pt idx="0">
                  <c:v>6762</c:v>
                </c:pt>
                <c:pt idx="1">
                  <c:v>6762</c:v>
                </c:pt>
                <c:pt idx="2">
                  <c:v>4519</c:v>
                </c:pt>
                <c:pt idx="3">
                  <c:v>3451</c:v>
                </c:pt>
                <c:pt idx="4">
                  <c:v>3784</c:v>
                </c:pt>
              </c:numCache>
            </c:numRef>
          </c:val>
          <c:extLst>
            <c:ext xmlns:c16="http://schemas.microsoft.com/office/drawing/2014/chart" uri="{C3380CC4-5D6E-409C-BE32-E72D297353CC}">
              <c16:uniqueId val="{00000000-FD4C-423F-8E70-790C1B1448C4}"/>
            </c:ext>
          </c:extLst>
        </c:ser>
        <c:ser>
          <c:idx val="1"/>
          <c:order val="1"/>
          <c:tx>
            <c:strRef>
              <c:f>Planilha1!$B$3</c:f>
              <c:strCache>
                <c:ptCount val="1"/>
                <c:pt idx="0">
                  <c:v>Passagem Franca do Piauí (PI)</c:v>
                </c:pt>
              </c:strCache>
            </c:strRef>
          </c:tx>
          <c:spPr>
            <a:solidFill>
              <a:schemeClr val="accent3">
                <a:shade val="76000"/>
              </a:schemeClr>
            </a:solidFill>
            <a:ln>
              <a:noFill/>
            </a:ln>
            <a:effectLst/>
          </c:spPr>
          <c:invertIfNegative val="0"/>
          <c:dLbls>
            <c:delete val="1"/>
          </c:dLbls>
          <c:cat>
            <c:numRef>
              <c:f>Planilha1!$C$1:$G$1</c:f>
              <c:numCache>
                <c:formatCode>General</c:formatCode>
                <c:ptCount val="5"/>
                <c:pt idx="0">
                  <c:v>2019</c:v>
                </c:pt>
                <c:pt idx="1">
                  <c:v>2020</c:v>
                </c:pt>
                <c:pt idx="2">
                  <c:v>2021</c:v>
                </c:pt>
                <c:pt idx="3">
                  <c:v>2022</c:v>
                </c:pt>
                <c:pt idx="4">
                  <c:v>2023</c:v>
                </c:pt>
              </c:numCache>
            </c:numRef>
          </c:cat>
          <c:val>
            <c:numRef>
              <c:f>Planilha1!$C$3:$G$3</c:f>
              <c:numCache>
                <c:formatCode>General</c:formatCode>
                <c:ptCount val="5"/>
                <c:pt idx="0">
                  <c:v>3870</c:v>
                </c:pt>
                <c:pt idx="1">
                  <c:v>3870</c:v>
                </c:pt>
                <c:pt idx="2">
                  <c:v>3204</c:v>
                </c:pt>
                <c:pt idx="3">
                  <c:v>3204</c:v>
                </c:pt>
                <c:pt idx="4">
                  <c:v>4167</c:v>
                </c:pt>
              </c:numCache>
            </c:numRef>
          </c:val>
          <c:extLst>
            <c:ext xmlns:c16="http://schemas.microsoft.com/office/drawing/2014/chart" uri="{C3380CC4-5D6E-409C-BE32-E72D297353CC}">
              <c16:uniqueId val="{00000001-FD4C-423F-8E70-790C1B1448C4}"/>
            </c:ext>
          </c:extLst>
        </c:ser>
        <c:ser>
          <c:idx val="2"/>
          <c:order val="2"/>
          <c:tx>
            <c:strRef>
              <c:f>Planilha1!$B$4</c:f>
              <c:strCache>
                <c:ptCount val="1"/>
                <c:pt idx="0">
                  <c:v>Regeneração (PI)</c:v>
                </c:pt>
              </c:strCache>
            </c:strRef>
          </c:tx>
          <c:spPr>
            <a:solidFill>
              <a:schemeClr val="accent3"/>
            </a:solidFill>
            <a:ln>
              <a:noFill/>
            </a:ln>
            <a:effectLst/>
          </c:spPr>
          <c:invertIfNegative val="0"/>
          <c:dLbls>
            <c:delete val="1"/>
          </c:dLbls>
          <c:cat>
            <c:numRef>
              <c:f>Planilha1!$C$1:$G$1</c:f>
              <c:numCache>
                <c:formatCode>General</c:formatCode>
                <c:ptCount val="5"/>
                <c:pt idx="0">
                  <c:v>2019</c:v>
                </c:pt>
                <c:pt idx="1">
                  <c:v>2020</c:v>
                </c:pt>
                <c:pt idx="2">
                  <c:v>2021</c:v>
                </c:pt>
                <c:pt idx="3">
                  <c:v>2022</c:v>
                </c:pt>
                <c:pt idx="4">
                  <c:v>2023</c:v>
                </c:pt>
              </c:numCache>
            </c:numRef>
          </c:cat>
          <c:val>
            <c:numRef>
              <c:f>Planilha1!$C$4:$G$4</c:f>
              <c:numCache>
                <c:formatCode>General</c:formatCode>
                <c:ptCount val="5"/>
                <c:pt idx="0">
                  <c:v>2675</c:v>
                </c:pt>
                <c:pt idx="1">
                  <c:v>2170</c:v>
                </c:pt>
                <c:pt idx="2">
                  <c:v>970</c:v>
                </c:pt>
                <c:pt idx="3">
                  <c:v>1527</c:v>
                </c:pt>
                <c:pt idx="4">
                  <c:v>1585</c:v>
                </c:pt>
              </c:numCache>
            </c:numRef>
          </c:val>
          <c:extLst>
            <c:ext xmlns:c16="http://schemas.microsoft.com/office/drawing/2014/chart" uri="{C3380CC4-5D6E-409C-BE32-E72D297353CC}">
              <c16:uniqueId val="{00000002-FD4C-423F-8E70-790C1B1448C4}"/>
            </c:ext>
          </c:extLst>
        </c:ser>
        <c:ser>
          <c:idx val="3"/>
          <c:order val="3"/>
          <c:tx>
            <c:strRef>
              <c:f>Planilha1!$B$5</c:f>
              <c:strCache>
                <c:ptCount val="1"/>
                <c:pt idx="0">
                  <c:v>Uruçuí (PI)</c:v>
                </c:pt>
              </c:strCache>
            </c:strRef>
          </c:tx>
          <c:spPr>
            <a:solidFill>
              <a:schemeClr val="accent3">
                <a:tint val="77000"/>
              </a:schemeClr>
            </a:solidFill>
            <a:ln>
              <a:noFill/>
            </a:ln>
            <a:effectLst/>
          </c:spPr>
          <c:invertIfNegative val="0"/>
          <c:dLbls>
            <c:delete val="1"/>
          </c:dLbls>
          <c:cat>
            <c:numRef>
              <c:f>Planilha1!$C$1:$G$1</c:f>
              <c:numCache>
                <c:formatCode>General</c:formatCode>
                <c:ptCount val="5"/>
                <c:pt idx="0">
                  <c:v>2019</c:v>
                </c:pt>
                <c:pt idx="1">
                  <c:v>2020</c:v>
                </c:pt>
                <c:pt idx="2">
                  <c:v>2021</c:v>
                </c:pt>
                <c:pt idx="3">
                  <c:v>2022</c:v>
                </c:pt>
                <c:pt idx="4">
                  <c:v>2023</c:v>
                </c:pt>
              </c:numCache>
            </c:numRef>
          </c:cat>
          <c:val>
            <c:numRef>
              <c:f>Planilha1!$C$5:$G$5</c:f>
              <c:numCache>
                <c:formatCode>General</c:formatCode>
                <c:ptCount val="5"/>
                <c:pt idx="0">
                  <c:v>3659</c:v>
                </c:pt>
                <c:pt idx="1">
                  <c:v>3659</c:v>
                </c:pt>
                <c:pt idx="2">
                  <c:v>3659</c:v>
                </c:pt>
                <c:pt idx="3">
                  <c:v>2259</c:v>
                </c:pt>
                <c:pt idx="4">
                  <c:v>2259</c:v>
                </c:pt>
              </c:numCache>
            </c:numRef>
          </c:val>
          <c:extLst>
            <c:ext xmlns:c16="http://schemas.microsoft.com/office/drawing/2014/chart" uri="{C3380CC4-5D6E-409C-BE32-E72D297353CC}">
              <c16:uniqueId val="{00000003-FD4C-423F-8E70-790C1B1448C4}"/>
            </c:ext>
          </c:extLst>
        </c:ser>
        <c:ser>
          <c:idx val="4"/>
          <c:order val="4"/>
          <c:tx>
            <c:strRef>
              <c:f>Planilha1!$B$6</c:f>
              <c:strCache>
                <c:ptCount val="1"/>
                <c:pt idx="0">
                  <c:v>Antônio Almeida (PI)</c:v>
                </c:pt>
              </c:strCache>
            </c:strRef>
          </c:tx>
          <c:spPr>
            <a:solidFill>
              <a:schemeClr val="accent3">
                <a:tint val="54000"/>
              </a:schemeClr>
            </a:solidFill>
            <a:ln>
              <a:noFill/>
            </a:ln>
            <a:effectLst/>
          </c:spPr>
          <c:invertIfNegative val="0"/>
          <c:dLbls>
            <c:delete val="1"/>
          </c:dLbls>
          <c:cat>
            <c:numRef>
              <c:f>Planilha1!$C$1:$G$1</c:f>
              <c:numCache>
                <c:formatCode>General</c:formatCode>
                <c:ptCount val="5"/>
                <c:pt idx="0">
                  <c:v>2019</c:v>
                </c:pt>
                <c:pt idx="1">
                  <c:v>2020</c:v>
                </c:pt>
                <c:pt idx="2">
                  <c:v>2021</c:v>
                </c:pt>
                <c:pt idx="3">
                  <c:v>2022</c:v>
                </c:pt>
                <c:pt idx="4">
                  <c:v>2023</c:v>
                </c:pt>
              </c:numCache>
            </c:numRef>
          </c:cat>
          <c:val>
            <c:numRef>
              <c:f>Planilha1!$C$6:$G$6</c:f>
              <c:numCache>
                <c:formatCode>General</c:formatCode>
                <c:ptCount val="5"/>
                <c:pt idx="0">
                  <c:v>3600</c:v>
                </c:pt>
                <c:pt idx="1">
                  <c:v>3500</c:v>
                </c:pt>
                <c:pt idx="2">
                  <c:v>3000</c:v>
                </c:pt>
                <c:pt idx="3">
                  <c:v>2100</c:v>
                </c:pt>
                <c:pt idx="4">
                  <c:v>1660</c:v>
                </c:pt>
              </c:numCache>
            </c:numRef>
          </c:val>
          <c:extLst>
            <c:ext xmlns:c16="http://schemas.microsoft.com/office/drawing/2014/chart" uri="{C3380CC4-5D6E-409C-BE32-E72D297353CC}">
              <c16:uniqueId val="{00000004-FD4C-423F-8E70-790C1B1448C4}"/>
            </c:ext>
          </c:extLst>
        </c:ser>
        <c:dLbls>
          <c:dLblPos val="outEnd"/>
          <c:showLegendKey val="0"/>
          <c:showVal val="1"/>
          <c:showCatName val="0"/>
          <c:showSerName val="0"/>
          <c:showPercent val="0"/>
          <c:showBubbleSize val="0"/>
        </c:dLbls>
        <c:gapWidth val="300"/>
        <c:overlap val="-30"/>
        <c:axId val="502613568"/>
        <c:axId val="502609256"/>
      </c:barChart>
      <c:catAx>
        <c:axId val="502613568"/>
        <c:scaling>
          <c:orientation val="minMax"/>
        </c:scaling>
        <c:delete val="0"/>
        <c:axPos val="b"/>
        <c:title>
          <c:tx>
            <c:rich>
              <a:bodyPr rot="0" spcFirstLastPara="1" vertOverflow="ellipsis" vert="horz" wrap="square" anchor="ctr" anchorCtr="1"/>
              <a:lstStyle/>
              <a:p>
                <a:pPr>
                  <a:defRPr lang="pt-B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pt-BR" cap="none"/>
                  <a:t>Ano</a:t>
                </a:r>
              </a:p>
            </c:rich>
          </c:tx>
          <c:overlay val="0"/>
          <c:spPr>
            <a:noFill/>
            <a:ln>
              <a:noFill/>
            </a:ln>
            <a:effectLst/>
          </c:spPr>
          <c:txPr>
            <a:bodyPr rot="0" spcFirstLastPara="1" vertOverflow="ellipsis" vert="horz" wrap="square" anchor="ctr" anchorCtr="1"/>
            <a:lstStyle/>
            <a:p>
              <a:pPr>
                <a:defRPr lang="pt-B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02609256"/>
        <c:crosses val="autoZero"/>
        <c:auto val="1"/>
        <c:lblAlgn val="ctr"/>
        <c:lblOffset val="100"/>
        <c:noMultiLvlLbl val="0"/>
      </c:catAx>
      <c:valAx>
        <c:axId val="50260925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pt-BR" sz="1000" b="1"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rPr>
                  <a:t>m³ ano</a:t>
                </a:r>
                <a:r>
                  <a:rPr lang="pt-BR" sz="1000" b="1" i="0" u="none" strike="noStrike" kern="1200" cap="none" baseline="30000">
                    <a:solidFill>
                      <a:sysClr val="windowText" lastClr="000000"/>
                    </a:solidFill>
                    <a:effectLst/>
                    <a:latin typeface="Times New Roman" panose="02020603050405020304" pitchFamily="18" charset="0"/>
                    <a:cs typeface="Times New Roman" panose="02020603050405020304" pitchFamily="18" charset="0"/>
                  </a:rPr>
                  <a:t>-1</a:t>
                </a:r>
              </a:p>
              <a:p>
                <a:pPr marL="0" marR="0" lvl="0" indent="0" algn="ctr" defTabSz="914400" rtl="0" eaLnBrk="1" fontAlgn="auto" latinLnBrk="0" hangingPunct="1">
                  <a:lnSpc>
                    <a:spcPct val="100000"/>
                  </a:lnSpc>
                  <a:spcBef>
                    <a:spcPts val="0"/>
                  </a:spcBef>
                  <a:spcAft>
                    <a:spcPts val="0"/>
                  </a:spcAft>
                  <a:buClrTx/>
                  <a:buSzTx/>
                  <a:buFontTx/>
                  <a:buNone/>
                  <a:tabLst/>
                  <a:defRPr/>
                </a:pPr>
                <a:endParaRPr lang="pt-B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502613568"/>
        <c:crosses val="autoZero"/>
        <c:crossBetween val="between"/>
      </c:valAx>
      <c:spPr>
        <a:noFill/>
        <a:ln>
          <a:solidFill>
            <a:schemeClr val="bg1">
              <a:alpha val="96000"/>
            </a:schemeClr>
          </a:solidFill>
        </a:ln>
        <a:effectLst/>
      </c:spPr>
    </c:plotArea>
    <c:legend>
      <c:legendPos val="b"/>
      <c:layout>
        <c:manualLayout>
          <c:xMode val="edge"/>
          <c:yMode val="edge"/>
          <c:x val="7.9884254137654279E-2"/>
          <c:y val="0.65616064751682579"/>
          <c:w val="0.89753159367475754"/>
          <c:h val="0.3065954046247012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lt1"/>
    </a:solidFill>
    <a:ln w="9525" cap="flat" cmpd="sng" algn="ctr">
      <a:solidFill>
        <a:schemeClr val="bg1"/>
      </a:solidFill>
      <a:round/>
    </a:ln>
    <a:effectLst/>
  </c:spPr>
  <c:txPr>
    <a:bodyPr/>
    <a:lstStyle/>
    <a:p>
      <a:pPr>
        <a:defRPr sz="1000" b="1" i="0">
          <a:solidFill>
            <a:sysClr val="windowText" lastClr="000000"/>
          </a:solidFill>
          <a:latin typeface="Times New Roman" panose="02020603050405020304" pitchFamily="18"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513A31D-06F4-4DB6-B854-F458063BA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1967</Words>
  <Characters>10625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wil</cp:lastModifiedBy>
  <cp:revision>5</cp:revision>
  <cp:lastPrinted>2025-06-10T19:47:00Z</cp:lastPrinted>
  <dcterms:created xsi:type="dcterms:W3CDTF">2025-07-22T12:49:00Z</dcterms:created>
  <dcterms:modified xsi:type="dcterms:W3CDTF">2025-08-04T15:56:00Z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