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SELEÇÃO DE INDIVÍDUOS INERMES DE </w:t>
      </w:r>
      <w:r w:rsidDel="00000000" w:rsidR="00000000" w:rsidRPr="00000000">
        <w:rPr>
          <w:b w:val="1"/>
          <w:i w:val="1"/>
          <w:sz w:val="24"/>
          <w:szCs w:val="24"/>
          <w:rtl w:val="0"/>
        </w:rPr>
        <w:t xml:space="preserve">Erythrina velutina</w:t>
      </w:r>
      <w:r w:rsidDel="00000000" w:rsidR="00000000" w:rsidRPr="00000000">
        <w:rPr>
          <w:b w:val="1"/>
          <w:sz w:val="24"/>
          <w:szCs w:val="24"/>
          <w:rtl w:val="0"/>
        </w:rPr>
        <w:t xml:space="preserve"> (Mulungu) PARA A COMPOSIÇÃO DE UM MINIJARDIM SEMINAL</w:t>
      </w:r>
    </w:p>
    <w:p w:rsidR="00000000" w:rsidDel="00000000" w:rsidP="00000000" w:rsidRDefault="00000000" w:rsidRPr="00000000" w14:paraId="00000002">
      <w:pPr>
        <w:widowControl w:val="1"/>
        <w:jc w:val="center"/>
        <w:rPr>
          <w:b w:val="1"/>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spacing w:line="276" w:lineRule="auto"/>
        <w:ind w:left="221" w:right="214" w:firstLine="0"/>
        <w:jc w:val="center"/>
        <w:rPr>
          <w:b w:val="1"/>
          <w:sz w:val="20"/>
          <w:szCs w:val="20"/>
        </w:rPr>
      </w:pPr>
      <w:r w:rsidDel="00000000" w:rsidR="00000000" w:rsidRPr="00000000">
        <w:rPr>
          <w:b w:val="1"/>
          <w:sz w:val="20"/>
          <w:szCs w:val="20"/>
          <w:rtl w:val="0"/>
        </w:rPr>
        <w:t xml:space="preserve">Sabrina Cristiane Praxedes Targino¹, Mikael Fagner Oliveira Duarte¹, Poliana Coqueiro Dias Araujo¹</w:t>
      </w:r>
    </w:p>
    <w:p w:rsidR="00000000" w:rsidDel="00000000" w:rsidP="00000000" w:rsidRDefault="00000000" w:rsidRPr="00000000" w14:paraId="00000004">
      <w:pPr>
        <w:spacing w:line="276" w:lineRule="auto"/>
        <w:ind w:left="221" w:right="214" w:firstLine="0"/>
        <w:jc w:val="center"/>
        <w:rPr>
          <w:sz w:val="20"/>
          <w:szCs w:val="20"/>
        </w:rPr>
      </w:pPr>
      <w:r w:rsidDel="00000000" w:rsidR="00000000" w:rsidRPr="00000000">
        <w:rPr>
          <w:sz w:val="20"/>
          <w:szCs w:val="20"/>
          <w:rtl w:val="0"/>
        </w:rPr>
        <w:t xml:space="preserve">Universidade Federal Rural do Semi-Árido, Departamento de Ciências Agronômicas e Florestais¹</w:t>
      </w:r>
    </w:p>
    <w:p w:rsidR="00000000" w:rsidDel="00000000" w:rsidP="00000000" w:rsidRDefault="00000000" w:rsidRPr="00000000" w14:paraId="00000005">
      <w:pPr>
        <w:spacing w:line="276" w:lineRule="auto"/>
        <w:ind w:left="221" w:right="214" w:firstLine="0"/>
        <w:jc w:val="center"/>
        <w:rPr>
          <w:sz w:val="20"/>
          <w:szCs w:val="20"/>
        </w:rPr>
      </w:pPr>
      <w:bookmarkStart w:colFirst="0" w:colLast="0" w:name="_heading=h.yp96iwu2o7wg" w:id="1"/>
      <w:bookmarkEnd w:id="1"/>
      <w:r w:rsidDel="00000000" w:rsidR="00000000" w:rsidRPr="00000000">
        <w:rPr>
          <w:sz w:val="20"/>
          <w:szCs w:val="20"/>
          <w:rtl w:val="0"/>
        </w:rPr>
        <w:t xml:space="preserve">sabrina.targino@alunos.ufersa.edu.br</w:t>
      </w:r>
    </w:p>
    <w:p w:rsidR="00000000" w:rsidDel="00000000" w:rsidP="00000000" w:rsidRDefault="00000000" w:rsidRPr="00000000" w14:paraId="00000006">
      <w:pPr>
        <w:jc w:val="center"/>
        <w:rPr>
          <w:sz w:val="20"/>
          <w:szCs w:val="20"/>
        </w:rPr>
      </w:pPr>
      <w:r w:rsidDel="00000000" w:rsidR="00000000" w:rsidRPr="00000000">
        <w:rPr>
          <w:sz w:val="20"/>
          <w:szCs w:val="20"/>
          <w:rtl w:val="0"/>
        </w:rPr>
        <w:t xml:space="preserve">__________________________________________________________________________________________</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RESUMO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arborização urbana com espécies nativas é frequentemente limitada pela presença de acúleos em muitas espécies da Caatinga. Embora essas estruturas desempenhem função de defesa contra herbivoria, também dificultam o manejo e comprometem a segurança de pedestres e animais domésticos. Este trabalho teve como objetivo selecionar genótipos sem acúleos de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Erythrina velutina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utilizando-os como minicepas para a produção de mudas por meio da técnica de miniestaquia, visando à sua aplicação em áreas urbanas. Foram semeadas 400 sementes de três matrizes provenientes da arborização do campus da UFERSA, previamente escarificadas e cultivadas em viveiro. Das sementes, germinaram 331 plântulas, cuja emissão de acúleos foi avaliada quinzenalmente. Apenas 20 indivíduos (6%) não apresentaram acúleos e foram selecionados, juntamente com outros 20 com acúleos bem desenvolvidos, para a instalação de um minijardim seminal. Após a decepa, observou-se 100% de sobrevivência das minicepas; no entanto, sete indivíduos inicialmente inermes passaram a apresentar acúleos após a poda. A média de brotações emitidas em canaletões de areia não diferiu entre os grupos, com 1,6 para fenótipos inermes e 1,7 para fenótipos aculeados. A baixa frequência do fenótipo sem acúleos reforça a necessidade de seleção criteriosa e manejo cuidadoso para a multiplicação clonal desses genótipos. A seleção de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 velutina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isenta de acúleos demonstrou ser uma estratégia promissora para a produção de mudas voltadas à arborização urbana, contribuindo para ambientes urbanos mais seguros, biodiversos e alinhados à flora nativa.</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Palavras-chave:</w:t>
      </w:r>
      <w:r w:rsidDel="00000000" w:rsidR="00000000" w:rsidRPr="00000000">
        <w:rPr>
          <w:rFonts w:ascii="Quattrocento Sans" w:cs="Quattrocento Sans" w:eastAsia="Quattrocento Sans" w:hAnsi="Quattrocento Sans"/>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Arborização urbana, Miniestaquia, Propagação vegetativa, Seleção fenotípica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INTRODUÇÃO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B">
      <w:pPr>
        <w:ind w:firstLine="720"/>
        <w:jc w:val="both"/>
        <w:rPr>
          <w:sz w:val="20"/>
          <w:szCs w:val="20"/>
        </w:rPr>
      </w:pPr>
      <w:r w:rsidDel="00000000" w:rsidR="00000000" w:rsidRPr="00000000">
        <w:rPr>
          <w:sz w:val="20"/>
          <w:szCs w:val="20"/>
          <w:rtl w:val="0"/>
        </w:rPr>
        <w:t xml:space="preserve">A arborização urbana é um dos elementos naturais mais relevantes para a sustentabilidade das cidades, contribuindo para a melhoria da qualidade do ar, do solo e do microclima, além de mitigar os efeitos do calor urbano e aumentar a umidade relativa do ar por meio da evapotranspiração (De Oliveira et al., 2013).</w:t>
      </w:r>
    </w:p>
    <w:p w:rsidR="00000000" w:rsidDel="00000000" w:rsidP="00000000" w:rsidRDefault="00000000" w:rsidRPr="00000000" w14:paraId="0000000C">
      <w:pPr>
        <w:ind w:firstLine="708"/>
        <w:jc w:val="both"/>
        <w:rPr>
          <w:sz w:val="20"/>
          <w:szCs w:val="20"/>
        </w:rPr>
      </w:pPr>
      <w:r w:rsidDel="00000000" w:rsidR="00000000" w:rsidRPr="00000000">
        <w:rPr>
          <w:sz w:val="20"/>
          <w:szCs w:val="20"/>
          <w:rtl w:val="0"/>
        </w:rPr>
        <w:t xml:space="preserve">Entretanto, muitas espécies arbóreas nativas da Caatinga apresentam estruturas defensivas, como acúleos e espinhos, que, embora representem estratégias adaptativas contra a herbivoria, dificultam o manejo e aumentam os riscos de acidentes com pedestres e animais domésticos (Mocroski et al., 2024). Como consequência, a introdução de espécies nativas na arborização urbana tem sido limitada, sendo frequentemente substituídas por espécies exóticas. Essas, por sua vez, podem se estabelecer com facilidade, apresentar comportamento invasivo e comprometer a oferta de abrigo e alimento para polinizadores e dispersores locais, ameaçando a biodiversidade urbana e periférica (Rufino et al., 2019).</w:t>
      </w:r>
    </w:p>
    <w:p w:rsidR="00000000" w:rsidDel="00000000" w:rsidP="00000000" w:rsidRDefault="00000000" w:rsidRPr="00000000" w14:paraId="0000000D">
      <w:pPr>
        <w:ind w:firstLine="708"/>
        <w:jc w:val="both"/>
        <w:rPr>
          <w:sz w:val="20"/>
          <w:szCs w:val="20"/>
        </w:rPr>
      </w:pPr>
      <w:r w:rsidDel="00000000" w:rsidR="00000000" w:rsidRPr="00000000">
        <w:rPr>
          <w:sz w:val="20"/>
          <w:szCs w:val="20"/>
          <w:rtl w:val="0"/>
        </w:rPr>
        <w:t xml:space="preserve">Dentre as espécies nativas com potencial para a arborização urbana, destaca-se </w:t>
      </w:r>
      <w:r w:rsidDel="00000000" w:rsidR="00000000" w:rsidRPr="00000000">
        <w:rPr>
          <w:i w:val="1"/>
          <w:sz w:val="20"/>
          <w:szCs w:val="20"/>
          <w:rtl w:val="0"/>
        </w:rPr>
        <w:t xml:space="preserve">Erythrina velutina</w:t>
      </w:r>
      <w:r w:rsidDel="00000000" w:rsidR="00000000" w:rsidRPr="00000000">
        <w:rPr>
          <w:sz w:val="20"/>
          <w:szCs w:val="20"/>
          <w:rtl w:val="0"/>
        </w:rPr>
        <w:t xml:space="preserve"> Willd., conhecida popularmente como mulungu. Trata-se de uma árvore decídua e aculeada, pertencente à família Fabaceae, distribuída naturalmente na Caatinga, Mata Atlântica e Cerrado. Pode atingir até 15 metros de altura e 80 cm de DAP na fase adulta. Apresenta fuste reto ou levemente tortuoso, copa ampla e arredondada, folhas compostas trifoliadas com folíolos de formato triangular-ovalado, e inflorescências vistosas, com flores alaranjadas ou vermelho-rutilantes (Ramalho, 2008).</w:t>
      </w:r>
    </w:p>
    <w:p w:rsidR="00000000" w:rsidDel="00000000" w:rsidP="00000000" w:rsidRDefault="00000000" w:rsidRPr="00000000" w14:paraId="0000000E">
      <w:pPr>
        <w:ind w:firstLine="708"/>
        <w:jc w:val="both"/>
        <w:rPr>
          <w:sz w:val="20"/>
          <w:szCs w:val="20"/>
        </w:rPr>
      </w:pPr>
      <w:r w:rsidDel="00000000" w:rsidR="00000000" w:rsidRPr="00000000">
        <w:rPr>
          <w:sz w:val="20"/>
          <w:szCs w:val="20"/>
          <w:rtl w:val="0"/>
        </w:rPr>
        <w:t xml:space="preserve">Diante disso, o presente trabalho teve como objetivo selecionar fenótipos de </w:t>
      </w:r>
      <w:r w:rsidDel="00000000" w:rsidR="00000000" w:rsidRPr="00000000">
        <w:rPr>
          <w:i w:val="1"/>
          <w:sz w:val="20"/>
          <w:szCs w:val="20"/>
          <w:rtl w:val="0"/>
        </w:rPr>
        <w:t xml:space="preserve">E. velutina</w:t>
      </w:r>
      <w:r w:rsidDel="00000000" w:rsidR="00000000" w:rsidRPr="00000000">
        <w:rPr>
          <w:sz w:val="20"/>
          <w:szCs w:val="20"/>
          <w:rtl w:val="0"/>
        </w:rPr>
        <w:t xml:space="preserve"> isentos de acúleos e avaliá-los como minicepas para a produção clonal de mudas com vistas à utilização em programas de arborização urbana.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25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METODOLOGIA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1">
      <w:pPr>
        <w:ind w:firstLine="706"/>
        <w:jc w:val="both"/>
        <w:rPr>
          <w:sz w:val="20"/>
          <w:szCs w:val="20"/>
        </w:rPr>
      </w:pPr>
      <w:r w:rsidDel="00000000" w:rsidR="00000000" w:rsidRPr="00000000">
        <w:rPr>
          <w:sz w:val="20"/>
          <w:szCs w:val="20"/>
          <w:rtl w:val="0"/>
        </w:rPr>
        <w:t xml:space="preserve">As sementes de </w:t>
      </w:r>
      <w:r w:rsidDel="00000000" w:rsidR="00000000" w:rsidRPr="00000000">
        <w:rPr>
          <w:i w:val="1"/>
          <w:sz w:val="20"/>
          <w:szCs w:val="20"/>
          <w:rtl w:val="0"/>
        </w:rPr>
        <w:t xml:space="preserve">Erythrina velutina</w:t>
      </w:r>
      <w:r w:rsidDel="00000000" w:rsidR="00000000" w:rsidRPr="00000000">
        <w:rPr>
          <w:sz w:val="20"/>
          <w:szCs w:val="20"/>
          <w:rtl w:val="0"/>
        </w:rPr>
        <w:t xml:space="preserve"> foram coletadas manualmente em janeiro de 2025, a partir de três árvores matrizes utilizadas na arborização do campus da Universidade Federal Rural do Semi-Árido (UFERSA), em Mossoró-RN, totalizando 500 unidades.</w:t>
      </w:r>
    </w:p>
    <w:p w:rsidR="00000000" w:rsidDel="00000000" w:rsidP="00000000" w:rsidRDefault="00000000" w:rsidRPr="00000000" w14:paraId="00000012">
      <w:pPr>
        <w:ind w:firstLine="706"/>
        <w:jc w:val="both"/>
        <w:rPr>
          <w:sz w:val="20"/>
          <w:szCs w:val="20"/>
        </w:rPr>
      </w:pPr>
      <w:r w:rsidDel="00000000" w:rsidR="00000000" w:rsidRPr="00000000">
        <w:rPr>
          <w:sz w:val="20"/>
          <w:szCs w:val="20"/>
          <w:rtl w:val="0"/>
        </w:rPr>
        <w:t xml:space="preserve">Após a coleta, as sementes foram transportadas ao Laboratório de Patologia e Biotecnologia da UFERSA, onde passaram pelo processo de beneficiamento, que incluiu limpeza, remoção de impurezas e descarte de sementes deformadas. Em razão da dormência tegumentar característica da espécie, realizou-se a escarificação mecânica utilizando lixa para madeira de granulometria 200, aplicada na região oposta ao hilo.</w:t>
      </w:r>
    </w:p>
    <w:p w:rsidR="00000000" w:rsidDel="00000000" w:rsidP="00000000" w:rsidRDefault="00000000" w:rsidRPr="00000000" w14:paraId="00000013">
      <w:pPr>
        <w:ind w:firstLine="706"/>
        <w:jc w:val="both"/>
        <w:rPr>
          <w:sz w:val="20"/>
          <w:szCs w:val="20"/>
        </w:rPr>
      </w:pPr>
      <w:r w:rsidDel="00000000" w:rsidR="00000000" w:rsidRPr="00000000">
        <w:rPr>
          <w:sz w:val="20"/>
          <w:szCs w:val="20"/>
          <w:rtl w:val="0"/>
        </w:rPr>
        <w:t xml:space="preserve">Posteriormente, as sementes foram submetidas à desinfestação superficial, sendo imersas em álcool etílico a 70% por 1 minuto, seguidas de hipoclorito de sódio a 2% por 2 minutos, e, por fim, enxaguadas em água destilada esterilizada em autoclave.</w:t>
      </w:r>
    </w:p>
    <w:p w:rsidR="00000000" w:rsidDel="00000000" w:rsidP="00000000" w:rsidRDefault="00000000" w:rsidRPr="00000000" w14:paraId="00000014">
      <w:pPr>
        <w:ind w:firstLine="706"/>
        <w:jc w:val="both"/>
        <w:rPr>
          <w:sz w:val="20"/>
          <w:szCs w:val="20"/>
        </w:rPr>
      </w:pPr>
      <w:r w:rsidDel="00000000" w:rsidR="00000000" w:rsidRPr="00000000">
        <w:rPr>
          <w:sz w:val="20"/>
          <w:szCs w:val="20"/>
          <w:rtl w:val="0"/>
        </w:rPr>
        <w:t xml:space="preserve">As sementes foram então semeadas em tubetes plásticos com capacidade de 55 cm³, preenchidos com substrato da Carolina Soil composto de turfa e vermiculita, classe interna CX e condutividade elétrica 0,4  previamente umedecido. Cada tubete recebeu uma semente, posicionada em sulco de aproximadamente 4 cm de profundidade. O delineamento experimental adotado foi inteiramente casualizado, com quatro repetições de 100 sementes cada, totalizando 400 unidades experimentais.</w:t>
      </w:r>
    </w:p>
    <w:p w:rsidR="00000000" w:rsidDel="00000000" w:rsidP="00000000" w:rsidRDefault="00000000" w:rsidRPr="00000000" w14:paraId="00000015">
      <w:pPr>
        <w:ind w:firstLine="706"/>
        <w:jc w:val="both"/>
        <w:rPr>
          <w:sz w:val="20"/>
          <w:szCs w:val="20"/>
        </w:rPr>
      </w:pPr>
      <w:r w:rsidDel="00000000" w:rsidR="00000000" w:rsidRPr="00000000">
        <w:rPr>
          <w:sz w:val="20"/>
          <w:szCs w:val="20"/>
          <w:rtl w:val="0"/>
        </w:rPr>
        <w:t xml:space="preserve">Os tubetes foram alocados em casa de sombra com 50% de sombreamento, sendo irrigados manualmente duas vezes ao dia. Após 15 dias da semeadura, com as plântulas atingindo cerca de 10 cm de altura, iniciou-se a avaliação quinzenal dos indivíduos, marcando-se aqueles que não apresentaram emissão de acúleos.</w:t>
      </w:r>
    </w:p>
    <w:p w:rsidR="00000000" w:rsidDel="00000000" w:rsidP="00000000" w:rsidRDefault="00000000" w:rsidRPr="00000000" w14:paraId="00000016">
      <w:pPr>
        <w:ind w:firstLine="706"/>
        <w:jc w:val="both"/>
        <w:rPr>
          <w:sz w:val="20"/>
          <w:szCs w:val="20"/>
        </w:rPr>
      </w:pPr>
      <w:r w:rsidDel="00000000" w:rsidR="00000000" w:rsidRPr="00000000">
        <w:rPr>
          <w:sz w:val="20"/>
          <w:szCs w:val="20"/>
          <w:rtl w:val="0"/>
        </w:rPr>
        <w:t xml:space="preserve">Após três avaliações, quando as plântulas alcançaram aproximadamente 20 cm de altura, verificou-se que, das 331 sementes germinadas, 20 genótipos não apresentaram acúleos. Esses indivíduos foram selecionados juntamente com 20 genótipos com acúleos bem desenvolvidos, e transplantados para canaletas com areia lavada, a fim de serem conduzidos como minicepas, visando à sua manutenção, multiplicação e produção de mudas destinadas à arborização urbana.</w:t>
      </w:r>
    </w:p>
    <w:p w:rsidR="00000000" w:rsidDel="00000000" w:rsidP="00000000" w:rsidRDefault="00000000" w:rsidRPr="00000000" w14:paraId="00000017">
      <w:pPr>
        <w:ind w:firstLine="706"/>
        <w:jc w:val="both"/>
        <w:rPr>
          <w:sz w:val="20"/>
          <w:szCs w:val="20"/>
        </w:rPr>
      </w:pPr>
      <w:r w:rsidDel="00000000" w:rsidR="00000000" w:rsidRPr="00000000">
        <w:rPr>
          <w:sz w:val="20"/>
          <w:szCs w:val="20"/>
          <w:rtl w:val="0"/>
        </w:rPr>
        <w:t xml:space="preserve">A partir da implantação das minicepas, foi avaliada a capacidade de rebrota dos fenótipos por meio da emissão de brotações na minicepa e da sobrevivência após a quebra da dominância apical, promovida por meio da retirada do ápice das plantas. A avaliação foi realizada 15 dias após a decepa, registrando-se o número de brotações emitidas e o percentual de sobrevivência das minicepas ao longo do tempo.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RESULTADOS E </w:t>
      </w:r>
      <w:r w:rsidDel="00000000" w:rsidR="00000000" w:rsidRPr="00000000">
        <w:rPr>
          <w:b w:val="1"/>
          <w:sz w:val="20"/>
          <w:szCs w:val="20"/>
          <w:rtl w:val="0"/>
        </w:rPr>
        <w:t xml:space="preserve">DISCUSSÃO</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análise dos dados obtidos revelou uma taxa média de germinação de 83% para as sementes de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Erythrina velutina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submetidas à escarificação, resultando em 331 plântulas saudáveis, sem deformações visíveis na parte aérea. Esse valor está em consonância com os resultados relatados por De Sousa Filho et al. (2017), que documentaram taxas de germinação de até 90,12% para a espécie, confirmando a viabilidade fisiológica das sementes e a eficácia do método de quebra de dormência adotado.</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Quanto à expressão do caráter aculeado, observou-se que 94% dos indivíduos (311 plântulas) apresentaram acúleos, enquanto apenas 6% (20 indivíduos) expressaram o caráter inerme (ausência de acúleos). Esses dados indicam um padrão de herança compatível com a recessividade do caráter inerme, conforme descrito por Oliveira e Drumond (1989) e Carvalho et al. (1999) em estudos com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Mimosa caesalpiniifolia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(sabiá). Nesse modelo genético, indivíduos homozigotos recessivos não desenvolvem acúleos, enquanto os genótipos homozigotos dominantes e heterozigotos expressam o fenótipo com acúleos. Verifica-se que o número de indivíduos sem acúleo vai sendo reduzido ao longo do tempo, à medida que indivíduos inicialmente classificados como inermes passam a manifestar a presença de acúleos (Figura 1). Esse comportamento sugere a possibilidade de expressão fenotípica tardia do caráter aculeado, modulada por estímulos fisiológicos, ontogenéticos, ou por mecanismos epigenéticos.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5"/>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Esse comportamento genético é semelhante ao observado em outras espécies da flora nordestina, como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Cnidoscolus quercifolius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(faveleira), em que a presença de acúleos também está relacionada à dominância do alelo que controla essa característica (CANDEIA, 2005). A baixa frequência de indivíduos inermes no presente estudo sugere que o alelo recessivo está presente, porém em proporção reduzida na população amostrada, o que reforça a importância da seleção de matrizes inermes como estratégia para ampliação da frequência do caráter em populações futuras.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5"/>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Pr>
        <w:drawing>
          <wp:inline distB="0" distT="0" distL="0" distR="0">
            <wp:extent cx="2603800" cy="1803853"/>
            <wp:docPr id="62711090" name=""/>
            <a:graphic>
              <a:graphicData uri="http://schemas.openxmlformats.org/drawingml/2006/chart">
                <c:chart r:id="rId7"/>
              </a:graphicData>
            </a:graphic>
          </wp:inline>
        </w:drawing>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06"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Figura 1. Emissão de acúleos em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Erythrina velutina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ao longo de 60 dias, com avaliações quinzenais, sendo: (A1) avaliação com 30 dias após a germinação, (A2) 45 dias após a germinação e (A3) 60 dias após a germinação.</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avaliação da sobrevivência das minicepas no minijardim após a decepa revelou taxa de 100%, demonstrando alta resiliência e capacidade de regeneração das minicepas de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Erythrina velutina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cultivadas sob condições controladas (Figura 2). Resultados semelhantes foram reportados para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Mimosa caesalpiniifolia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(Silva et al., 2022) 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Tabebuia aurea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(Souza et al., 2023), ambas conduzidas em minijardim sob sistema </w:t>
      </w:r>
      <w:r w:rsidDel="00000000" w:rsidR="00000000" w:rsidRPr="00000000">
        <w:rPr>
          <w:sz w:val="20"/>
          <w:szCs w:val="20"/>
          <w:rtl w:val="0"/>
        </w:rPr>
        <w:t xml:space="preserve">semi hidropônico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 nas mesmas condições ambientais deste estudo, cujas minicepas apresentaram taxas de sobrevivência entre 90% e 100%. Esses dados reforçam o potencial da técnica de minijardim em sistema </w:t>
      </w:r>
      <w:r w:rsidDel="00000000" w:rsidR="00000000" w:rsidRPr="00000000">
        <w:rPr>
          <w:sz w:val="20"/>
          <w:szCs w:val="20"/>
          <w:rtl w:val="0"/>
        </w:rPr>
        <w:t xml:space="preserve">semi hidropônico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para espécies perenes, especialmente quando aliada a um ambiente de cultivo adequadamente manejado.</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41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441094" cy="1441094"/>
            <wp:effectExtent b="0" l="0" r="0" t="0"/>
            <wp:docPr descr="A plant growing in a garden&#10;&#10;Description automatically generated" id="62711096" name="image2.jpg"/>
            <a:graphic>
              <a:graphicData uri="http://schemas.openxmlformats.org/drawingml/2006/picture">
                <pic:pic>
                  <pic:nvPicPr>
                    <pic:cNvPr descr="A plant growing in a garden&#10;&#10;Description automatically generated" id="0" name="image2.jpg"/>
                    <pic:cNvPicPr preferRelativeResize="0"/>
                  </pic:nvPicPr>
                  <pic:blipFill>
                    <a:blip r:embed="rId8"/>
                    <a:srcRect b="0" l="0" r="0" t="0"/>
                    <a:stretch>
                      <a:fillRect/>
                    </a:stretch>
                  </pic:blipFill>
                  <pic:spPr>
                    <a:xfrm>
                      <a:off x="0" y="0"/>
                      <a:ext cx="1441094" cy="1441094"/>
                    </a:xfrm>
                    <a:prstGeom prst="rect"/>
                    <a:ln/>
                  </pic:spPr>
                </pic:pic>
              </a:graphicData>
            </a:graphic>
          </wp:inline>
        </w:drawing>
      </w:r>
      <w:r w:rsidDel="00000000" w:rsidR="00000000" w:rsidRPr="00000000">
        <w:rPr>
          <w:rFonts w:ascii="Quattrocento Sans" w:cs="Quattrocento Sans" w:eastAsia="Quattrocento Sans" w:hAnsi="Quattrocento Sans"/>
          <w:b w:val="0"/>
          <w:i w:val="0"/>
          <w:smallCaps w:val="0"/>
          <w:strike w:val="0"/>
          <w:color w:val="000000"/>
          <w:sz w:val="18"/>
          <w:szCs w:val="18"/>
          <w:u w:val="none"/>
          <w:shd w:fill="auto" w:val="clear"/>
          <w:vertAlign w:val="baseline"/>
        </w:rPr>
        <w:drawing>
          <wp:inline distB="0" distT="0" distL="0" distR="0">
            <wp:extent cx="1457597" cy="1450555"/>
            <wp:effectExtent b="0" l="0" r="0" t="0"/>
            <wp:docPr descr="A close up of a plant&#10;&#10;Description automatically generated" id="62711095" name="image3.jpg"/>
            <a:graphic>
              <a:graphicData uri="http://schemas.openxmlformats.org/drawingml/2006/picture">
                <pic:pic>
                  <pic:nvPicPr>
                    <pic:cNvPr descr="A close up of a plant&#10;&#10;Description automatically generated" id="0" name="image3.jpg"/>
                    <pic:cNvPicPr preferRelativeResize="0"/>
                  </pic:nvPicPr>
                  <pic:blipFill>
                    <a:blip r:embed="rId9"/>
                    <a:srcRect b="0" l="0" r="0" t="0"/>
                    <a:stretch>
                      <a:fillRect/>
                    </a:stretch>
                  </pic:blipFill>
                  <pic:spPr>
                    <a:xfrm>
                      <a:off x="0" y="0"/>
                      <a:ext cx="1457597" cy="1450555"/>
                    </a:xfrm>
                    <a:prstGeom prst="rect"/>
                    <a:ln/>
                  </pic:spPr>
                </pic:pic>
              </a:graphicData>
            </a:graphic>
          </wp:inline>
        </w:drawing>
      </w:r>
      <w:r w:rsidDel="00000000" w:rsidR="00000000" w:rsidRPr="00000000">
        <w:rPr>
          <w:rFonts w:ascii="Quattrocento Sans" w:cs="Quattrocento Sans" w:eastAsia="Quattrocento Sans" w:hAnsi="Quattrocento Sans"/>
          <w:b w:val="0"/>
          <w:i w:val="0"/>
          <w:smallCaps w:val="0"/>
          <w:strike w:val="0"/>
          <w:color w:val="000000"/>
          <w:sz w:val="18"/>
          <w:szCs w:val="18"/>
          <w:u w:val="none"/>
          <w:shd w:fill="auto" w:val="clear"/>
          <w:vertAlign w:val="baseline"/>
        </w:rPr>
        <w:drawing>
          <wp:inline distB="0" distT="0" distL="0" distR="0">
            <wp:extent cx="1443854" cy="1443854"/>
            <wp:effectExtent b="0" l="0" r="0" t="0"/>
            <wp:docPr descr="A close up of a plant&#10;&#10;Description automatically generated" id="62711097" name="image1.jpg"/>
            <a:graphic>
              <a:graphicData uri="http://schemas.openxmlformats.org/drawingml/2006/picture">
                <pic:pic>
                  <pic:nvPicPr>
                    <pic:cNvPr descr="A close up of a plant&#10;&#10;Description automatically generated" id="0" name="image1.jpg"/>
                    <pic:cNvPicPr preferRelativeResize="0"/>
                  </pic:nvPicPr>
                  <pic:blipFill>
                    <a:blip r:embed="rId10"/>
                    <a:srcRect b="0" l="0" r="0" t="0"/>
                    <a:stretch>
                      <a:fillRect/>
                    </a:stretch>
                  </pic:blipFill>
                  <pic:spPr>
                    <a:xfrm>
                      <a:off x="0" y="0"/>
                      <a:ext cx="1443854" cy="1443854"/>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711200</wp:posOffset>
                </wp:positionH>
                <wp:positionV relativeFrom="paragraph">
                  <wp:posOffset>0</wp:posOffset>
                </wp:positionV>
                <wp:extent cx="272415" cy="272415"/>
                <wp:effectExtent b="0" l="0" r="0" t="0"/>
                <wp:wrapNone/>
                <wp:docPr id="62711092" name=""/>
                <a:graphic>
                  <a:graphicData uri="http://schemas.microsoft.com/office/word/2010/wordprocessingShape">
                    <wps:wsp>
                      <wps:cNvSpPr/>
                      <wps:cNvPr id="2" name="Shape 2"/>
                      <wps:spPr>
                        <a:xfrm>
                          <a:off x="5214555" y="3648555"/>
                          <a:ext cx="262890" cy="26289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711200</wp:posOffset>
                </wp:positionH>
                <wp:positionV relativeFrom="paragraph">
                  <wp:posOffset>0</wp:posOffset>
                </wp:positionV>
                <wp:extent cx="272415" cy="272415"/>
                <wp:effectExtent b="0" l="0" r="0" t="0"/>
                <wp:wrapNone/>
                <wp:docPr id="62711092"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272415" cy="2724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2146300</wp:posOffset>
                </wp:positionH>
                <wp:positionV relativeFrom="paragraph">
                  <wp:posOffset>0</wp:posOffset>
                </wp:positionV>
                <wp:extent cx="272415" cy="1413510"/>
                <wp:effectExtent b="0" l="0" r="0" t="0"/>
                <wp:wrapNone/>
                <wp:docPr id="62711093" name=""/>
                <a:graphic>
                  <a:graphicData uri="http://schemas.microsoft.com/office/word/2010/wordprocessingShape">
                    <wps:wsp>
                      <wps:cNvSpPr/>
                      <wps:cNvPr id="3" name="Shape 3"/>
                      <wps:spPr>
                        <a:xfrm>
                          <a:off x="5214555" y="3078008"/>
                          <a:ext cx="262890" cy="14039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B</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2146300</wp:posOffset>
                </wp:positionH>
                <wp:positionV relativeFrom="paragraph">
                  <wp:posOffset>0</wp:posOffset>
                </wp:positionV>
                <wp:extent cx="272415" cy="1413510"/>
                <wp:effectExtent b="0" l="0" r="0" t="0"/>
                <wp:wrapNone/>
                <wp:docPr id="62711093"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272415" cy="14135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3594100</wp:posOffset>
                </wp:positionH>
                <wp:positionV relativeFrom="paragraph">
                  <wp:posOffset>0</wp:posOffset>
                </wp:positionV>
                <wp:extent cx="264795" cy="1413510"/>
                <wp:effectExtent b="0" l="0" r="0" t="0"/>
                <wp:wrapNone/>
                <wp:docPr id="62711094" name=""/>
                <a:graphic>
                  <a:graphicData uri="http://schemas.microsoft.com/office/word/2010/wordprocessingShape">
                    <wps:wsp>
                      <wps:cNvSpPr/>
                      <wps:cNvPr id="4" name="Shape 4"/>
                      <wps:spPr>
                        <a:xfrm>
                          <a:off x="5218365" y="3078008"/>
                          <a:ext cx="255270" cy="14039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C</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3594100</wp:posOffset>
                </wp:positionH>
                <wp:positionV relativeFrom="paragraph">
                  <wp:posOffset>0</wp:posOffset>
                </wp:positionV>
                <wp:extent cx="264795" cy="1413510"/>
                <wp:effectExtent b="0" l="0" r="0" t="0"/>
                <wp:wrapNone/>
                <wp:docPr id="62711094"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264795" cy="1413510"/>
                        </a:xfrm>
                        <a:prstGeom prst="rect"/>
                        <a:ln/>
                      </pic:spPr>
                    </pic:pic>
                  </a:graphicData>
                </a:graphic>
              </wp:anchor>
            </w:drawing>
          </mc:Fallback>
        </mc:AlternateConten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06"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Figura 2. Minicepas de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Erythrina velutina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conduzidas em minijardim seminal, sendo: (A) Visão geral do minijardim, (B) ramificação de minicepa sem acúleos, (C) ramificação de minicepa com acúleos.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Entretanto, observou-se que, das 20 mudas inicialmente classificadas como inermes, sete passaram a emitir acúleos após a primeira decepa, resultando na reclassificação de 27 minicepas como aculeadas e apenas 13 como inermes. Esse resultado reforça a hipótese de expressão fenotípica tardia do caráter aculeado, possivelmente modulada por estímulos fisiológicos induzidos pela poda ou por mecanismos epigenéticos que afetam a ativação gênica ao longo do desenvolvimento da planta.</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6"/>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 que se refere à capacidade vegetativa, a média de emissão de brotações aos 15 dias após a decepa foi semelhante entre os grupos, sendo de 1,7 brotação por minicepa nos indivíduos aculeados e 1,6 nas minicepas inermes (Figura 3). Essa semelhança indica que a ausência de acúleos não compromete a capacidade de regeneração vegetativa em condições controladas, reforçando o potencial dos genótipos inermes para uso em programas de propagação clonal e arborização urbana, onde a ausência de estruturas espinhosas é desejável.</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05"/>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2096124" cy="1384464"/>
            <wp:docPr id="62711091" name=""/>
            <a:graphic>
              <a:graphicData uri="http://schemas.openxmlformats.org/drawingml/2006/chart">
                <c:chart r:id="rId12"/>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Figura 3. Médias da emissão de brotações das minicepas do fenótipo sem acúleo (S) e com acúleo (C) de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Erythrina velutina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CONCLUSÃO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baixa frequência de indivíduos inermes observada neste estudo reforça a necessidade de estratégias de seleção rigorosa e manejo direcionado para a multiplicação vegetativa desses fenótipos. A expressão fenotípica tardia do caráter aculeado em parte das mudas inicialmente classificadas como inermes evidencia a importância de avaliações contínuas durante o desenvolvimento das plantas, especialmente após a quebra de dominância apical. Ainda assim, os genótipos estáveis sem acúleos demonstraram elevado potencial de sobrevivência e capacidade de rebrota em minijardim, indicando viabilidade técnica das minicepas para sua propagação vegetativa.</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heading=h.bxxi7qgirifl" w:id="2"/>
      <w:bookmarkEnd w:id="2"/>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seleção de fenótipos de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Erythrina velutina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isentos de acúleos se mostra uma estratégia promissora para a produção de mudas destinadas à arborização urbana, por aliar segurança no manejo e interação com o espaço público ao uso de uma espécie nativa adaptada ao semiárido. Dessa forma, o uso direcionado de genótipos inermes pode contribuir significativamente para a criação de paisagens urbanas mais seguras, resilientes e ecologicamente integradas à biodiversidade regional.</w:t>
      </w:r>
    </w:p>
    <w:p w:rsidR="00000000" w:rsidDel="00000000" w:rsidP="00000000" w:rsidRDefault="00000000" w:rsidRPr="00000000" w14:paraId="0000002D">
      <w:pPr>
        <w:jc w:val="both"/>
        <w:rPr>
          <w:b w:val="1"/>
          <w:sz w:val="20"/>
          <w:szCs w:val="20"/>
        </w:rPr>
      </w:pPr>
      <w:r w:rsidDel="00000000" w:rsidR="00000000" w:rsidRPr="00000000">
        <w:rPr>
          <w:b w:val="1"/>
          <w:sz w:val="20"/>
          <w:szCs w:val="20"/>
          <w:rtl w:val="0"/>
        </w:rPr>
        <w:t xml:space="preserve">REFERÊNCIAS </w:t>
      </w:r>
      <w:r w:rsidDel="00000000" w:rsidR="00000000" w:rsidRPr="00000000">
        <w:rPr>
          <w:rtl w:val="0"/>
        </w:rPr>
      </w:r>
    </w:p>
    <w:p w:rsidR="00000000" w:rsidDel="00000000" w:rsidP="00000000" w:rsidRDefault="00000000" w:rsidRPr="00000000" w14:paraId="0000002E">
      <w:pPr>
        <w:spacing w:after="240" w:lineRule="auto"/>
        <w:jc w:val="both"/>
        <w:rPr>
          <w:color w:val="222222"/>
          <w:sz w:val="20"/>
          <w:szCs w:val="20"/>
          <w:highlight w:val="white"/>
        </w:rPr>
      </w:pPr>
      <w:r w:rsidDel="00000000" w:rsidR="00000000" w:rsidRPr="00000000">
        <w:rPr>
          <w:color w:val="222222"/>
          <w:sz w:val="20"/>
          <w:szCs w:val="20"/>
          <w:highlight w:val="white"/>
          <w:rtl w:val="0"/>
        </w:rPr>
        <w:t xml:space="preserve">CANDEIA, B. L et al. Faveleira (Cnidoscolus phyllacanthus (Mart.) Pax et K. Hoffm.) inerme: obtenção de mudas e crescimento comparado ao fenótipo com espinhos. 2005.</w:t>
      </w:r>
    </w:p>
    <w:p w:rsidR="00000000" w:rsidDel="00000000" w:rsidP="00000000" w:rsidRDefault="00000000" w:rsidRPr="00000000" w14:paraId="0000002F">
      <w:pPr>
        <w:spacing w:after="240" w:lineRule="auto"/>
        <w:jc w:val="both"/>
        <w:rPr>
          <w:color w:val="222222"/>
          <w:sz w:val="20"/>
          <w:szCs w:val="20"/>
          <w:highlight w:val="white"/>
        </w:rPr>
      </w:pPr>
      <w:r w:rsidDel="00000000" w:rsidR="00000000" w:rsidRPr="00000000">
        <w:rPr>
          <w:color w:val="222222"/>
          <w:sz w:val="20"/>
          <w:szCs w:val="20"/>
          <w:highlight w:val="white"/>
          <w:rtl w:val="0"/>
        </w:rPr>
        <w:t xml:space="preserve">DE CARVALHO, J. H.; MAIA, C. M. N. de A.; DE AMORIM, G. C. Seleção de sabiá (Mimosa caesalpiniifolia) sem acúleos no Meio-Norte. 1999.</w:t>
      </w:r>
    </w:p>
    <w:p w:rsidR="00000000" w:rsidDel="00000000" w:rsidP="00000000" w:rsidRDefault="00000000" w:rsidRPr="00000000" w14:paraId="00000030">
      <w:pPr>
        <w:spacing w:after="240" w:lineRule="auto"/>
        <w:jc w:val="both"/>
        <w:rPr>
          <w:sz w:val="20"/>
          <w:szCs w:val="20"/>
        </w:rPr>
      </w:pPr>
      <w:r w:rsidDel="00000000" w:rsidR="00000000" w:rsidRPr="00000000">
        <w:rPr>
          <w:color w:val="222222"/>
          <w:sz w:val="20"/>
          <w:szCs w:val="20"/>
          <w:highlight w:val="white"/>
          <w:rtl w:val="0"/>
        </w:rPr>
        <w:t xml:space="preserve">DE OLIVEIRA, V. R.; DRUMOND, M. A. Produção massal de sabiá (Mimosa caesalpiniaefolia, Benth) sem acúleos. 1989.</w:t>
      </w:r>
      <w:r w:rsidDel="00000000" w:rsidR="00000000" w:rsidRPr="00000000">
        <w:rPr>
          <w:rtl w:val="0"/>
        </w:rPr>
      </w:r>
    </w:p>
    <w:p w:rsidR="00000000" w:rsidDel="00000000" w:rsidP="00000000" w:rsidRDefault="00000000" w:rsidRPr="00000000" w14:paraId="00000031">
      <w:pPr>
        <w:spacing w:after="240" w:lineRule="auto"/>
        <w:jc w:val="both"/>
        <w:rPr>
          <w:sz w:val="20"/>
          <w:szCs w:val="20"/>
        </w:rPr>
      </w:pPr>
      <w:r w:rsidDel="00000000" w:rsidR="00000000" w:rsidRPr="00000000">
        <w:rPr>
          <w:sz w:val="20"/>
          <w:szCs w:val="20"/>
          <w:rtl w:val="0"/>
        </w:rPr>
        <w:t xml:space="preserve">DE OLIVEIRA, A. S; SANCHES, L.; DE MUSIS C. R.; NOGUEIRA, M. C. de J. A. Benefícios da arborização em praças urbanas-o caso de Cuiabá/MT. 2013.</w:t>
      </w:r>
    </w:p>
    <w:p w:rsidR="00000000" w:rsidDel="00000000" w:rsidP="00000000" w:rsidRDefault="00000000" w:rsidRPr="00000000" w14:paraId="00000032">
      <w:pPr>
        <w:spacing w:after="240" w:lineRule="auto"/>
        <w:jc w:val="both"/>
        <w:rPr>
          <w:sz w:val="20"/>
          <w:szCs w:val="20"/>
        </w:rPr>
      </w:pPr>
      <w:r w:rsidDel="00000000" w:rsidR="00000000" w:rsidRPr="00000000">
        <w:rPr>
          <w:sz w:val="20"/>
          <w:szCs w:val="20"/>
          <w:rtl w:val="0"/>
        </w:rPr>
        <w:t xml:space="preserve">DE SOUSA FILHO, Paulo Henrique et al. Efeito do estresse salino na germinação de sementes de Erythrina mulungu Mart. Ex Benth. </w:t>
      </w:r>
      <w:r w:rsidDel="00000000" w:rsidR="00000000" w:rsidRPr="00000000">
        <w:rPr>
          <w:b w:val="1"/>
          <w:sz w:val="20"/>
          <w:szCs w:val="20"/>
          <w:rtl w:val="0"/>
        </w:rPr>
        <w:t xml:space="preserve">Anais do Seminário de Pesquisa e Inovação Tecnológica-SEPIT</w:t>
      </w:r>
      <w:r w:rsidDel="00000000" w:rsidR="00000000" w:rsidRPr="00000000">
        <w:rPr>
          <w:sz w:val="20"/>
          <w:szCs w:val="20"/>
          <w:rtl w:val="0"/>
        </w:rPr>
        <w:t xml:space="preserve">, 2017.</w:t>
      </w:r>
    </w:p>
    <w:p w:rsidR="00000000" w:rsidDel="00000000" w:rsidP="00000000" w:rsidRDefault="00000000" w:rsidRPr="00000000" w14:paraId="00000033">
      <w:pPr>
        <w:spacing w:after="240" w:lineRule="auto"/>
        <w:jc w:val="both"/>
        <w:rPr>
          <w:sz w:val="20"/>
          <w:szCs w:val="20"/>
        </w:rPr>
      </w:pPr>
      <w:r w:rsidDel="00000000" w:rsidR="00000000" w:rsidRPr="00000000">
        <w:rPr>
          <w:sz w:val="20"/>
          <w:szCs w:val="20"/>
          <w:rtl w:val="0"/>
        </w:rPr>
        <w:t xml:space="preserve">MOCROSKI, Drielly et al. Estaquia de Mimosa bimucronata sem acúleos: idade da planta matriz X tipo de material X uso de IBA. </w:t>
      </w:r>
      <w:r w:rsidDel="00000000" w:rsidR="00000000" w:rsidRPr="00000000">
        <w:rPr>
          <w:b w:val="1"/>
          <w:sz w:val="20"/>
          <w:szCs w:val="20"/>
          <w:rtl w:val="0"/>
        </w:rPr>
        <w:t xml:space="preserve">OBSERVATÓRIO DE LA ECONOMÍA LATINOAMERICANA</w:t>
      </w:r>
      <w:r w:rsidDel="00000000" w:rsidR="00000000" w:rsidRPr="00000000">
        <w:rPr>
          <w:sz w:val="20"/>
          <w:szCs w:val="20"/>
          <w:rtl w:val="0"/>
        </w:rPr>
        <w:t xml:space="preserve">, v. 22, n. 10, p. e7251-e7251, 2024.</w:t>
      </w:r>
    </w:p>
    <w:p w:rsidR="00000000" w:rsidDel="00000000" w:rsidP="00000000" w:rsidRDefault="00000000" w:rsidRPr="00000000" w14:paraId="00000034">
      <w:pPr>
        <w:spacing w:after="240" w:lineRule="auto"/>
        <w:jc w:val="both"/>
        <w:rPr>
          <w:sz w:val="20"/>
          <w:szCs w:val="20"/>
        </w:rPr>
      </w:pPr>
      <w:r w:rsidDel="00000000" w:rsidR="00000000" w:rsidRPr="00000000">
        <w:rPr>
          <w:sz w:val="20"/>
          <w:szCs w:val="20"/>
          <w:rtl w:val="0"/>
        </w:rPr>
        <w:t xml:space="preserve">RAMALHO, P. E. C. Espécies arbóreas brasileiras. Brasília, DF: </w:t>
      </w:r>
      <w:r w:rsidDel="00000000" w:rsidR="00000000" w:rsidRPr="00000000">
        <w:rPr>
          <w:b w:val="1"/>
          <w:sz w:val="20"/>
          <w:szCs w:val="20"/>
          <w:rtl w:val="0"/>
        </w:rPr>
        <w:t xml:space="preserve">Embrapa Informação Tecnológica</w:t>
      </w:r>
      <w:r w:rsidDel="00000000" w:rsidR="00000000" w:rsidRPr="00000000">
        <w:rPr>
          <w:sz w:val="20"/>
          <w:szCs w:val="20"/>
          <w:rtl w:val="0"/>
        </w:rPr>
        <w:t xml:space="preserve">; Colombo: Embrapa Florestas, 2008. v. 3.</w:t>
      </w:r>
    </w:p>
    <w:p w:rsidR="00000000" w:rsidDel="00000000" w:rsidP="00000000" w:rsidRDefault="00000000" w:rsidRPr="00000000" w14:paraId="00000035">
      <w:pPr>
        <w:spacing w:after="240" w:lineRule="auto"/>
        <w:jc w:val="both"/>
        <w:rPr>
          <w:sz w:val="20"/>
          <w:szCs w:val="20"/>
        </w:rPr>
      </w:pPr>
      <w:r w:rsidDel="00000000" w:rsidR="00000000" w:rsidRPr="00000000">
        <w:rPr>
          <w:sz w:val="20"/>
          <w:szCs w:val="20"/>
          <w:rtl w:val="0"/>
        </w:rPr>
        <w:t xml:space="preserve">RUFINO, M. R.; SILVINO, A. S.; MORO, M. F. Exóticas, exóticas, exóticas: reflexões sobre a monótona arborização de uma cidade brasileira. </w:t>
      </w:r>
      <w:r w:rsidDel="00000000" w:rsidR="00000000" w:rsidRPr="00000000">
        <w:rPr>
          <w:b w:val="1"/>
          <w:sz w:val="20"/>
          <w:szCs w:val="20"/>
          <w:rtl w:val="0"/>
        </w:rPr>
        <w:t xml:space="preserve">Rodriguésia</w:t>
      </w:r>
      <w:r w:rsidDel="00000000" w:rsidR="00000000" w:rsidRPr="00000000">
        <w:rPr>
          <w:sz w:val="20"/>
          <w:szCs w:val="20"/>
          <w:rtl w:val="0"/>
        </w:rPr>
        <w:t xml:space="preserve">, v. 70, p. e03562017, 2019.</w:t>
      </w:r>
    </w:p>
    <w:p w:rsidR="00000000" w:rsidDel="00000000" w:rsidP="00000000" w:rsidRDefault="00000000" w:rsidRPr="00000000" w14:paraId="00000036">
      <w:pPr>
        <w:spacing w:after="240" w:lineRule="auto"/>
        <w:jc w:val="both"/>
        <w:rPr>
          <w:color w:val="1a1a1a"/>
          <w:sz w:val="20"/>
          <w:szCs w:val="20"/>
          <w:highlight w:val="white"/>
        </w:rPr>
      </w:pPr>
      <w:r w:rsidDel="00000000" w:rsidR="00000000" w:rsidRPr="00000000">
        <w:rPr>
          <w:color w:val="1a1a1a"/>
          <w:sz w:val="20"/>
          <w:szCs w:val="20"/>
          <w:highlight w:val="white"/>
          <w:rtl w:val="0"/>
        </w:rPr>
        <w:t xml:space="preserve">Silva, A. K. V.; Aguiar T.S.; Santos, M. E. C.; Araujo J. K. P.; Freire, A.C.; Salami. G et al. (2022) Vegetative propagation of </w:t>
      </w:r>
      <w:r w:rsidDel="00000000" w:rsidR="00000000" w:rsidRPr="00000000">
        <w:rPr>
          <w:i w:val="1"/>
          <w:color w:val="1a1a1a"/>
          <w:sz w:val="20"/>
          <w:szCs w:val="20"/>
          <w:highlight w:val="white"/>
          <w:rtl w:val="0"/>
        </w:rPr>
        <w:t xml:space="preserve">Mimosa Caesalpiniifolia</w:t>
      </w:r>
      <w:r w:rsidDel="00000000" w:rsidR="00000000" w:rsidRPr="00000000">
        <w:rPr>
          <w:color w:val="1a1a1a"/>
          <w:sz w:val="20"/>
          <w:szCs w:val="20"/>
          <w:highlight w:val="white"/>
          <w:rtl w:val="0"/>
        </w:rPr>
        <w:t xml:space="preserve"> by mini-cuttings technique</w:t>
      </w:r>
      <w:r w:rsidDel="00000000" w:rsidR="00000000" w:rsidRPr="00000000">
        <w:rPr>
          <w:b w:val="1"/>
          <w:color w:val="1a1a1a"/>
          <w:sz w:val="20"/>
          <w:szCs w:val="20"/>
          <w:highlight w:val="white"/>
          <w:rtl w:val="0"/>
        </w:rPr>
        <w:t xml:space="preserve">. Revista Árvore</w:t>
      </w:r>
      <w:r w:rsidDel="00000000" w:rsidR="00000000" w:rsidRPr="00000000">
        <w:rPr>
          <w:color w:val="1a1a1a"/>
          <w:sz w:val="20"/>
          <w:szCs w:val="20"/>
          <w:highlight w:val="white"/>
          <w:rtl w:val="0"/>
        </w:rPr>
        <w:t xml:space="preserve"> 46:e4631. </w:t>
      </w:r>
    </w:p>
    <w:p w:rsidR="00000000" w:rsidDel="00000000" w:rsidP="00000000" w:rsidRDefault="00000000" w:rsidRPr="00000000" w14:paraId="00000037">
      <w:pPr>
        <w:spacing w:after="240" w:lineRule="auto"/>
        <w:jc w:val="both"/>
        <w:rPr>
          <w:color w:val="1a1a1a"/>
          <w:sz w:val="20"/>
          <w:szCs w:val="20"/>
          <w:highlight w:val="white"/>
        </w:rPr>
      </w:pPr>
      <w:r w:rsidDel="00000000" w:rsidR="00000000" w:rsidRPr="00000000">
        <w:rPr>
          <w:color w:val="1a1a1a"/>
          <w:sz w:val="20"/>
          <w:szCs w:val="20"/>
          <w:highlight w:val="white"/>
          <w:rtl w:val="0"/>
        </w:rPr>
        <w:t xml:space="preserve">Souza, L. S.; Diógenes, F. E. G.; Silveira, G. V. S.; Silva, C. J.; Araujo, P. C. D. (2023) Mini-cutting as a technique to propagate </w:t>
      </w:r>
      <w:r w:rsidDel="00000000" w:rsidR="00000000" w:rsidRPr="00000000">
        <w:rPr>
          <w:i w:val="1"/>
          <w:color w:val="1a1a1a"/>
          <w:sz w:val="20"/>
          <w:szCs w:val="20"/>
          <w:highlight w:val="white"/>
          <w:rtl w:val="0"/>
        </w:rPr>
        <w:t xml:space="preserve">Tabebuia aurea</w:t>
      </w:r>
      <w:r w:rsidDel="00000000" w:rsidR="00000000" w:rsidRPr="00000000">
        <w:rPr>
          <w:color w:val="1a1a1a"/>
          <w:sz w:val="20"/>
          <w:szCs w:val="20"/>
          <w:highlight w:val="white"/>
          <w:rtl w:val="0"/>
        </w:rPr>
        <w:t xml:space="preserve">, an important tree found in tropical dry forests. </w:t>
      </w:r>
      <w:r w:rsidDel="00000000" w:rsidR="00000000" w:rsidRPr="00000000">
        <w:rPr>
          <w:b w:val="1"/>
          <w:color w:val="1a1a1a"/>
          <w:sz w:val="20"/>
          <w:szCs w:val="20"/>
          <w:highlight w:val="white"/>
          <w:rtl w:val="0"/>
        </w:rPr>
        <w:t xml:space="preserve">Australian Journal of Crop Science</w:t>
      </w:r>
      <w:r w:rsidDel="00000000" w:rsidR="00000000" w:rsidRPr="00000000">
        <w:rPr>
          <w:color w:val="1a1a1a"/>
          <w:sz w:val="20"/>
          <w:szCs w:val="20"/>
          <w:highlight w:val="white"/>
          <w:rtl w:val="0"/>
        </w:rPr>
        <w:t xml:space="preserve"> 17:631-638. </w:t>
      </w:r>
    </w:p>
    <w:sectPr>
      <w:headerReference r:id="rId13" w:type="first"/>
      <w:footerReference r:id="rId14" w:type="default"/>
      <w:pgSz w:h="16840" w:w="11910" w:orient="portrait"/>
      <w:pgMar w:bottom="1134" w:top="1909" w:left="1701" w:right="1134" w:header="1418" w:footer="140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5274310" cy="791210"/>
          <wp:effectExtent b="0" l="0" r="0" t="0"/>
          <wp:docPr descr="Desenho de personagem de desenho animado&#10;&#10;Descrição gerada automaticamente com confiança média" id="62711098" name="image4.png"/>
          <a:graphic>
            <a:graphicData uri="http://schemas.openxmlformats.org/drawingml/2006/picture">
              <pic:pic>
                <pic:nvPicPr>
                  <pic:cNvPr descr="Desenho de personagem de desenho animado&#10;&#10;Descrição gerada automaticamente com confiança média" id="0" name="image4.png"/>
                  <pic:cNvPicPr preferRelativeResize="0"/>
                </pic:nvPicPr>
                <pic:blipFill>
                  <a:blip r:embed="rId1"/>
                  <a:srcRect b="0" l="0" r="0" t="0"/>
                  <a:stretch>
                    <a:fillRect/>
                  </a:stretch>
                </pic:blipFill>
                <pic:spPr>
                  <a:xfrm>
                    <a:off x="0" y="0"/>
                    <a:ext cx="5274310" cy="79121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BR"/>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18" w:lineRule="auto"/>
      <w:ind w:left="107"/>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4" w:customStyle="1">
    <w:name w:val="Table Normal4"/>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uiPriority w:val="1"/>
    <w:qFormat w:val="1"/>
    <w:rPr>
      <w:sz w:val="24"/>
      <w:szCs w:val="24"/>
    </w:rPr>
  </w:style>
  <w:style w:type="paragraph" w:styleId="PargrafodaLista">
    <w:name w:val="List Paragraph"/>
    <w:basedOn w:val="Normal"/>
    <w:uiPriority w:val="1"/>
    <w:qFormat w:val="1"/>
    <w:pPr>
      <w:ind w:left="973" w:hanging="355"/>
    </w:pPr>
  </w:style>
  <w:style w:type="paragraph" w:styleId="TableParagraph" w:customStyle="1">
    <w:name w:val="Table Paragraph"/>
    <w:basedOn w:val="Normal"/>
    <w:uiPriority w:val="1"/>
    <w:qFormat w:val="1"/>
    <w:pPr>
      <w:ind w:left="108"/>
      <w:jc w:val="both"/>
    </w:pPr>
  </w:style>
  <w:style w:type="paragraph" w:styleId="Cabealho">
    <w:name w:val="header"/>
    <w:basedOn w:val="Normal"/>
    <w:link w:val="CabealhoChar"/>
    <w:uiPriority w:val="99"/>
    <w:unhideWhenUsed w:val="1"/>
    <w:rsid w:val="00324625"/>
    <w:pPr>
      <w:tabs>
        <w:tab w:val="center" w:pos="4252"/>
        <w:tab w:val="right" w:pos="8504"/>
      </w:tabs>
    </w:pPr>
  </w:style>
  <w:style w:type="character" w:styleId="CabealhoChar" w:customStyle="1">
    <w:name w:val="Cabeçalho Char"/>
    <w:basedOn w:val="Fontepargpadro"/>
    <w:link w:val="Cabealho"/>
    <w:uiPriority w:val="99"/>
    <w:rsid w:val="00324625"/>
    <w:rPr>
      <w:rFonts w:ascii="Times New Roman" w:cs="Times New Roman" w:eastAsia="Times New Roman" w:hAnsi="Times New Roman"/>
      <w:lang w:bidi="pt-BR" w:eastAsia="pt-BR" w:val="pt-BR"/>
    </w:rPr>
  </w:style>
  <w:style w:type="paragraph" w:styleId="Rodap">
    <w:name w:val="footer"/>
    <w:basedOn w:val="Normal"/>
    <w:link w:val="RodapChar"/>
    <w:uiPriority w:val="99"/>
    <w:unhideWhenUsed w:val="1"/>
    <w:rsid w:val="00324625"/>
    <w:pPr>
      <w:tabs>
        <w:tab w:val="center" w:pos="4252"/>
        <w:tab w:val="right" w:pos="8504"/>
      </w:tabs>
    </w:pPr>
  </w:style>
  <w:style w:type="character" w:styleId="RodapChar" w:customStyle="1">
    <w:name w:val="Rodapé Char"/>
    <w:basedOn w:val="Fontepargpadro"/>
    <w:link w:val="Rodap"/>
    <w:uiPriority w:val="99"/>
    <w:rsid w:val="00324625"/>
    <w:rPr>
      <w:rFonts w:ascii="Times New Roman" w:cs="Times New Roman" w:eastAsia="Times New Roman" w:hAnsi="Times New Roman"/>
      <w:lang w:bidi="pt-BR" w:eastAsia="pt-BR" w:val="pt-BR"/>
    </w:rPr>
  </w:style>
  <w:style w:type="paragraph" w:styleId="NormalWeb">
    <w:name w:val="Normal (Web)"/>
    <w:basedOn w:val="Normal"/>
    <w:uiPriority w:val="99"/>
    <w:rsid w:val="00832A03"/>
    <w:pPr>
      <w:widowControl w:val="1"/>
      <w:suppressAutoHyphens w:val="1"/>
      <w:spacing w:after="119" w:before="100"/>
    </w:pPr>
    <w:rPr>
      <w:sz w:val="24"/>
      <w:szCs w:val="24"/>
      <w:lang w:bidi="ar-SA" w:eastAsia="ar-SA" w:val="en-US"/>
    </w:rPr>
  </w:style>
  <w:style w:type="character" w:styleId="nfase">
    <w:name w:val="Emphasis"/>
    <w:uiPriority w:val="20"/>
    <w:qFormat w:val="1"/>
    <w:rsid w:val="00832A03"/>
    <w:rPr>
      <w:i w:val="1"/>
      <w:iCs w:val="1"/>
    </w:rPr>
  </w:style>
  <w:style w:type="character" w:styleId="Hyperlink">
    <w:name w:val="Hyperlink"/>
    <w:basedOn w:val="Fontepargpadro"/>
    <w:uiPriority w:val="99"/>
    <w:unhideWhenUsed w:val="1"/>
    <w:rsid w:val="00085E2B"/>
    <w:rPr>
      <w:color w:val="0000ff" w:themeColor="hyperlink"/>
      <w:u w:val="single"/>
    </w:rPr>
  </w:style>
  <w:style w:type="table" w:styleId="a" w:customStyle="1">
    <w:basedOn w:val="TableNormal4"/>
    <w:tblPr>
      <w:tblStyleRowBandSize w:val="1"/>
      <w:tblStyleColBandSize w:val="1"/>
      <w:tblCellMar>
        <w:left w:w="115.0" w:type="dxa"/>
        <w:right w:w="115.0" w:type="dxa"/>
      </w:tblCellMar>
    </w:tblPr>
  </w:style>
  <w:style w:type="table" w:styleId="a0" w:customStyle="1">
    <w:basedOn w:val="TableNormal3"/>
    <w:tblPr>
      <w:tblStyleRowBandSize w:val="1"/>
      <w:tblStyleColBandSize w:val="1"/>
      <w:tblCellMar>
        <w:left w:w="108.0" w:type="dxa"/>
        <w:right w:w="108.0" w:type="dxa"/>
      </w:tblCellMar>
    </w:tblPr>
  </w:style>
  <w:style w:type="paragraph" w:styleId="Reviso">
    <w:name w:val="Revision"/>
    <w:hidden w:val="1"/>
    <w:uiPriority w:val="99"/>
    <w:semiHidden w:val="1"/>
    <w:rsid w:val="00B84A84"/>
    <w:pPr>
      <w:widowControl w:val="1"/>
    </w:pPr>
    <w:rPr>
      <w:lang w:bidi="pt-BR"/>
    </w:rPr>
  </w:style>
  <w:style w:type="paragraph" w:styleId="Textodebalo">
    <w:name w:val="Balloon Text"/>
    <w:basedOn w:val="Normal"/>
    <w:link w:val="TextodebaloChar"/>
    <w:uiPriority w:val="99"/>
    <w:semiHidden w:val="1"/>
    <w:unhideWhenUsed w:val="1"/>
    <w:rsid w:val="002563E2"/>
    <w:rPr>
      <w:rFonts w:ascii="Tahoma" w:cs="Tahoma" w:hAnsi="Tahoma"/>
      <w:sz w:val="16"/>
      <w:szCs w:val="16"/>
    </w:rPr>
  </w:style>
  <w:style w:type="character" w:styleId="TextodebaloChar" w:customStyle="1">
    <w:name w:val="Texto de balão Char"/>
    <w:basedOn w:val="Fontepargpadro"/>
    <w:link w:val="Textodebalo"/>
    <w:uiPriority w:val="99"/>
    <w:semiHidden w:val="1"/>
    <w:rsid w:val="002563E2"/>
    <w:rPr>
      <w:rFonts w:ascii="Tahoma" w:cs="Tahoma" w:hAnsi="Tahoma"/>
      <w:sz w:val="16"/>
      <w:szCs w:val="16"/>
      <w:lang w:bidi="pt-BR"/>
    </w:rPr>
  </w:style>
  <w:style w:type="paragraph" w:styleId="paragraph" w:customStyle="1">
    <w:name w:val="paragraph"/>
    <w:basedOn w:val="Normal"/>
    <w:rsid w:val="002563E2"/>
    <w:pPr>
      <w:widowControl w:val="1"/>
      <w:spacing w:after="100" w:afterAutospacing="1" w:before="100" w:beforeAutospacing="1"/>
    </w:pPr>
    <w:rPr>
      <w:sz w:val="24"/>
      <w:szCs w:val="24"/>
      <w:lang w:bidi="ar-SA"/>
    </w:rPr>
  </w:style>
  <w:style w:type="character" w:styleId="normaltextrun" w:customStyle="1">
    <w:name w:val="normaltextrun"/>
    <w:basedOn w:val="Fontepargpadro"/>
    <w:rsid w:val="002563E2"/>
  </w:style>
  <w:style w:type="character" w:styleId="eop" w:customStyle="1">
    <w:name w:val="eop"/>
    <w:basedOn w:val="Fontepargpadro"/>
    <w:rsid w:val="002563E2"/>
  </w:style>
  <w:style w:type="character" w:styleId="MenoPendente1" w:customStyle="1">
    <w:name w:val="Menção Pendente1"/>
    <w:basedOn w:val="Fontepargpadro"/>
    <w:uiPriority w:val="99"/>
    <w:semiHidden w:val="1"/>
    <w:unhideWhenUsed w:val="1"/>
    <w:rsid w:val="00A90914"/>
    <w:rPr>
      <w:color w:val="605e5c"/>
      <w:shd w:color="auto" w:fill="e1dfdd" w:val="clear"/>
    </w:rPr>
  </w:style>
  <w:style w:type="character" w:styleId="Refdecomentrio">
    <w:name w:val="annotation reference"/>
    <w:basedOn w:val="Fontepargpadro"/>
    <w:uiPriority w:val="99"/>
    <w:semiHidden w:val="1"/>
    <w:unhideWhenUsed w:val="1"/>
    <w:rsid w:val="00A90914"/>
    <w:rPr>
      <w:sz w:val="16"/>
      <w:szCs w:val="16"/>
    </w:rPr>
  </w:style>
  <w:style w:type="character" w:styleId="UnresolvedMention" w:customStyle="1">
    <w:name w:val="Unresolved Mention"/>
    <w:basedOn w:val="Fontepargpadro"/>
    <w:uiPriority w:val="99"/>
    <w:semiHidden w:val="1"/>
    <w:unhideWhenUsed w:val="1"/>
    <w:rsid w:val="007B1F4A"/>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1.jpg"/><Relationship Id="rId13" Type="http://schemas.openxmlformats.org/officeDocument/2006/relationships/header" Target="header1.xml"/><Relationship Id="rId12" Type="http://schemas.openxmlformats.org/officeDocument/2006/relationships/chart" Target="charts/chart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chart" Target="charts/chart1.xm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poliana.araujo\Desktop\MIKAEL\sem%20aculeos\SEM%20ACULEOS%20TABEL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oliana.araujo\Desktop\MIKAEL\sem%20aculeos\SEM%20ACULEOS%20TABEL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manualLayout>
          <c:layoutTarget val="inner"/>
          <c:xMode val="edge"/>
          <c:yMode val="edge"/>
          <c:x val="0.11584143336079727"/>
          <c:y val="4.435036158816201E-2"/>
          <c:w val="0.60137616677092176"/>
          <c:h val="0.63950287354738455"/>
        </c:manualLayout>
      </c:layout>
      <c:barChart>
        <c:barDir val="bar"/>
        <c:grouping val="stacked"/>
        <c:varyColors val="0"/>
        <c:ser>
          <c:idx val="0"/>
          <c:order val="0"/>
          <c:tx>
            <c:strRef>
              <c:f>'[SEM ACULEOS TABELA.xlsx]Plan1'!$T$18</c:f>
              <c:strCache>
                <c:ptCount val="1"/>
                <c:pt idx="0">
                  <c:v>Sem Acúleo</c:v>
                </c:pt>
              </c:strCache>
            </c:strRef>
          </c:tx>
          <c:spPr>
            <a:solidFill>
              <a:srgbClr val="FF66FF"/>
            </a:solidFill>
          </c:spPr>
          <c:invertIfNegative val="0"/>
          <c:cat>
            <c:strRef>
              <c:f>'[SEM ACULEOS TABELA.xlsx]Plan1'!$S$19:$S$21</c:f>
              <c:strCache>
                <c:ptCount val="3"/>
                <c:pt idx="0">
                  <c:v>A3</c:v>
                </c:pt>
                <c:pt idx="1">
                  <c:v>A2</c:v>
                </c:pt>
                <c:pt idx="2">
                  <c:v>A1</c:v>
                </c:pt>
              </c:strCache>
            </c:strRef>
          </c:cat>
          <c:val>
            <c:numRef>
              <c:f>'[SEM ACULEOS TABELA.xlsx]Plan1'!$T$19:$T$21</c:f>
              <c:numCache>
                <c:formatCode>General</c:formatCode>
                <c:ptCount val="3"/>
                <c:pt idx="0">
                  <c:v>20</c:v>
                </c:pt>
                <c:pt idx="1">
                  <c:v>57</c:v>
                </c:pt>
                <c:pt idx="2">
                  <c:v>108</c:v>
                </c:pt>
              </c:numCache>
            </c:numRef>
          </c:val>
          <c:extLst xmlns:c16r2="http://schemas.microsoft.com/office/drawing/2015/06/chart">
            <c:ext xmlns:c16="http://schemas.microsoft.com/office/drawing/2014/chart" uri="{C3380CC4-5D6E-409C-BE32-E72D297353CC}">
              <c16:uniqueId val="{00000000-0BB0-4C58-8020-B9E659CC34CC}"/>
            </c:ext>
          </c:extLst>
        </c:ser>
        <c:ser>
          <c:idx val="1"/>
          <c:order val="1"/>
          <c:tx>
            <c:strRef>
              <c:f>'[SEM ACULEOS TABELA.xlsx]Plan1'!$U$18</c:f>
              <c:strCache>
                <c:ptCount val="1"/>
                <c:pt idx="0">
                  <c:v>Com Acúleos</c:v>
                </c:pt>
              </c:strCache>
            </c:strRef>
          </c:tx>
          <c:spPr>
            <a:solidFill>
              <a:schemeClr val="tx1">
                <a:lumMod val="65000"/>
                <a:lumOff val="35000"/>
              </a:schemeClr>
            </a:solidFill>
          </c:spPr>
          <c:invertIfNegative val="0"/>
          <c:cat>
            <c:strRef>
              <c:f>'[SEM ACULEOS TABELA.xlsx]Plan1'!$S$19:$S$21</c:f>
              <c:strCache>
                <c:ptCount val="3"/>
                <c:pt idx="0">
                  <c:v>A3</c:v>
                </c:pt>
                <c:pt idx="1">
                  <c:v>A2</c:v>
                </c:pt>
                <c:pt idx="2">
                  <c:v>A1</c:v>
                </c:pt>
              </c:strCache>
            </c:strRef>
          </c:cat>
          <c:val>
            <c:numRef>
              <c:f>'[SEM ACULEOS TABELA.xlsx]Plan1'!$U$19:$U$21</c:f>
              <c:numCache>
                <c:formatCode>General</c:formatCode>
                <c:ptCount val="3"/>
                <c:pt idx="0">
                  <c:v>37</c:v>
                </c:pt>
                <c:pt idx="1">
                  <c:v>51</c:v>
                </c:pt>
                <c:pt idx="2">
                  <c:v>223</c:v>
                </c:pt>
              </c:numCache>
            </c:numRef>
          </c:val>
          <c:extLst xmlns:c16r2="http://schemas.microsoft.com/office/drawing/2015/06/chart">
            <c:ext xmlns:c16="http://schemas.microsoft.com/office/drawing/2014/chart" uri="{C3380CC4-5D6E-409C-BE32-E72D297353CC}">
              <c16:uniqueId val="{00000001-0BB0-4C58-8020-B9E659CC34CC}"/>
            </c:ext>
          </c:extLst>
        </c:ser>
        <c:dLbls>
          <c:showLegendKey val="0"/>
          <c:showVal val="0"/>
          <c:showCatName val="0"/>
          <c:showSerName val="0"/>
          <c:showPercent val="0"/>
          <c:showBubbleSize val="0"/>
        </c:dLbls>
        <c:gapWidth val="150"/>
        <c:overlap val="100"/>
        <c:axId val="169000960"/>
        <c:axId val="160703040"/>
      </c:barChart>
      <c:catAx>
        <c:axId val="169000960"/>
        <c:scaling>
          <c:orientation val="minMax"/>
        </c:scaling>
        <c:delete val="0"/>
        <c:axPos val="l"/>
        <c:numFmt formatCode="General" sourceLinked="0"/>
        <c:majorTickMark val="out"/>
        <c:minorTickMark val="none"/>
        <c:tickLblPos val="nextTo"/>
        <c:crossAx val="160703040"/>
        <c:crosses val="autoZero"/>
        <c:auto val="1"/>
        <c:lblAlgn val="ctr"/>
        <c:lblOffset val="100"/>
        <c:noMultiLvlLbl val="0"/>
      </c:catAx>
      <c:valAx>
        <c:axId val="160703040"/>
        <c:scaling>
          <c:orientation val="minMax"/>
        </c:scaling>
        <c:delete val="0"/>
        <c:axPos val="b"/>
        <c:numFmt formatCode="General" sourceLinked="1"/>
        <c:majorTickMark val="out"/>
        <c:minorTickMark val="none"/>
        <c:tickLblPos val="nextTo"/>
        <c:crossAx val="169000960"/>
        <c:crosses val="autoZero"/>
        <c:crossBetween val="between"/>
      </c:valAx>
    </c:plotArea>
    <c:legend>
      <c:legendPos val="r"/>
      <c:legendEntry>
        <c:idx val="0"/>
        <c:txPr>
          <a:bodyPr/>
          <a:lstStyle/>
          <a:p>
            <a:pPr>
              <a:defRPr sz="1000"/>
            </a:pPr>
            <a:endParaRPr lang="pt-BR"/>
          </a:p>
        </c:txPr>
      </c:legendEntry>
      <c:legendEntry>
        <c:idx val="1"/>
        <c:txPr>
          <a:bodyPr/>
          <a:lstStyle/>
          <a:p>
            <a:pPr>
              <a:defRPr sz="1000"/>
            </a:pPr>
            <a:endParaRPr lang="pt-BR"/>
          </a:p>
        </c:txPr>
      </c:legendEntry>
      <c:layout>
        <c:manualLayout>
          <c:xMode val="edge"/>
          <c:yMode val="edge"/>
          <c:x val="6.1666361472257826E-2"/>
          <c:y val="0.8906451783856455"/>
          <c:w val="0.75026898871423198"/>
          <c:h val="7.304174650857273E-2"/>
        </c:manualLayout>
      </c:layout>
      <c:overlay val="0"/>
      <c:txPr>
        <a:bodyPr/>
        <a:lstStyle/>
        <a:p>
          <a:pPr>
            <a:defRPr sz="1000"/>
          </a:pPr>
          <a:endParaRPr lang="pt-BR"/>
        </a:p>
      </c:txPr>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rgbClr val="FF66FF"/>
            </a:solidFill>
          </c:spPr>
          <c:invertIfNegative val="0"/>
          <c:dPt>
            <c:idx val="1"/>
            <c:invertIfNegative val="0"/>
            <c:bubble3D val="0"/>
            <c:spPr>
              <a:solidFill>
                <a:schemeClr val="tx1">
                  <a:lumMod val="65000"/>
                  <a:lumOff val="35000"/>
                </a:schemeClr>
              </a:solidFill>
            </c:spPr>
            <c:extLst xmlns:c16r2="http://schemas.microsoft.com/office/drawing/2015/06/chart">
              <c:ext xmlns:c16="http://schemas.microsoft.com/office/drawing/2014/chart" uri="{C3380CC4-5D6E-409C-BE32-E72D297353CC}">
                <c16:uniqueId val="{00000001-07B6-7145-8210-089A1559B910}"/>
              </c:ext>
            </c:extLst>
          </c:dPt>
          <c:cat>
            <c:strRef>
              <c:f>Plan1!$C$17:$C$18</c:f>
              <c:strCache>
                <c:ptCount val="2"/>
                <c:pt idx="0">
                  <c:v>S</c:v>
                </c:pt>
                <c:pt idx="1">
                  <c:v>C</c:v>
                </c:pt>
              </c:strCache>
            </c:strRef>
          </c:cat>
          <c:val>
            <c:numRef>
              <c:f>Plan1!$D$17:$D$18</c:f>
              <c:numCache>
                <c:formatCode>General</c:formatCode>
                <c:ptCount val="2"/>
                <c:pt idx="0">
                  <c:v>1.6</c:v>
                </c:pt>
                <c:pt idx="1">
                  <c:v>1.7</c:v>
                </c:pt>
              </c:numCache>
            </c:numRef>
          </c:val>
          <c:extLst xmlns:c16r2="http://schemas.microsoft.com/office/drawing/2015/06/chart">
            <c:ext xmlns:c16="http://schemas.microsoft.com/office/drawing/2014/chart" uri="{C3380CC4-5D6E-409C-BE32-E72D297353CC}">
              <c16:uniqueId val="{00000000-2959-FD41-A063-113DABAA37EB}"/>
            </c:ext>
          </c:extLst>
        </c:ser>
        <c:dLbls>
          <c:showLegendKey val="0"/>
          <c:showVal val="0"/>
          <c:showCatName val="0"/>
          <c:showSerName val="0"/>
          <c:showPercent val="0"/>
          <c:showBubbleSize val="0"/>
        </c:dLbls>
        <c:gapWidth val="150"/>
        <c:axId val="175332352"/>
        <c:axId val="160707648"/>
      </c:barChart>
      <c:catAx>
        <c:axId val="175332352"/>
        <c:scaling>
          <c:orientation val="minMax"/>
        </c:scaling>
        <c:delete val="0"/>
        <c:axPos val="b"/>
        <c:numFmt formatCode="General" sourceLinked="0"/>
        <c:majorTickMark val="out"/>
        <c:minorTickMark val="none"/>
        <c:tickLblPos val="nextTo"/>
        <c:crossAx val="160707648"/>
        <c:crosses val="autoZero"/>
        <c:auto val="1"/>
        <c:lblAlgn val="ctr"/>
        <c:lblOffset val="100"/>
        <c:noMultiLvlLbl val="0"/>
      </c:catAx>
      <c:valAx>
        <c:axId val="160707648"/>
        <c:scaling>
          <c:orientation val="minMax"/>
          <c:max val="2"/>
        </c:scaling>
        <c:delete val="0"/>
        <c:axPos val="l"/>
        <c:numFmt formatCode="General" sourceLinked="1"/>
        <c:majorTickMark val="out"/>
        <c:minorTickMark val="none"/>
        <c:tickLblPos val="nextTo"/>
        <c:crossAx val="175332352"/>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pt-B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0URyUudzOlaDDQ7tw001/YsP0g==">CgMxLjAyCGguZ2pkZ3hzMg5oLnlwOTZpd3Uybzd3ZzIOaC5ieHhpN3FnaXJpZmw4AHIhMWxSdUpaRUFheEN6TG9Qd21MemhzcEkxNUZJY05mMVpD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2025-05-31T19:04:00Z</dcterms:created>
  <dc:creator>Liana Oliveira Costa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2018-11-19T00:00:00Z</vt:filetime>
  </property>
  <property fmtid="{D5CDD505-2E9C-101B-9397-08002B2CF9AE}" pid="3" name="Creator">
    <vt:lpwstr>Microsoft® Word 2016</vt:lpwstr>
  </property>
  <property fmtid="{D5CDD505-2E9C-101B-9397-08002B2CF9AE}" pid="4" name="LastSaved">
    <vt:filetime>2019-09-16T00:00:00Z</vt:filetime>
  </property>
</Properties>
</file>