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636E3" w14:textId="77777777" w:rsidR="00D97DEC" w:rsidRDefault="00BC3A19">
      <w:pPr>
        <w:widowControl/>
        <w:spacing w:line="276" w:lineRule="auto"/>
        <w:jc w:val="center"/>
        <w:rPr>
          <w:b/>
          <w:sz w:val="20"/>
          <w:szCs w:val="20"/>
        </w:rPr>
      </w:pPr>
      <w:r>
        <w:rPr>
          <w:b/>
          <w:sz w:val="20"/>
          <w:szCs w:val="20"/>
        </w:rPr>
        <w:t>SECAGEM DE MADEIRA DE EUCALIPTO: ESTUDO PARA UMA FÁBRICA DE CAMA BOX EM SERGIPE</w:t>
      </w:r>
    </w:p>
    <w:p w14:paraId="28C454D2" w14:textId="77777777" w:rsidR="00D97DEC" w:rsidRDefault="00D97DEC">
      <w:pPr>
        <w:widowControl/>
        <w:rPr>
          <w:b/>
          <w:sz w:val="20"/>
          <w:szCs w:val="20"/>
        </w:rPr>
      </w:pPr>
    </w:p>
    <w:p w14:paraId="0EF6B22A" w14:textId="77777777" w:rsidR="00D97DEC" w:rsidRDefault="00BC3A19">
      <w:pPr>
        <w:spacing w:line="276" w:lineRule="auto"/>
        <w:ind w:left="221" w:right="214"/>
        <w:jc w:val="center"/>
        <w:rPr>
          <w:b/>
          <w:sz w:val="20"/>
          <w:szCs w:val="20"/>
        </w:rPr>
      </w:pPr>
      <w:r>
        <w:rPr>
          <w:b/>
          <w:sz w:val="20"/>
          <w:szCs w:val="20"/>
        </w:rPr>
        <w:t>Maria Isabel de Jesus Fraga</w:t>
      </w:r>
      <w:r>
        <w:rPr>
          <w:b/>
          <w:sz w:val="20"/>
          <w:szCs w:val="20"/>
          <w:vertAlign w:val="superscript"/>
        </w:rPr>
        <w:t>1*</w:t>
      </w:r>
      <w:r>
        <w:rPr>
          <w:b/>
          <w:sz w:val="20"/>
          <w:szCs w:val="20"/>
        </w:rPr>
        <w:t>, Márcio Ricardo Nascimento Lima</w:t>
      </w:r>
      <w:r>
        <w:rPr>
          <w:b/>
          <w:sz w:val="20"/>
          <w:szCs w:val="20"/>
          <w:vertAlign w:val="superscript"/>
        </w:rPr>
        <w:t>2</w:t>
      </w:r>
      <w:r>
        <w:rPr>
          <w:b/>
          <w:sz w:val="20"/>
          <w:szCs w:val="20"/>
        </w:rPr>
        <w:t xml:space="preserve">, </w:t>
      </w:r>
      <w:proofErr w:type="spellStart"/>
      <w:r>
        <w:rPr>
          <w:b/>
          <w:sz w:val="20"/>
          <w:szCs w:val="20"/>
        </w:rPr>
        <w:t>Keliane</w:t>
      </w:r>
      <w:proofErr w:type="spellEnd"/>
      <w:r>
        <w:rPr>
          <w:b/>
          <w:sz w:val="20"/>
          <w:szCs w:val="20"/>
        </w:rPr>
        <w:t xml:space="preserve"> de Jesus Reis</w:t>
      </w:r>
      <w:r>
        <w:rPr>
          <w:b/>
          <w:sz w:val="20"/>
          <w:szCs w:val="20"/>
          <w:vertAlign w:val="superscript"/>
        </w:rPr>
        <w:t>3</w:t>
      </w:r>
      <w:r>
        <w:rPr>
          <w:b/>
          <w:sz w:val="20"/>
          <w:szCs w:val="20"/>
        </w:rPr>
        <w:t>, Antônio Américo Cardoso Junior</w:t>
      </w:r>
      <w:r>
        <w:rPr>
          <w:b/>
          <w:sz w:val="20"/>
          <w:szCs w:val="20"/>
          <w:vertAlign w:val="superscript"/>
        </w:rPr>
        <w:t>4</w:t>
      </w:r>
      <w:r>
        <w:rPr>
          <w:b/>
          <w:sz w:val="20"/>
          <w:szCs w:val="20"/>
        </w:rPr>
        <w:t>, Anna Carolina de Almeida Andrade</w:t>
      </w:r>
      <w:r>
        <w:rPr>
          <w:b/>
          <w:sz w:val="20"/>
          <w:szCs w:val="20"/>
          <w:vertAlign w:val="superscript"/>
        </w:rPr>
        <w:t>5</w:t>
      </w:r>
      <w:r>
        <w:rPr>
          <w:b/>
          <w:sz w:val="20"/>
          <w:szCs w:val="20"/>
        </w:rPr>
        <w:t>,</w:t>
      </w:r>
      <w:r>
        <w:rPr>
          <w:b/>
          <w:sz w:val="20"/>
          <w:szCs w:val="20"/>
          <w:vertAlign w:val="superscript"/>
        </w:rPr>
        <w:t xml:space="preserve"> </w:t>
      </w:r>
      <w:r>
        <w:rPr>
          <w:b/>
          <w:sz w:val="20"/>
          <w:szCs w:val="20"/>
        </w:rPr>
        <w:t>Jorge Artur Santos</w:t>
      </w:r>
      <w:r>
        <w:rPr>
          <w:b/>
          <w:sz w:val="20"/>
          <w:szCs w:val="20"/>
          <w:vertAlign w:val="superscript"/>
        </w:rPr>
        <w:t>6</w:t>
      </w:r>
      <w:r>
        <w:rPr>
          <w:b/>
          <w:sz w:val="20"/>
          <w:szCs w:val="20"/>
        </w:rPr>
        <w:t xml:space="preserve">, </w:t>
      </w:r>
      <w:proofErr w:type="spellStart"/>
      <w:r>
        <w:rPr>
          <w:b/>
          <w:sz w:val="20"/>
          <w:szCs w:val="20"/>
        </w:rPr>
        <w:t>Ritcharlison</w:t>
      </w:r>
      <w:proofErr w:type="spellEnd"/>
      <w:r>
        <w:rPr>
          <w:b/>
          <w:sz w:val="20"/>
          <w:szCs w:val="20"/>
        </w:rPr>
        <w:t xml:space="preserve"> Rocha dos Santos Nunes</w:t>
      </w:r>
      <w:r>
        <w:rPr>
          <w:b/>
          <w:sz w:val="20"/>
          <w:szCs w:val="20"/>
          <w:vertAlign w:val="superscript"/>
        </w:rPr>
        <w:t>7</w:t>
      </w:r>
      <w:r>
        <w:rPr>
          <w:b/>
          <w:sz w:val="20"/>
          <w:szCs w:val="20"/>
        </w:rPr>
        <w:t xml:space="preserve">, Samara </w:t>
      </w:r>
      <w:proofErr w:type="spellStart"/>
      <w:r>
        <w:rPr>
          <w:b/>
          <w:sz w:val="20"/>
          <w:szCs w:val="20"/>
        </w:rPr>
        <w:t>Araujo</w:t>
      </w:r>
      <w:proofErr w:type="spellEnd"/>
      <w:r>
        <w:rPr>
          <w:b/>
          <w:sz w:val="20"/>
          <w:szCs w:val="20"/>
        </w:rPr>
        <w:t xml:space="preserve"> Lisboa</w:t>
      </w:r>
      <w:r>
        <w:rPr>
          <w:b/>
          <w:sz w:val="20"/>
          <w:szCs w:val="20"/>
          <w:vertAlign w:val="superscript"/>
        </w:rPr>
        <w:t>8</w:t>
      </w:r>
      <w:r>
        <w:rPr>
          <w:b/>
          <w:sz w:val="20"/>
          <w:szCs w:val="20"/>
        </w:rPr>
        <w:t xml:space="preserve">, Sérgio </w:t>
      </w:r>
      <w:proofErr w:type="spellStart"/>
      <w:r>
        <w:rPr>
          <w:b/>
          <w:sz w:val="20"/>
          <w:szCs w:val="20"/>
        </w:rPr>
        <w:t>Luis</w:t>
      </w:r>
      <w:proofErr w:type="spellEnd"/>
      <w:r>
        <w:rPr>
          <w:b/>
          <w:sz w:val="20"/>
          <w:szCs w:val="20"/>
        </w:rPr>
        <w:t xml:space="preserve"> Martins dos Santos</w:t>
      </w:r>
      <w:r>
        <w:rPr>
          <w:b/>
          <w:sz w:val="20"/>
          <w:szCs w:val="20"/>
          <w:vertAlign w:val="superscript"/>
        </w:rPr>
        <w:t>9</w:t>
      </w:r>
      <w:r>
        <w:rPr>
          <w:b/>
          <w:sz w:val="20"/>
          <w:szCs w:val="20"/>
        </w:rPr>
        <w:t>,</w:t>
      </w:r>
      <w:r>
        <w:rPr>
          <w:b/>
          <w:sz w:val="20"/>
          <w:szCs w:val="20"/>
          <w:vertAlign w:val="superscript"/>
        </w:rPr>
        <w:t xml:space="preserve"> </w:t>
      </w:r>
      <w:r>
        <w:rPr>
          <w:b/>
          <w:sz w:val="20"/>
          <w:szCs w:val="20"/>
        </w:rPr>
        <w:t>Aparecida de Jesus Santos</w:t>
      </w:r>
      <w:r>
        <w:rPr>
          <w:b/>
          <w:sz w:val="20"/>
          <w:szCs w:val="20"/>
          <w:vertAlign w:val="superscript"/>
        </w:rPr>
        <w:t>10</w:t>
      </w:r>
    </w:p>
    <w:p w14:paraId="291DBFBD" w14:textId="036264F4" w:rsidR="00D97DEC" w:rsidRDefault="00BC3A19">
      <w:pPr>
        <w:pStyle w:val="paragraph"/>
        <w:spacing w:beforeAutospacing="0" w:afterAutospacing="0"/>
        <w:ind w:left="210" w:right="210"/>
        <w:jc w:val="center"/>
        <w:textAlignment w:val="baseline"/>
        <w:rPr>
          <w:sz w:val="20"/>
          <w:szCs w:val="20"/>
        </w:rPr>
      </w:pPr>
      <w:r>
        <w:rPr>
          <w:rStyle w:val="normaltextrun"/>
          <w:sz w:val="20"/>
          <w:szCs w:val="20"/>
        </w:rPr>
        <w:t xml:space="preserve">Universidade Federal de Sergipe </w:t>
      </w:r>
      <w:r>
        <w:rPr>
          <w:rStyle w:val="normaltextrun"/>
          <w:sz w:val="20"/>
          <w:szCs w:val="20"/>
          <w:vertAlign w:val="superscript"/>
        </w:rPr>
        <w:t>1</w:t>
      </w:r>
      <w:r>
        <w:rPr>
          <w:rStyle w:val="normaltextrun"/>
          <w:sz w:val="20"/>
          <w:szCs w:val="20"/>
        </w:rPr>
        <w:t xml:space="preserve">, </w:t>
      </w:r>
      <w:r>
        <w:rPr>
          <w:rStyle w:val="normaltextrun"/>
          <w:sz w:val="20"/>
          <w:szCs w:val="20"/>
          <w:vertAlign w:val="superscript"/>
        </w:rPr>
        <w:t>2</w:t>
      </w:r>
      <w:r>
        <w:rPr>
          <w:rStyle w:val="normaltextrun"/>
          <w:sz w:val="20"/>
          <w:szCs w:val="20"/>
        </w:rPr>
        <w:t xml:space="preserve">, </w:t>
      </w:r>
      <w:r>
        <w:rPr>
          <w:rStyle w:val="normaltextrun"/>
          <w:sz w:val="20"/>
          <w:szCs w:val="20"/>
          <w:vertAlign w:val="superscript"/>
        </w:rPr>
        <w:t>3</w:t>
      </w:r>
      <w:r>
        <w:rPr>
          <w:rStyle w:val="normaltextrun"/>
          <w:sz w:val="20"/>
          <w:szCs w:val="20"/>
        </w:rPr>
        <w:t xml:space="preserve">, </w:t>
      </w:r>
      <w:r>
        <w:rPr>
          <w:rStyle w:val="normaltextrun"/>
          <w:sz w:val="20"/>
          <w:szCs w:val="20"/>
          <w:vertAlign w:val="superscript"/>
        </w:rPr>
        <w:t>4</w:t>
      </w:r>
      <w:r>
        <w:rPr>
          <w:rStyle w:val="normaltextrun"/>
          <w:sz w:val="20"/>
          <w:szCs w:val="20"/>
        </w:rPr>
        <w:t xml:space="preserve">, </w:t>
      </w:r>
      <w:r>
        <w:rPr>
          <w:rStyle w:val="normaltextrun"/>
          <w:sz w:val="20"/>
          <w:szCs w:val="20"/>
          <w:vertAlign w:val="superscript"/>
        </w:rPr>
        <w:t>5</w:t>
      </w:r>
      <w:r>
        <w:rPr>
          <w:rStyle w:val="normaltextrun"/>
          <w:sz w:val="20"/>
          <w:szCs w:val="20"/>
        </w:rPr>
        <w:t xml:space="preserve">, </w:t>
      </w:r>
      <w:r>
        <w:rPr>
          <w:rStyle w:val="normaltextrun"/>
          <w:sz w:val="20"/>
          <w:szCs w:val="20"/>
          <w:vertAlign w:val="superscript"/>
        </w:rPr>
        <w:t>6</w:t>
      </w:r>
      <w:r>
        <w:rPr>
          <w:rStyle w:val="normaltextrun"/>
          <w:sz w:val="20"/>
          <w:szCs w:val="20"/>
        </w:rPr>
        <w:t xml:space="preserve">, </w:t>
      </w:r>
      <w:r>
        <w:rPr>
          <w:rStyle w:val="normaltextrun"/>
          <w:sz w:val="20"/>
          <w:szCs w:val="20"/>
          <w:vertAlign w:val="superscript"/>
        </w:rPr>
        <w:t>7</w:t>
      </w:r>
      <w:r>
        <w:rPr>
          <w:rStyle w:val="normaltextrun"/>
          <w:sz w:val="20"/>
          <w:szCs w:val="20"/>
        </w:rPr>
        <w:t xml:space="preserve">, </w:t>
      </w:r>
      <w:r>
        <w:rPr>
          <w:rStyle w:val="normaltextrun"/>
          <w:sz w:val="20"/>
          <w:szCs w:val="20"/>
          <w:vertAlign w:val="superscript"/>
        </w:rPr>
        <w:t>8</w:t>
      </w:r>
      <w:r>
        <w:rPr>
          <w:rStyle w:val="normaltextrun"/>
          <w:sz w:val="20"/>
          <w:szCs w:val="20"/>
        </w:rPr>
        <w:t xml:space="preserve">, </w:t>
      </w:r>
      <w:r>
        <w:rPr>
          <w:rStyle w:val="normaltextrun"/>
          <w:sz w:val="20"/>
          <w:szCs w:val="20"/>
          <w:vertAlign w:val="superscript"/>
        </w:rPr>
        <w:t>9</w:t>
      </w:r>
      <w:r w:rsidR="00A67C55">
        <w:rPr>
          <w:rStyle w:val="normaltextrun"/>
          <w:sz w:val="20"/>
          <w:szCs w:val="20"/>
        </w:rPr>
        <w:t xml:space="preserve"> e</w:t>
      </w:r>
      <w:r>
        <w:rPr>
          <w:rStyle w:val="normaltextrun"/>
          <w:sz w:val="20"/>
          <w:szCs w:val="20"/>
        </w:rPr>
        <w:t xml:space="preserve"> </w:t>
      </w:r>
      <w:r>
        <w:rPr>
          <w:rStyle w:val="normaltextrun"/>
          <w:sz w:val="20"/>
          <w:szCs w:val="20"/>
          <w:vertAlign w:val="superscript"/>
        </w:rPr>
        <w:t>10</w:t>
      </w:r>
    </w:p>
    <w:p w14:paraId="75517E43" w14:textId="77777777" w:rsidR="00D97DEC" w:rsidRDefault="00BC3A19">
      <w:pPr>
        <w:spacing w:line="276" w:lineRule="auto"/>
        <w:ind w:left="221" w:right="214"/>
        <w:jc w:val="center"/>
        <w:rPr>
          <w:sz w:val="20"/>
          <w:szCs w:val="20"/>
        </w:rPr>
      </w:pPr>
      <w:bookmarkStart w:id="0" w:name="_72klwuwvzqg0"/>
      <w:bookmarkEnd w:id="0"/>
      <w:r>
        <w:rPr>
          <w:sz w:val="20"/>
          <w:szCs w:val="20"/>
        </w:rPr>
        <w:t>*isabeldejfraga123@gmail.com</w:t>
      </w:r>
    </w:p>
    <w:p w14:paraId="5265D0EA" w14:textId="77777777" w:rsidR="00D97DEC" w:rsidRDefault="00BC3A19">
      <w:pPr>
        <w:jc w:val="center"/>
        <w:rPr>
          <w:sz w:val="20"/>
          <w:szCs w:val="20"/>
        </w:rPr>
      </w:pPr>
      <w:r>
        <w:rPr>
          <w:sz w:val="20"/>
          <w:szCs w:val="20"/>
        </w:rPr>
        <w:t>__________________________________________________________________________________________</w:t>
      </w:r>
    </w:p>
    <w:p w14:paraId="270C9586" w14:textId="77777777" w:rsidR="00D97DEC" w:rsidRDefault="00D97DEC">
      <w:pPr>
        <w:jc w:val="both"/>
        <w:rPr>
          <w:sz w:val="20"/>
          <w:szCs w:val="20"/>
        </w:rPr>
      </w:pPr>
    </w:p>
    <w:p w14:paraId="28D0FA77" w14:textId="77777777" w:rsidR="00D97DEC" w:rsidRDefault="00BC3A19">
      <w:pPr>
        <w:jc w:val="both"/>
        <w:rPr>
          <w:b/>
          <w:sz w:val="20"/>
          <w:szCs w:val="20"/>
        </w:rPr>
      </w:pPr>
      <w:r>
        <w:rPr>
          <w:b/>
          <w:sz w:val="20"/>
          <w:szCs w:val="20"/>
        </w:rPr>
        <w:t>RESUMO</w:t>
      </w:r>
      <w:r>
        <w:rPr>
          <w:sz w:val="20"/>
          <w:szCs w:val="20"/>
        </w:rPr>
        <w:t xml:space="preserve"> </w:t>
      </w:r>
    </w:p>
    <w:p w14:paraId="74257753" w14:textId="77777777" w:rsidR="00D97DEC" w:rsidRDefault="00BC3A19">
      <w:pPr>
        <w:widowControl/>
        <w:spacing w:after="160" w:line="259" w:lineRule="auto"/>
        <w:ind w:left="567" w:right="567"/>
        <w:jc w:val="both"/>
        <w:rPr>
          <w:bCs/>
          <w:sz w:val="20"/>
          <w:szCs w:val="20"/>
        </w:rPr>
      </w:pPr>
      <w:r>
        <w:rPr>
          <w:bCs/>
          <w:sz w:val="20"/>
          <w:szCs w:val="20"/>
        </w:rPr>
        <w:t xml:space="preserve">A secagem da madeira melhora as suas propriedades físicas e mecânicas e, devido a madeira estudada ser utilizada na fabricação de base de cama box, a secagem evita o crescimento de fungos, machas e odor desagradável e melhora a sua estabilidade. A madeira perde umidade ao ser cortada, atingindo um estado de equilíbrio influenciado por fatores ambientais, sendo essencial para garantir a estabilidade da madeira, seja realizada ao ar livre ou em estufas, com diferentes técnicas e apresentando vantagens e desafios que impactam diretamente na qualidade do produto final. O Objetivo foi avaliar a qualidade da madeira de eucalipto utilizada na fabricação de camas box em Nossa Senhora do </w:t>
      </w:r>
      <w:proofErr w:type="spellStart"/>
      <w:r>
        <w:rPr>
          <w:bCs/>
          <w:sz w:val="20"/>
          <w:szCs w:val="20"/>
        </w:rPr>
        <w:t>Socorro-SE</w:t>
      </w:r>
      <w:proofErr w:type="spellEnd"/>
      <w:r>
        <w:rPr>
          <w:bCs/>
          <w:sz w:val="20"/>
          <w:szCs w:val="20"/>
        </w:rPr>
        <w:t>, considerando aspectos de umidade, curva de secagem e encurvamento longitudinal. O estudo abordou características que afetam a utilização da madeira no setor moveleiro, e foi realizada na fábrica BORGESPUMA, avaliando três pilhas de madeira por meio de amostras controladoras e determinadoras de umidade e de medição dos defeitos de 150 amostras de madeira antes e após a secagem. Os resultados indicam que a umidade de equilíbrio varia conforme as condições locais e métodos de secagem aplicados, destacando a importância do controle adequado da umidade para garantir a qualidade da madeira e contribuiu para a redução dos defeitos quantificados. Conclui-se que a UE foi de 13% para a região de estudo, que o tempo de secagem foi de oito semanas até atingir a UE e que houve redução dos defeitos relacionados ao encurvamento longitudinal após o processo de secagem.</w:t>
      </w:r>
    </w:p>
    <w:p w14:paraId="5C5FB206" w14:textId="77777777" w:rsidR="00D97DEC" w:rsidRDefault="00BC3A19">
      <w:pPr>
        <w:widowControl/>
        <w:ind w:left="567" w:right="4" w:hanging="567"/>
        <w:rPr>
          <w:sz w:val="20"/>
          <w:szCs w:val="20"/>
        </w:rPr>
      </w:pPr>
      <w:r>
        <w:rPr>
          <w:i/>
          <w:sz w:val="20"/>
          <w:szCs w:val="20"/>
        </w:rPr>
        <w:t>Palavras-chave</w:t>
      </w:r>
      <w:r>
        <w:rPr>
          <w:sz w:val="20"/>
          <w:szCs w:val="20"/>
        </w:rPr>
        <w:t>: Umidade; Defeitos; Qualidade.</w:t>
      </w:r>
    </w:p>
    <w:p w14:paraId="5E3D6838" w14:textId="77777777" w:rsidR="00D97DEC" w:rsidRDefault="00D97DEC">
      <w:pPr>
        <w:widowControl/>
        <w:ind w:left="567" w:right="4" w:hanging="567"/>
        <w:rPr>
          <w:sz w:val="20"/>
          <w:szCs w:val="20"/>
        </w:rPr>
      </w:pPr>
    </w:p>
    <w:p w14:paraId="74D41697" w14:textId="77777777" w:rsidR="00D97DEC" w:rsidRDefault="00BC3A19">
      <w:pPr>
        <w:widowControl/>
        <w:jc w:val="both"/>
        <w:rPr>
          <w:sz w:val="20"/>
          <w:szCs w:val="20"/>
        </w:rPr>
      </w:pPr>
      <w:r>
        <w:rPr>
          <w:b/>
          <w:sz w:val="20"/>
          <w:szCs w:val="20"/>
        </w:rPr>
        <w:t xml:space="preserve">INTRODUÇÃO </w:t>
      </w:r>
    </w:p>
    <w:p w14:paraId="07738E6D" w14:textId="77777777" w:rsidR="00D97DEC" w:rsidRDefault="00BC3A19">
      <w:pPr>
        <w:widowControl/>
        <w:ind w:firstLine="709"/>
        <w:jc w:val="both"/>
        <w:rPr>
          <w:bCs/>
          <w:sz w:val="20"/>
          <w:szCs w:val="20"/>
        </w:rPr>
      </w:pPr>
      <w:r>
        <w:rPr>
          <w:bCs/>
          <w:sz w:val="20"/>
          <w:szCs w:val="20"/>
        </w:rPr>
        <w:t>O processo de secagem melhora a qualidade da madeira a tornando mais estável e resistente além de redução do seu peso, podendo assim ser empregada com segurança para os mais diversos fins, em especial estrutural e mobiliário. A secagem pode ser realizada de forma natural ou ao ar livre, sem o devido controle das condições inerente ao processo de secagem ou artificial, onde se tem as variáveis envolvidas na taxa de secagem da madeira controlada. A secagem ao ar livre tem sido utilizada para se retirar a umidade inicial da madeira, até atingir o ponto de saturação das fibras (PSF).</w:t>
      </w:r>
    </w:p>
    <w:p w14:paraId="772BB0E7" w14:textId="09720493" w:rsidR="00D97DEC" w:rsidRDefault="00BC3A19">
      <w:pPr>
        <w:widowControl/>
        <w:ind w:firstLine="709"/>
        <w:jc w:val="both"/>
        <w:rPr>
          <w:bCs/>
          <w:sz w:val="20"/>
          <w:szCs w:val="20"/>
        </w:rPr>
      </w:pPr>
      <w:r>
        <w:rPr>
          <w:bCs/>
          <w:sz w:val="20"/>
          <w:szCs w:val="20"/>
        </w:rPr>
        <w:t>Entretanto, a perda da umidade do PSF até atingir a umidade de interesse, é mais demorada (</w:t>
      </w:r>
      <w:r w:rsidR="00E53BA4">
        <w:rPr>
          <w:bCs/>
          <w:sz w:val="20"/>
          <w:szCs w:val="20"/>
        </w:rPr>
        <w:t xml:space="preserve">ZANÚNCIO </w:t>
      </w:r>
      <w:r w:rsidRPr="00813B33">
        <w:rPr>
          <w:bCs/>
          <w:i/>
          <w:iCs/>
          <w:sz w:val="20"/>
          <w:szCs w:val="20"/>
        </w:rPr>
        <w:t>et al</w:t>
      </w:r>
      <w:r>
        <w:rPr>
          <w:bCs/>
          <w:sz w:val="20"/>
          <w:szCs w:val="20"/>
        </w:rPr>
        <w:t>, 2014)</w:t>
      </w:r>
      <w:r w:rsidR="00A67C55">
        <w:rPr>
          <w:bCs/>
          <w:sz w:val="20"/>
          <w:szCs w:val="20"/>
        </w:rPr>
        <w:t xml:space="preserve"> e</w:t>
      </w:r>
      <w:r>
        <w:rPr>
          <w:bCs/>
          <w:sz w:val="20"/>
          <w:szCs w:val="20"/>
        </w:rPr>
        <w:t xml:space="preserve"> </w:t>
      </w:r>
      <w:r w:rsidR="00E53BA4">
        <w:rPr>
          <w:bCs/>
          <w:sz w:val="20"/>
          <w:szCs w:val="20"/>
        </w:rPr>
        <w:t xml:space="preserve">ZEN </w:t>
      </w:r>
      <w:r w:rsidRPr="00813B33">
        <w:rPr>
          <w:bCs/>
          <w:i/>
          <w:iCs/>
          <w:sz w:val="20"/>
          <w:szCs w:val="20"/>
        </w:rPr>
        <w:t>et al.</w:t>
      </w:r>
      <w:r>
        <w:rPr>
          <w:bCs/>
          <w:sz w:val="20"/>
          <w:szCs w:val="20"/>
        </w:rPr>
        <w:t xml:space="preserve"> (2019), listam outros fatores relacionados </w:t>
      </w:r>
      <w:r w:rsidR="00A67C55">
        <w:rPr>
          <w:bCs/>
          <w:sz w:val="20"/>
          <w:szCs w:val="20"/>
        </w:rPr>
        <w:t>a</w:t>
      </w:r>
      <w:r>
        <w:rPr>
          <w:bCs/>
          <w:sz w:val="20"/>
          <w:szCs w:val="20"/>
        </w:rPr>
        <w:t xml:space="preserve"> secagem ao ar livre, que pode influenciar nessa velocidade de secagem e também devem ser considerados como o pátio de secagem, o arranjo das pilhas, além dos fatores climáticos. As dimensões das peças a serem secas, a espécie e o teor de umidade inicial também podem influenciar na velocidade de secagem da madeira. </w:t>
      </w:r>
      <w:r w:rsidR="00E53BA4">
        <w:rPr>
          <w:bCs/>
          <w:sz w:val="20"/>
          <w:szCs w:val="20"/>
        </w:rPr>
        <w:t xml:space="preserve">(KLITZKE E BATISTA, </w:t>
      </w:r>
      <w:r>
        <w:rPr>
          <w:bCs/>
          <w:sz w:val="20"/>
          <w:szCs w:val="20"/>
        </w:rPr>
        <w:t>2010).</w:t>
      </w:r>
    </w:p>
    <w:p w14:paraId="622E8ECB" w14:textId="0C131171" w:rsidR="00D97DEC" w:rsidRDefault="00BC3A19">
      <w:pPr>
        <w:widowControl/>
        <w:ind w:firstLine="709"/>
        <w:jc w:val="both"/>
        <w:rPr>
          <w:bCs/>
          <w:sz w:val="20"/>
          <w:szCs w:val="20"/>
        </w:rPr>
      </w:pPr>
      <w:r>
        <w:rPr>
          <w:bCs/>
          <w:sz w:val="20"/>
          <w:szCs w:val="20"/>
        </w:rPr>
        <w:t>Devido a fatores climáticos, tal estado pode variar havendo adsorção ou dessorção de água, porém a mesma não é suficiente para causar danos significativos na peça após atingir a sua umidade de equilíbrio (</w:t>
      </w:r>
      <w:r w:rsidR="009F1785">
        <w:rPr>
          <w:bCs/>
          <w:sz w:val="20"/>
          <w:szCs w:val="20"/>
        </w:rPr>
        <w:t xml:space="preserve">BARAÚNA </w:t>
      </w:r>
      <w:r w:rsidRPr="00813B33">
        <w:rPr>
          <w:bCs/>
          <w:i/>
          <w:iCs/>
          <w:sz w:val="20"/>
          <w:szCs w:val="20"/>
        </w:rPr>
        <w:t>et al.,</w:t>
      </w:r>
      <w:r>
        <w:rPr>
          <w:bCs/>
          <w:sz w:val="20"/>
          <w:szCs w:val="20"/>
        </w:rPr>
        <w:t xml:space="preserve"> 2022). </w:t>
      </w:r>
      <w:r w:rsidR="009F1785">
        <w:rPr>
          <w:bCs/>
          <w:sz w:val="20"/>
          <w:szCs w:val="20"/>
        </w:rPr>
        <w:t xml:space="preserve">DONATO </w:t>
      </w:r>
      <w:r>
        <w:rPr>
          <w:bCs/>
          <w:sz w:val="20"/>
          <w:szCs w:val="20"/>
        </w:rPr>
        <w:t xml:space="preserve">(2013) ressalta que o método mais utilizado para determinar o teor de umidade é o método gravimétrico ou da estufa, estabelecido pela ABNT, porém esta forma de determinação acaba apresentando algumas desvantagens por ser destrutivo e mais demorado que outros métodos, como o uso de medidores elétricos e capacitivos, entretanto esses últimos são mais precisos em teores de umidades abaixo do PSF da madeira. </w:t>
      </w:r>
    </w:p>
    <w:p w14:paraId="2F28EBC5" w14:textId="77777777" w:rsidR="00D97DEC" w:rsidRDefault="00BC3A19">
      <w:pPr>
        <w:widowControl/>
        <w:ind w:firstLine="709"/>
        <w:jc w:val="both"/>
        <w:rPr>
          <w:bCs/>
          <w:sz w:val="20"/>
          <w:szCs w:val="20"/>
        </w:rPr>
      </w:pPr>
      <w:r>
        <w:rPr>
          <w:bCs/>
          <w:sz w:val="20"/>
          <w:szCs w:val="20"/>
        </w:rPr>
        <w:lastRenderedPageBreak/>
        <w:t>O Objetivo do trabalho foi avaliar os defeitos da madeira serrada de eucalipto para a fabricação de estruturas revestidas como base de cama box e o comportamento da secagem para uma fábrica localizada em Nossa Senhora do Socorro/SE.</w:t>
      </w:r>
    </w:p>
    <w:p w14:paraId="4FE9BF3B" w14:textId="77777777" w:rsidR="00D97DEC" w:rsidRDefault="00D97DEC">
      <w:pPr>
        <w:widowControl/>
        <w:ind w:firstLine="708"/>
        <w:jc w:val="both"/>
        <w:rPr>
          <w:bCs/>
          <w:sz w:val="20"/>
          <w:szCs w:val="20"/>
        </w:rPr>
      </w:pPr>
    </w:p>
    <w:p w14:paraId="555A0C08" w14:textId="77777777" w:rsidR="00D97DEC" w:rsidRDefault="00BC3A19">
      <w:pPr>
        <w:widowControl/>
        <w:jc w:val="both"/>
        <w:rPr>
          <w:b/>
          <w:sz w:val="20"/>
          <w:szCs w:val="20"/>
        </w:rPr>
      </w:pPr>
      <w:r>
        <w:rPr>
          <w:b/>
          <w:sz w:val="20"/>
          <w:szCs w:val="20"/>
        </w:rPr>
        <w:t xml:space="preserve">MATERIAL E MÉTODOS </w:t>
      </w:r>
    </w:p>
    <w:p w14:paraId="7A8C6153" w14:textId="77777777" w:rsidR="00D97DEC" w:rsidRDefault="00BC3A19">
      <w:pPr>
        <w:widowControl/>
        <w:ind w:firstLine="708"/>
        <w:jc w:val="both"/>
        <w:rPr>
          <w:bCs/>
          <w:sz w:val="20"/>
          <w:szCs w:val="20"/>
        </w:rPr>
      </w:pPr>
      <w:r>
        <w:rPr>
          <w:bCs/>
          <w:sz w:val="20"/>
          <w:szCs w:val="20"/>
        </w:rPr>
        <w:t>A madeira serrada foi fornecida pela Fábrica BORGESPUMA localizada no município de Nossa Senhora do Socorro/SE, vindo do estado de Alagoas. O material já vem serrado na dimensão de 3x2x210cm (</w:t>
      </w:r>
      <w:proofErr w:type="spellStart"/>
      <w:proofErr w:type="gramStart"/>
      <w:r>
        <w:rPr>
          <w:bCs/>
          <w:sz w:val="20"/>
          <w:szCs w:val="20"/>
        </w:rPr>
        <w:t>Larg.xEsp.xComp</w:t>
      </w:r>
      <w:proofErr w:type="spellEnd"/>
      <w:proofErr w:type="gramEnd"/>
      <w:r>
        <w:rPr>
          <w:bCs/>
          <w:sz w:val="20"/>
          <w:szCs w:val="20"/>
        </w:rPr>
        <w:t>), com teor de unidade acima do Ponto de Saturação das Fibras, empacotados e amarrados com fita de nylon.</w:t>
      </w:r>
    </w:p>
    <w:p w14:paraId="767EA5DC" w14:textId="77777777" w:rsidR="00D97DEC" w:rsidRDefault="00BC3A19">
      <w:pPr>
        <w:widowControl/>
        <w:ind w:firstLine="708"/>
        <w:jc w:val="both"/>
        <w:rPr>
          <w:bCs/>
          <w:sz w:val="20"/>
          <w:szCs w:val="20"/>
        </w:rPr>
      </w:pPr>
      <w:r>
        <w:rPr>
          <w:bCs/>
          <w:sz w:val="20"/>
          <w:szCs w:val="20"/>
        </w:rPr>
        <w:t>Foram avaliadas três pilhas de secagem sendo as umidades da madeira determinadas por meio de amostras determinadoras de umidade (ADU) e acompanhadas por amostras controladoras de umidade (ACU). As amostras foram retiradas em posições diferentes das peças, nas extremidades e no centro, sendo que, para as amostras retiradas nas extremidades, foi respeitada a distância de 10 cm, para evitar influência da perda excessiva de umidade, sendo estas instaladas diagonalmente na base e no topo da pilha e uma amostra central, instaladas no meio das pilhas.</w:t>
      </w:r>
    </w:p>
    <w:p w14:paraId="73ADDABC" w14:textId="77777777" w:rsidR="00D97DEC" w:rsidRDefault="00BC3A19">
      <w:pPr>
        <w:widowControl/>
        <w:ind w:firstLine="708"/>
        <w:jc w:val="both"/>
        <w:rPr>
          <w:bCs/>
          <w:sz w:val="20"/>
          <w:szCs w:val="20"/>
        </w:rPr>
      </w:pPr>
      <w:r>
        <w:rPr>
          <w:bCs/>
          <w:sz w:val="20"/>
          <w:szCs w:val="20"/>
        </w:rPr>
        <w:t xml:space="preserve">Foram retiradas duas </w:t>
      </w:r>
      <w:proofErr w:type="spellStart"/>
      <w:r>
        <w:rPr>
          <w:bCs/>
          <w:sz w:val="20"/>
          <w:szCs w:val="20"/>
        </w:rPr>
        <w:t>ADU’s</w:t>
      </w:r>
      <w:proofErr w:type="spellEnd"/>
      <w:r>
        <w:rPr>
          <w:bCs/>
          <w:sz w:val="20"/>
          <w:szCs w:val="20"/>
        </w:rPr>
        <w:t xml:space="preserve"> em cada extremidade da ACU para determinação do teor de umidade inicial e determinação do peso seco das </w:t>
      </w:r>
      <w:proofErr w:type="spellStart"/>
      <w:r>
        <w:rPr>
          <w:bCs/>
          <w:sz w:val="20"/>
          <w:szCs w:val="20"/>
        </w:rPr>
        <w:t>ACU’s</w:t>
      </w:r>
      <w:proofErr w:type="spellEnd"/>
      <w:r>
        <w:rPr>
          <w:bCs/>
          <w:sz w:val="20"/>
          <w:szCs w:val="20"/>
        </w:rPr>
        <w:t>, que foram recolocadas na pilha para os demais cálculos de acompanhamento do processo de secagem (Figura 1).</w:t>
      </w:r>
    </w:p>
    <w:p w14:paraId="6FAD5B33" w14:textId="77777777" w:rsidR="00D97DEC" w:rsidRDefault="00D97DEC">
      <w:pPr>
        <w:widowControl/>
        <w:ind w:firstLine="708"/>
        <w:jc w:val="both"/>
        <w:rPr>
          <w:bCs/>
          <w:sz w:val="20"/>
          <w:szCs w:val="20"/>
        </w:rPr>
      </w:pPr>
    </w:p>
    <w:p w14:paraId="6890ABEF" w14:textId="77777777" w:rsidR="00D97DEC" w:rsidRDefault="00BC3A19">
      <w:pPr>
        <w:widowControl/>
        <w:jc w:val="both"/>
        <w:rPr>
          <w:bCs/>
          <w:sz w:val="20"/>
          <w:szCs w:val="20"/>
        </w:rPr>
      </w:pPr>
      <w:r>
        <w:rPr>
          <w:noProof/>
        </w:rPr>
        <w:drawing>
          <wp:inline distT="0" distB="0" distL="0" distR="0" wp14:anchorId="6214334E" wp14:editId="3C011CA4">
            <wp:extent cx="5753100" cy="885825"/>
            <wp:effectExtent l="0" t="0" r="0" b="0"/>
            <wp:docPr id="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2"/>
                    <pic:cNvPicPr>
                      <a:picLocks noChangeAspect="1" noChangeArrowheads="1"/>
                    </pic:cNvPicPr>
                  </pic:nvPicPr>
                  <pic:blipFill>
                    <a:blip r:embed="rId7"/>
                    <a:stretch>
                      <a:fillRect/>
                    </a:stretch>
                  </pic:blipFill>
                  <pic:spPr bwMode="auto">
                    <a:xfrm>
                      <a:off x="0" y="0"/>
                      <a:ext cx="5753100" cy="885825"/>
                    </a:xfrm>
                    <a:prstGeom prst="rect">
                      <a:avLst/>
                    </a:prstGeom>
                    <a:noFill/>
                  </pic:spPr>
                </pic:pic>
              </a:graphicData>
            </a:graphic>
          </wp:inline>
        </w:drawing>
      </w:r>
    </w:p>
    <w:p w14:paraId="1120EC22" w14:textId="77777777" w:rsidR="00D97DEC" w:rsidRDefault="00BC3A19">
      <w:pPr>
        <w:widowControl/>
        <w:jc w:val="both"/>
        <w:rPr>
          <w:bCs/>
          <w:sz w:val="20"/>
          <w:szCs w:val="20"/>
        </w:rPr>
      </w:pPr>
      <w:r>
        <w:rPr>
          <w:bCs/>
          <w:sz w:val="20"/>
          <w:szCs w:val="20"/>
        </w:rPr>
        <w:t>Figura 1.</w:t>
      </w:r>
      <w:r>
        <w:rPr>
          <w:bCs/>
          <w:sz w:val="20"/>
          <w:szCs w:val="20"/>
        </w:rPr>
        <w:tab/>
        <w:t xml:space="preserve">Esquema de retiradas das </w:t>
      </w:r>
      <w:proofErr w:type="spellStart"/>
      <w:r>
        <w:rPr>
          <w:bCs/>
          <w:sz w:val="20"/>
          <w:szCs w:val="20"/>
        </w:rPr>
        <w:t>ADU’s</w:t>
      </w:r>
      <w:proofErr w:type="spellEnd"/>
      <w:r>
        <w:rPr>
          <w:bCs/>
          <w:sz w:val="20"/>
          <w:szCs w:val="20"/>
        </w:rPr>
        <w:t xml:space="preserve"> e das </w:t>
      </w:r>
      <w:proofErr w:type="spellStart"/>
      <w:r>
        <w:rPr>
          <w:bCs/>
          <w:sz w:val="20"/>
          <w:szCs w:val="20"/>
        </w:rPr>
        <w:t>ACU’s</w:t>
      </w:r>
      <w:proofErr w:type="spellEnd"/>
      <w:r>
        <w:rPr>
          <w:bCs/>
          <w:sz w:val="20"/>
          <w:szCs w:val="20"/>
        </w:rPr>
        <w:t>.</w:t>
      </w:r>
    </w:p>
    <w:p w14:paraId="370F94F1" w14:textId="77777777" w:rsidR="00D97DEC" w:rsidRPr="00813B33" w:rsidRDefault="00D97DEC">
      <w:pPr>
        <w:widowControl/>
        <w:jc w:val="both"/>
        <w:rPr>
          <w:bCs/>
          <w:sz w:val="20"/>
          <w:szCs w:val="20"/>
        </w:rPr>
      </w:pPr>
    </w:p>
    <w:p w14:paraId="6BD1AB0E" w14:textId="77777777" w:rsidR="00D97DEC" w:rsidRDefault="00BC3A19">
      <w:pPr>
        <w:widowControl/>
        <w:ind w:firstLine="708"/>
        <w:jc w:val="both"/>
        <w:rPr>
          <w:bCs/>
          <w:sz w:val="20"/>
          <w:szCs w:val="20"/>
        </w:rPr>
      </w:pPr>
      <w:r>
        <w:rPr>
          <w:bCs/>
          <w:sz w:val="20"/>
          <w:szCs w:val="20"/>
        </w:rPr>
        <w:t xml:space="preserve">As </w:t>
      </w:r>
      <w:proofErr w:type="spellStart"/>
      <w:r>
        <w:rPr>
          <w:bCs/>
          <w:sz w:val="20"/>
          <w:szCs w:val="20"/>
        </w:rPr>
        <w:t>ADU’s</w:t>
      </w:r>
      <w:proofErr w:type="spellEnd"/>
      <w:r>
        <w:rPr>
          <w:bCs/>
          <w:sz w:val="20"/>
          <w:szCs w:val="20"/>
        </w:rPr>
        <w:t xml:space="preserve"> e as </w:t>
      </w:r>
      <w:proofErr w:type="spellStart"/>
      <w:r>
        <w:rPr>
          <w:bCs/>
          <w:sz w:val="20"/>
          <w:szCs w:val="20"/>
        </w:rPr>
        <w:t>ACU’s</w:t>
      </w:r>
      <w:proofErr w:type="spellEnd"/>
      <w:r>
        <w:rPr>
          <w:bCs/>
          <w:sz w:val="20"/>
          <w:szCs w:val="20"/>
        </w:rPr>
        <w:t xml:space="preserve"> foram retiradas das pilhas de secagem após serem montadas, sendo 12 </w:t>
      </w:r>
      <w:proofErr w:type="spellStart"/>
      <w:r>
        <w:rPr>
          <w:bCs/>
          <w:sz w:val="20"/>
          <w:szCs w:val="20"/>
        </w:rPr>
        <w:t>ADU’s</w:t>
      </w:r>
      <w:proofErr w:type="spellEnd"/>
      <w:r>
        <w:rPr>
          <w:bCs/>
          <w:sz w:val="20"/>
          <w:szCs w:val="20"/>
        </w:rPr>
        <w:t xml:space="preserve"> e seis </w:t>
      </w:r>
      <w:proofErr w:type="spellStart"/>
      <w:proofErr w:type="gramStart"/>
      <w:r>
        <w:rPr>
          <w:bCs/>
          <w:sz w:val="20"/>
          <w:szCs w:val="20"/>
        </w:rPr>
        <w:t>ACU”s</w:t>
      </w:r>
      <w:proofErr w:type="spellEnd"/>
      <w:proofErr w:type="gramEnd"/>
      <w:r>
        <w:rPr>
          <w:bCs/>
          <w:sz w:val="20"/>
          <w:szCs w:val="20"/>
        </w:rPr>
        <w:t xml:space="preserve"> por pilha, sendo as </w:t>
      </w:r>
      <w:proofErr w:type="spellStart"/>
      <w:r>
        <w:rPr>
          <w:bCs/>
          <w:sz w:val="20"/>
          <w:szCs w:val="20"/>
        </w:rPr>
        <w:t>ACU’s</w:t>
      </w:r>
      <w:proofErr w:type="spellEnd"/>
      <w:r>
        <w:rPr>
          <w:bCs/>
          <w:sz w:val="20"/>
          <w:szCs w:val="20"/>
        </w:rPr>
        <w:t xml:space="preserve"> distribuídas diagonalmente nas pilhas para controle da secagem da madeira, de forma inversa nos dois lados das pilhas, Figura 2.</w:t>
      </w:r>
    </w:p>
    <w:p w14:paraId="659C1931" w14:textId="77777777" w:rsidR="00D97DEC" w:rsidRDefault="00D97DEC">
      <w:pPr>
        <w:widowControl/>
        <w:ind w:firstLine="708"/>
        <w:jc w:val="both"/>
        <w:rPr>
          <w:bCs/>
          <w:sz w:val="20"/>
          <w:szCs w:val="20"/>
        </w:rPr>
      </w:pPr>
    </w:p>
    <w:p w14:paraId="307F563A" w14:textId="77777777" w:rsidR="00D97DEC" w:rsidRDefault="00BC3A19">
      <w:pPr>
        <w:widowControl/>
        <w:jc w:val="center"/>
        <w:rPr>
          <w:bCs/>
          <w:sz w:val="20"/>
          <w:szCs w:val="20"/>
        </w:rPr>
      </w:pPr>
      <w:r>
        <w:rPr>
          <w:noProof/>
        </w:rPr>
        <w:drawing>
          <wp:inline distT="0" distB="0" distL="0" distR="0" wp14:anchorId="11B4893C" wp14:editId="56018B7A">
            <wp:extent cx="3089910" cy="182245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8"/>
                    <a:srcRect t="21260" b="14120"/>
                    <a:stretch>
                      <a:fillRect/>
                    </a:stretch>
                  </pic:blipFill>
                  <pic:spPr bwMode="auto">
                    <a:xfrm>
                      <a:off x="0" y="0"/>
                      <a:ext cx="3089910" cy="1822450"/>
                    </a:xfrm>
                    <a:prstGeom prst="rect">
                      <a:avLst/>
                    </a:prstGeom>
                    <a:noFill/>
                  </pic:spPr>
                </pic:pic>
              </a:graphicData>
            </a:graphic>
          </wp:inline>
        </w:drawing>
      </w:r>
    </w:p>
    <w:p w14:paraId="201BB85A" w14:textId="77777777" w:rsidR="00D97DEC" w:rsidRDefault="00D97DEC">
      <w:pPr>
        <w:widowControl/>
        <w:jc w:val="center"/>
        <w:rPr>
          <w:bCs/>
          <w:sz w:val="20"/>
          <w:szCs w:val="20"/>
        </w:rPr>
      </w:pPr>
    </w:p>
    <w:p w14:paraId="627C20E5" w14:textId="1A9B9520" w:rsidR="00D97DEC" w:rsidRDefault="00BC3A19">
      <w:pPr>
        <w:widowControl/>
        <w:jc w:val="both"/>
        <w:rPr>
          <w:bCs/>
          <w:sz w:val="20"/>
          <w:szCs w:val="20"/>
        </w:rPr>
      </w:pPr>
      <w:r>
        <w:rPr>
          <w:bCs/>
          <w:sz w:val="20"/>
          <w:szCs w:val="20"/>
        </w:rPr>
        <w:t>Figura 2.</w:t>
      </w:r>
      <w:r>
        <w:rPr>
          <w:bCs/>
          <w:sz w:val="20"/>
          <w:szCs w:val="20"/>
        </w:rPr>
        <w:tab/>
        <w:t>Esquema da pilha de secagem com as amostras controlado</w:t>
      </w:r>
      <w:r w:rsidR="00D673C8">
        <w:rPr>
          <w:bCs/>
          <w:sz w:val="20"/>
          <w:szCs w:val="20"/>
        </w:rPr>
        <w:t>ra</w:t>
      </w:r>
      <w:r>
        <w:rPr>
          <w:bCs/>
          <w:sz w:val="20"/>
          <w:szCs w:val="20"/>
        </w:rPr>
        <w:t>s de umidade dispostas diagonalmente.</w:t>
      </w:r>
    </w:p>
    <w:p w14:paraId="4F06E6FA" w14:textId="77777777" w:rsidR="00D97DEC" w:rsidRDefault="00D97DEC">
      <w:pPr>
        <w:widowControl/>
        <w:ind w:firstLine="708"/>
        <w:jc w:val="both"/>
        <w:rPr>
          <w:bCs/>
          <w:sz w:val="20"/>
          <w:szCs w:val="20"/>
        </w:rPr>
      </w:pPr>
    </w:p>
    <w:p w14:paraId="56D7F357" w14:textId="35A8B5EE" w:rsidR="00D97DEC" w:rsidRDefault="00BC3A19">
      <w:pPr>
        <w:widowControl/>
        <w:ind w:firstLine="708"/>
        <w:jc w:val="both"/>
        <w:rPr>
          <w:bCs/>
          <w:sz w:val="20"/>
          <w:szCs w:val="20"/>
        </w:rPr>
      </w:pPr>
      <w:r>
        <w:rPr>
          <w:bCs/>
          <w:sz w:val="20"/>
          <w:szCs w:val="20"/>
        </w:rPr>
        <w:t xml:space="preserve">As </w:t>
      </w:r>
      <w:proofErr w:type="spellStart"/>
      <w:r>
        <w:rPr>
          <w:bCs/>
          <w:sz w:val="20"/>
          <w:szCs w:val="20"/>
        </w:rPr>
        <w:t>ADU´s</w:t>
      </w:r>
      <w:proofErr w:type="spellEnd"/>
      <w:r>
        <w:rPr>
          <w:bCs/>
          <w:sz w:val="20"/>
          <w:szCs w:val="20"/>
        </w:rPr>
        <w:t xml:space="preserve"> foram colocadas em uma estufa de circulação de ar mecânica com temperatura de 103±2 ºC até peso constante para determinação dos seus peso e teor de umidade, e para a obtenção da umidade inicial real das amostras estudadas durante o período de medições</w:t>
      </w:r>
      <w:r w:rsidR="00813B33">
        <w:rPr>
          <w:bCs/>
          <w:sz w:val="20"/>
          <w:szCs w:val="20"/>
        </w:rPr>
        <w:t xml:space="preserve">. </w:t>
      </w:r>
      <w:r>
        <w:rPr>
          <w:bCs/>
          <w:sz w:val="20"/>
          <w:szCs w:val="20"/>
        </w:rPr>
        <w:t xml:space="preserve"> As extremidades das </w:t>
      </w:r>
      <w:proofErr w:type="spellStart"/>
      <w:r>
        <w:rPr>
          <w:bCs/>
          <w:sz w:val="20"/>
          <w:szCs w:val="20"/>
        </w:rPr>
        <w:t>ACU’s</w:t>
      </w:r>
      <w:proofErr w:type="spellEnd"/>
      <w:r>
        <w:rPr>
          <w:bCs/>
          <w:sz w:val="20"/>
          <w:szCs w:val="20"/>
        </w:rPr>
        <w:t xml:space="preserve"> foram parafinadas e pesadas semanalmente, sendo este o novo peso úmido para o acompanhamento da perda da umidade até sua completa estabilização, para determinar o comportamento final da secagem das madeiras até atingir a umidade de equilíbrio. Os teores de umidade foram determinados por meio da Equação 1.</w:t>
      </w:r>
    </w:p>
    <w:p w14:paraId="359F2760" w14:textId="77777777" w:rsidR="00D97DEC" w:rsidRDefault="00D97DEC">
      <w:pPr>
        <w:widowControl/>
        <w:ind w:firstLine="708"/>
        <w:jc w:val="both"/>
        <w:rPr>
          <w:bCs/>
          <w:sz w:val="20"/>
          <w:szCs w:val="20"/>
        </w:rPr>
      </w:pPr>
    </w:p>
    <w:p w14:paraId="35B64E64" w14:textId="77777777" w:rsidR="00D97DEC" w:rsidRDefault="00BC3A19">
      <w:pPr>
        <w:widowControl/>
        <w:jc w:val="center"/>
        <w:rPr>
          <w:bCs/>
          <w:sz w:val="20"/>
          <w:szCs w:val="20"/>
        </w:rPr>
      </w:pPr>
      <m:oMath>
        <m:r>
          <w:rPr>
            <w:rFonts w:ascii="Cambria Math" w:hAnsi="Cambria Math"/>
          </w:rPr>
          <m:t>Tu(</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Pu-Ps</m:t>
            </m:r>
          </m:num>
          <m:den>
            <m:r>
              <w:rPr>
                <w:rFonts w:ascii="Cambria Math" w:hAnsi="Cambria Math"/>
              </w:rPr>
              <m:t>Ps</m:t>
            </m:r>
          </m:den>
        </m:f>
        <m:r>
          <w:rPr>
            <w:rFonts w:ascii="Cambria Math" w:hAnsi="Cambria Math"/>
          </w:rPr>
          <m:t>.100</m:t>
        </m:r>
      </m:oMath>
      <w:r>
        <w:rPr>
          <w:bCs/>
          <w:sz w:val="20"/>
          <w:szCs w:val="20"/>
        </w:rPr>
        <w:t xml:space="preserve">                               Equação 1</w:t>
      </w:r>
    </w:p>
    <w:p w14:paraId="2DEA14DE" w14:textId="77777777" w:rsidR="00D97DEC" w:rsidRDefault="00D97DEC">
      <w:pPr>
        <w:widowControl/>
        <w:jc w:val="center"/>
        <w:rPr>
          <w:bCs/>
          <w:sz w:val="20"/>
          <w:szCs w:val="20"/>
        </w:rPr>
      </w:pPr>
    </w:p>
    <w:p w14:paraId="082F4784" w14:textId="77777777" w:rsidR="00D97DEC" w:rsidRDefault="00BC3A19">
      <w:pPr>
        <w:widowControl/>
        <w:ind w:firstLine="708"/>
        <w:jc w:val="both"/>
        <w:rPr>
          <w:bCs/>
          <w:sz w:val="20"/>
          <w:szCs w:val="20"/>
        </w:rPr>
      </w:pPr>
      <w:r>
        <w:rPr>
          <w:bCs/>
          <w:sz w:val="20"/>
          <w:szCs w:val="20"/>
        </w:rPr>
        <w:t xml:space="preserve">Em que: </w:t>
      </w:r>
      <w:proofErr w:type="gramStart"/>
      <w:r>
        <w:rPr>
          <w:bCs/>
          <w:sz w:val="20"/>
          <w:szCs w:val="20"/>
        </w:rPr>
        <w:t>Tu(</w:t>
      </w:r>
      <w:proofErr w:type="gramEnd"/>
      <w:r>
        <w:rPr>
          <w:bCs/>
          <w:sz w:val="20"/>
          <w:szCs w:val="20"/>
        </w:rPr>
        <w:t xml:space="preserve">%) - Teor de Umidade, </w:t>
      </w:r>
      <w:proofErr w:type="spellStart"/>
      <w:r>
        <w:rPr>
          <w:bCs/>
          <w:sz w:val="20"/>
          <w:szCs w:val="20"/>
        </w:rPr>
        <w:t>Pu</w:t>
      </w:r>
      <w:proofErr w:type="spellEnd"/>
      <w:r>
        <w:rPr>
          <w:bCs/>
          <w:sz w:val="20"/>
          <w:szCs w:val="20"/>
        </w:rPr>
        <w:t xml:space="preserve"> - Peso úmido (g), </w:t>
      </w:r>
      <w:proofErr w:type="spellStart"/>
      <w:r>
        <w:rPr>
          <w:bCs/>
          <w:sz w:val="20"/>
          <w:szCs w:val="20"/>
        </w:rPr>
        <w:t>Ps</w:t>
      </w:r>
      <w:proofErr w:type="spellEnd"/>
      <w:r>
        <w:rPr>
          <w:bCs/>
          <w:sz w:val="20"/>
          <w:szCs w:val="20"/>
        </w:rPr>
        <w:t xml:space="preserve"> - Peso seco (g)</w:t>
      </w:r>
    </w:p>
    <w:p w14:paraId="18D755A4" w14:textId="77777777" w:rsidR="00D97DEC" w:rsidRDefault="00D97DEC">
      <w:pPr>
        <w:widowControl/>
        <w:ind w:firstLine="708"/>
        <w:jc w:val="both"/>
        <w:rPr>
          <w:bCs/>
          <w:sz w:val="20"/>
          <w:szCs w:val="20"/>
        </w:rPr>
      </w:pPr>
    </w:p>
    <w:p w14:paraId="17FD4162" w14:textId="77777777" w:rsidR="00D97DEC" w:rsidRDefault="00BC3A19">
      <w:pPr>
        <w:widowControl/>
        <w:ind w:firstLine="708"/>
        <w:jc w:val="both"/>
        <w:rPr>
          <w:bCs/>
          <w:sz w:val="20"/>
          <w:szCs w:val="20"/>
        </w:rPr>
      </w:pPr>
      <w:r>
        <w:rPr>
          <w:bCs/>
          <w:sz w:val="20"/>
          <w:szCs w:val="20"/>
        </w:rPr>
        <w:t xml:space="preserve">O peso seco das </w:t>
      </w:r>
      <w:proofErr w:type="spellStart"/>
      <w:r>
        <w:rPr>
          <w:bCs/>
          <w:sz w:val="20"/>
          <w:szCs w:val="20"/>
        </w:rPr>
        <w:t>ACU’s</w:t>
      </w:r>
      <w:proofErr w:type="spellEnd"/>
      <w:r>
        <w:rPr>
          <w:bCs/>
          <w:sz w:val="20"/>
          <w:szCs w:val="20"/>
        </w:rPr>
        <w:t xml:space="preserve"> para o acompanhamento e finalização do processo de secagem até a sua umidade de equilíbrio foi determinado com base no teor de umidade médio encontrado nas </w:t>
      </w:r>
      <w:proofErr w:type="spellStart"/>
      <w:r>
        <w:rPr>
          <w:bCs/>
          <w:sz w:val="20"/>
          <w:szCs w:val="20"/>
        </w:rPr>
        <w:t>ADU’s</w:t>
      </w:r>
      <w:proofErr w:type="spellEnd"/>
      <w:r>
        <w:rPr>
          <w:bCs/>
          <w:sz w:val="20"/>
          <w:szCs w:val="20"/>
        </w:rPr>
        <w:t>, por meio da equação 2.</w:t>
      </w:r>
    </w:p>
    <w:p w14:paraId="69C2070B" w14:textId="77777777" w:rsidR="00D97DEC" w:rsidRDefault="00D97DEC">
      <w:pPr>
        <w:widowControl/>
        <w:ind w:firstLine="708"/>
        <w:jc w:val="both"/>
        <w:rPr>
          <w:bCs/>
          <w:sz w:val="20"/>
          <w:szCs w:val="20"/>
        </w:rPr>
      </w:pPr>
    </w:p>
    <w:p w14:paraId="539524E9" w14:textId="77777777" w:rsidR="00D97DEC" w:rsidRDefault="00205F3D">
      <w:pPr>
        <w:widowControl/>
        <w:jc w:val="center"/>
        <w:rPr>
          <w:i/>
          <w:sz w:val="20"/>
          <w:szCs w:val="20"/>
        </w:rPr>
      </w:pPr>
      <m:oMath>
        <m:sSub>
          <m:sSubPr>
            <m:ctrlPr>
              <w:rPr>
                <w:rFonts w:ascii="Cambria Math" w:hAnsi="Cambria Math"/>
              </w:rPr>
            </m:ctrlPr>
          </m:sSubPr>
          <m:e>
            <m:r>
              <w:rPr>
                <w:rFonts w:ascii="Cambria Math" w:hAnsi="Cambria Math"/>
              </w:rPr>
              <m:t>P</m:t>
            </m:r>
          </m:e>
          <m:sub>
            <m:r>
              <w:rPr>
                <w:rFonts w:ascii="Cambria Math" w:hAnsi="Cambria Math"/>
              </w:rPr>
              <m:t>Seco=</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U</m:t>
                    </m:r>
                  </m:sub>
                </m:sSub>
              </m:num>
              <m:den>
                <m:r>
                  <w:rPr>
                    <w:rFonts w:ascii="Cambria Math" w:hAnsi="Cambria Math"/>
                  </w:rPr>
                  <m:t>(</m:t>
                </m:r>
                <m:f>
                  <m:fPr>
                    <m:ctrlPr>
                      <w:rPr>
                        <w:rFonts w:ascii="Cambria Math" w:hAnsi="Cambria Math"/>
                      </w:rPr>
                    </m:ctrlPr>
                  </m:fPr>
                  <m:num>
                    <m:r>
                      <w:rPr>
                        <w:rFonts w:ascii="Cambria Math" w:hAnsi="Cambria Math"/>
                      </w:rPr>
                      <m:t>U</m:t>
                    </m:r>
                    <m:r>
                      <m:rPr>
                        <m:lit/>
                        <m:nor/>
                      </m:rPr>
                      <w:rPr>
                        <w:rFonts w:ascii="Cambria Math" w:hAnsi="Cambria Math"/>
                      </w:rPr>
                      <m:t>%</m:t>
                    </m:r>
                  </m:num>
                  <m:den>
                    <m:r>
                      <w:rPr>
                        <w:rFonts w:ascii="Cambria Math" w:hAnsi="Cambria Math"/>
                      </w:rPr>
                      <m:t>100</m:t>
                    </m:r>
                  </m:den>
                </m:f>
                <m:r>
                  <w:rPr>
                    <w:rFonts w:ascii="Cambria Math" w:hAnsi="Cambria Math"/>
                  </w:rPr>
                  <m:t>+1)</m:t>
                </m:r>
              </m:den>
            </m:f>
          </m:sub>
        </m:sSub>
      </m:oMath>
      <w:r w:rsidR="00BC3A19">
        <w:rPr>
          <w:bCs/>
          <w:sz w:val="20"/>
          <w:szCs w:val="20"/>
        </w:rPr>
        <w:t xml:space="preserve">                               Equação 2</w:t>
      </w:r>
    </w:p>
    <w:p w14:paraId="1BB5D869" w14:textId="77777777" w:rsidR="00D97DEC" w:rsidRDefault="00D97DEC">
      <w:pPr>
        <w:widowControl/>
        <w:ind w:firstLine="708"/>
        <w:jc w:val="both"/>
        <w:rPr>
          <w:bCs/>
          <w:sz w:val="20"/>
          <w:szCs w:val="20"/>
        </w:rPr>
      </w:pPr>
    </w:p>
    <w:p w14:paraId="2A3BFEDA" w14:textId="77777777" w:rsidR="00D97DEC" w:rsidRDefault="00BC3A19">
      <w:pPr>
        <w:widowControl/>
        <w:ind w:firstLine="708"/>
        <w:jc w:val="both"/>
        <w:rPr>
          <w:bCs/>
          <w:sz w:val="20"/>
          <w:szCs w:val="20"/>
        </w:rPr>
      </w:pPr>
      <w:r>
        <w:rPr>
          <w:bCs/>
          <w:sz w:val="20"/>
          <w:szCs w:val="20"/>
        </w:rPr>
        <w:t xml:space="preserve">Em que: </w:t>
      </w:r>
      <w:proofErr w:type="spellStart"/>
      <w:r>
        <w:rPr>
          <w:bCs/>
          <w:sz w:val="20"/>
          <w:szCs w:val="20"/>
        </w:rPr>
        <w:t>P</w:t>
      </w:r>
      <w:r>
        <w:rPr>
          <w:bCs/>
          <w:sz w:val="20"/>
          <w:szCs w:val="20"/>
          <w:vertAlign w:val="subscript"/>
        </w:rPr>
        <w:t>Seco</w:t>
      </w:r>
      <w:proofErr w:type="spellEnd"/>
      <w:r>
        <w:rPr>
          <w:bCs/>
          <w:sz w:val="20"/>
          <w:szCs w:val="20"/>
          <w:vertAlign w:val="subscript"/>
        </w:rPr>
        <w:t xml:space="preserve"> </w:t>
      </w:r>
      <w:r>
        <w:rPr>
          <w:bCs/>
          <w:sz w:val="20"/>
          <w:szCs w:val="20"/>
        </w:rPr>
        <w:t>-</w:t>
      </w:r>
      <w:r>
        <w:rPr>
          <w:bCs/>
          <w:sz w:val="20"/>
          <w:szCs w:val="20"/>
          <w:vertAlign w:val="subscript"/>
        </w:rPr>
        <w:t xml:space="preserve"> </w:t>
      </w:r>
      <w:r>
        <w:rPr>
          <w:bCs/>
          <w:sz w:val="20"/>
          <w:szCs w:val="20"/>
        </w:rPr>
        <w:t>peso seco da ACU após pesagem da amostra (g), P</w:t>
      </w:r>
      <w:r>
        <w:rPr>
          <w:bCs/>
          <w:sz w:val="20"/>
          <w:szCs w:val="20"/>
          <w:vertAlign w:val="subscript"/>
        </w:rPr>
        <w:t xml:space="preserve">U </w:t>
      </w:r>
      <w:r>
        <w:rPr>
          <w:bCs/>
          <w:sz w:val="20"/>
          <w:szCs w:val="20"/>
        </w:rPr>
        <w:t xml:space="preserve">– Peso inicial da ACU (g), </w:t>
      </w:r>
      <w:proofErr w:type="gramStart"/>
      <w:r>
        <w:rPr>
          <w:bCs/>
          <w:sz w:val="20"/>
          <w:szCs w:val="20"/>
        </w:rPr>
        <w:t>U(</w:t>
      </w:r>
      <w:proofErr w:type="gramEnd"/>
      <w:r>
        <w:rPr>
          <w:bCs/>
          <w:sz w:val="20"/>
          <w:szCs w:val="20"/>
        </w:rPr>
        <w:t>%) – teor de umidade médio da respectiva ADU e sua ACU.</w:t>
      </w:r>
    </w:p>
    <w:p w14:paraId="5AACA857" w14:textId="77777777" w:rsidR="00D97DEC" w:rsidRDefault="00D97DEC">
      <w:pPr>
        <w:widowControl/>
        <w:ind w:firstLine="708"/>
        <w:jc w:val="both"/>
        <w:rPr>
          <w:bCs/>
          <w:sz w:val="20"/>
          <w:szCs w:val="20"/>
        </w:rPr>
      </w:pPr>
    </w:p>
    <w:p w14:paraId="2CC305D2" w14:textId="77777777" w:rsidR="00D97DEC" w:rsidRDefault="00BC3A19">
      <w:pPr>
        <w:widowControl/>
        <w:ind w:firstLine="708"/>
        <w:jc w:val="both"/>
        <w:rPr>
          <w:bCs/>
          <w:sz w:val="20"/>
          <w:szCs w:val="20"/>
        </w:rPr>
      </w:pPr>
      <w:r>
        <w:rPr>
          <w:bCs/>
          <w:sz w:val="20"/>
          <w:szCs w:val="20"/>
        </w:rPr>
        <w:t xml:space="preserve">A determinação do percentual de encurvamento foi </w:t>
      </w:r>
      <w:proofErr w:type="gramStart"/>
      <w:r w:rsidRPr="00813B33">
        <w:rPr>
          <w:bCs/>
          <w:sz w:val="20"/>
          <w:szCs w:val="20"/>
        </w:rPr>
        <w:t>realizado</w:t>
      </w:r>
      <w:proofErr w:type="gramEnd"/>
      <w:r>
        <w:rPr>
          <w:bCs/>
          <w:sz w:val="20"/>
          <w:szCs w:val="20"/>
        </w:rPr>
        <w:t xml:space="preserve"> esticando uma linha apoiada nas extremidades da peça e medida a maior distância da linha até a sua superfície, denominada de flecha e o comprimento que esse encurvamento influenciava na peça, Figura 3.</w:t>
      </w:r>
    </w:p>
    <w:p w14:paraId="50C31890" w14:textId="77777777" w:rsidR="00D97DEC" w:rsidRDefault="00D97DEC">
      <w:pPr>
        <w:widowControl/>
        <w:ind w:firstLine="708"/>
        <w:jc w:val="both"/>
        <w:rPr>
          <w:bCs/>
          <w:sz w:val="20"/>
          <w:szCs w:val="20"/>
          <w:lang w:val="pt-PT"/>
        </w:rPr>
      </w:pPr>
    </w:p>
    <w:p w14:paraId="67922CE5" w14:textId="77777777" w:rsidR="00D97DEC" w:rsidRDefault="00BC3A19">
      <w:pPr>
        <w:widowControl/>
        <w:jc w:val="center"/>
        <w:rPr>
          <w:bCs/>
          <w:sz w:val="20"/>
          <w:szCs w:val="20"/>
          <w:lang w:val="pt-PT"/>
        </w:rPr>
      </w:pPr>
      <w:r>
        <w:rPr>
          <w:noProof/>
        </w:rPr>
        <w:drawing>
          <wp:inline distT="0" distB="0" distL="0" distR="0" wp14:anchorId="1450A881" wp14:editId="1C036588">
            <wp:extent cx="3790800" cy="882000"/>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pic:cNvPicPr>
                      <a:picLocks noChangeAspect="1" noChangeArrowheads="1"/>
                    </pic:cNvPicPr>
                  </pic:nvPicPr>
                  <pic:blipFill>
                    <a:blip r:embed="rId9"/>
                    <a:stretch>
                      <a:fillRect/>
                    </a:stretch>
                  </pic:blipFill>
                  <pic:spPr bwMode="auto">
                    <a:xfrm>
                      <a:off x="0" y="0"/>
                      <a:ext cx="3790800" cy="882000"/>
                    </a:xfrm>
                    <a:prstGeom prst="rect">
                      <a:avLst/>
                    </a:prstGeom>
                    <a:noFill/>
                  </pic:spPr>
                </pic:pic>
              </a:graphicData>
            </a:graphic>
          </wp:inline>
        </w:drawing>
      </w:r>
    </w:p>
    <w:p w14:paraId="6DD12C33" w14:textId="77777777" w:rsidR="00D97DEC" w:rsidRDefault="00BC3A19">
      <w:pPr>
        <w:widowControl/>
        <w:jc w:val="both"/>
        <w:rPr>
          <w:bCs/>
          <w:sz w:val="20"/>
          <w:szCs w:val="20"/>
          <w:lang w:val="pt-PT"/>
        </w:rPr>
      </w:pPr>
      <w:r>
        <w:rPr>
          <w:bCs/>
          <w:sz w:val="20"/>
          <w:szCs w:val="20"/>
          <w:lang w:val="pt-PT"/>
        </w:rPr>
        <w:t>Figura 3.</w:t>
      </w:r>
      <w:r>
        <w:rPr>
          <w:bCs/>
          <w:sz w:val="20"/>
          <w:szCs w:val="20"/>
          <w:lang w:val="pt-PT"/>
        </w:rPr>
        <w:tab/>
        <w:t>Esquema de medição para determinação do encurvamento da madeira serrada</w:t>
      </w:r>
    </w:p>
    <w:p w14:paraId="0C9986A8" w14:textId="77777777" w:rsidR="00D97DEC" w:rsidRDefault="00D97DEC">
      <w:pPr>
        <w:widowControl/>
        <w:jc w:val="center"/>
        <w:rPr>
          <w:bCs/>
          <w:sz w:val="20"/>
          <w:szCs w:val="20"/>
          <w:lang w:val="pt-PT"/>
        </w:rPr>
      </w:pPr>
    </w:p>
    <w:p w14:paraId="78CFA4AF" w14:textId="77777777" w:rsidR="00D97DEC" w:rsidRDefault="00BC3A19">
      <w:pPr>
        <w:widowControl/>
        <w:ind w:firstLine="708"/>
        <w:jc w:val="both"/>
        <w:rPr>
          <w:bCs/>
          <w:sz w:val="20"/>
          <w:szCs w:val="20"/>
        </w:rPr>
      </w:pPr>
      <w:r>
        <w:rPr>
          <w:bCs/>
          <w:sz w:val="20"/>
          <w:szCs w:val="20"/>
        </w:rPr>
        <w:t>O percentual de encurvamento foi determinado por meio da Equação 3:</w:t>
      </w:r>
    </w:p>
    <w:p w14:paraId="50EDBC9E" w14:textId="77777777" w:rsidR="00D97DEC" w:rsidRDefault="00D97DEC">
      <w:pPr>
        <w:widowControl/>
        <w:ind w:firstLine="708"/>
        <w:jc w:val="both"/>
        <w:rPr>
          <w:bCs/>
          <w:sz w:val="20"/>
          <w:szCs w:val="20"/>
        </w:rPr>
      </w:pPr>
    </w:p>
    <w:p w14:paraId="4B69DABB" w14:textId="77777777" w:rsidR="00D97DEC" w:rsidRDefault="00BC3A19">
      <w:pPr>
        <w:widowControl/>
        <w:jc w:val="center"/>
        <w:rPr>
          <w:bCs/>
          <w:sz w:val="20"/>
          <w:szCs w:val="20"/>
        </w:rPr>
      </w:pPr>
      <m:oMath>
        <m:r>
          <w:rPr>
            <w:rFonts w:ascii="Cambria Math" w:hAnsi="Cambria Math"/>
          </w:rPr>
          <m:t>E</m:t>
        </m:r>
        <m:d>
          <m:dPr>
            <m:ctrlPr>
              <w:rPr>
                <w:rFonts w:ascii="Cambria Math" w:hAnsi="Cambria Math"/>
              </w:rPr>
            </m:ctrlPr>
          </m:dPr>
          <m:e>
            <m:r>
              <m:rPr>
                <m:lit/>
                <m:nor/>
              </m:rPr>
              <w:rPr>
                <w:rFonts w:ascii="Cambria Math" w:hAnsi="Cambria Math"/>
              </w:rPr>
              <m:t>%</m:t>
            </m:r>
          </m:e>
        </m:d>
        <m:r>
          <w:rPr>
            <w:rFonts w:ascii="Cambria Math" w:hAnsi="Cambria Math"/>
          </w:rPr>
          <m:t>=</m:t>
        </m:r>
        <m:f>
          <m:fPr>
            <m:ctrlPr>
              <w:rPr>
                <w:rFonts w:ascii="Cambria Math" w:hAnsi="Cambria Math"/>
              </w:rPr>
            </m:ctrlPr>
          </m:fPr>
          <m:num>
            <m:r>
              <w:rPr>
                <w:rFonts w:ascii="Cambria Math" w:hAnsi="Cambria Math"/>
              </w:rPr>
              <m:t>F</m:t>
            </m:r>
          </m:num>
          <m:den>
            <m:sSub>
              <m:sSubPr>
                <m:ctrlPr>
                  <w:rPr>
                    <w:rFonts w:ascii="Cambria Math" w:hAnsi="Cambria Math"/>
                  </w:rPr>
                </m:ctrlPr>
              </m:sSubPr>
              <m:e>
                <m:r>
                  <w:rPr>
                    <w:rFonts w:ascii="Cambria Math" w:hAnsi="Cambria Math"/>
                  </w:rPr>
                  <m:t>L</m:t>
                </m:r>
              </m:e>
              <m:sub>
                <m:r>
                  <w:rPr>
                    <w:rFonts w:ascii="Cambria Math" w:hAnsi="Cambria Math"/>
                  </w:rPr>
                  <m:t>E</m:t>
                </m:r>
              </m:sub>
            </m:sSub>
            <m:r>
              <w:rPr>
                <w:rFonts w:ascii="Cambria Math" w:hAnsi="Cambria Math"/>
              </w:rPr>
              <m:t>x100</m:t>
            </m:r>
          </m:den>
        </m:f>
        <m:r>
          <w:rPr>
            <w:rFonts w:ascii="Cambria Math" w:hAnsi="Cambria Math"/>
          </w:rPr>
          <m:t>x100</m:t>
        </m:r>
      </m:oMath>
      <w:r>
        <w:rPr>
          <w:bCs/>
          <w:sz w:val="20"/>
          <w:szCs w:val="20"/>
        </w:rPr>
        <w:t xml:space="preserve">                               Equação 3</w:t>
      </w:r>
    </w:p>
    <w:p w14:paraId="36F90FE6" w14:textId="77777777" w:rsidR="00D97DEC" w:rsidRDefault="00D97DEC">
      <w:pPr>
        <w:widowControl/>
        <w:jc w:val="center"/>
        <w:rPr>
          <w:i/>
          <w:sz w:val="20"/>
          <w:szCs w:val="20"/>
        </w:rPr>
      </w:pPr>
    </w:p>
    <w:p w14:paraId="0BE3CDD7" w14:textId="291E2D37" w:rsidR="00D97DEC" w:rsidRDefault="00BC3A19">
      <w:pPr>
        <w:widowControl/>
        <w:ind w:firstLine="708"/>
        <w:jc w:val="both"/>
        <w:rPr>
          <w:bCs/>
          <w:sz w:val="20"/>
          <w:szCs w:val="20"/>
        </w:rPr>
      </w:pPr>
      <w:r>
        <w:rPr>
          <w:bCs/>
          <w:sz w:val="20"/>
          <w:szCs w:val="20"/>
        </w:rPr>
        <w:t xml:space="preserve">Em que: </w:t>
      </w:r>
      <w:proofErr w:type="gramStart"/>
      <w:r>
        <w:rPr>
          <w:bCs/>
          <w:sz w:val="20"/>
          <w:szCs w:val="20"/>
        </w:rPr>
        <w:t>E(</w:t>
      </w:r>
      <w:proofErr w:type="gramEnd"/>
      <w:r>
        <w:rPr>
          <w:bCs/>
          <w:sz w:val="20"/>
          <w:szCs w:val="20"/>
        </w:rPr>
        <w:t>%) = porcentagem de encurvamento sofrido pela peça, F = flecha, distância da peça a um eixo paralelo ao centro da mesma (cm), L</w:t>
      </w:r>
      <w:r>
        <w:rPr>
          <w:bCs/>
          <w:sz w:val="20"/>
          <w:szCs w:val="20"/>
          <w:vertAlign w:val="subscript"/>
        </w:rPr>
        <w:t>E</w:t>
      </w:r>
      <w:r>
        <w:rPr>
          <w:bCs/>
          <w:sz w:val="20"/>
          <w:szCs w:val="20"/>
        </w:rPr>
        <w:t xml:space="preserve"> = comprimento do encurvamento.</w:t>
      </w:r>
    </w:p>
    <w:p w14:paraId="3D5C5812" w14:textId="2F352681" w:rsidR="00D97DEC" w:rsidRDefault="00EB6DB5">
      <w:pPr>
        <w:widowControl/>
        <w:ind w:firstLine="708"/>
        <w:jc w:val="both"/>
        <w:rPr>
          <w:bCs/>
          <w:sz w:val="20"/>
          <w:szCs w:val="20"/>
        </w:rPr>
      </w:pPr>
      <w:r>
        <w:rPr>
          <w:bCs/>
          <w:sz w:val="20"/>
          <w:szCs w:val="20"/>
        </w:rPr>
        <w:t>Para a avaliação dos defeitos foi realizado um delineamento inteiramente casual (DIC) com dois tratamentos, antes e após a secagem com 150 repetições aplicando a análise de variância para o teste de F e</w:t>
      </w:r>
      <w:r w:rsidR="00E31E5E">
        <w:rPr>
          <w:bCs/>
          <w:sz w:val="20"/>
          <w:szCs w:val="20"/>
        </w:rPr>
        <w:t>, posteriormente</w:t>
      </w:r>
      <w:r w:rsidR="00291A48">
        <w:rPr>
          <w:bCs/>
          <w:sz w:val="20"/>
          <w:szCs w:val="20"/>
        </w:rPr>
        <w:t xml:space="preserve"> aplicado</w:t>
      </w:r>
      <w:r>
        <w:rPr>
          <w:bCs/>
          <w:sz w:val="20"/>
          <w:szCs w:val="20"/>
        </w:rPr>
        <w:t xml:space="preserve"> o teste de média </w:t>
      </w:r>
      <w:proofErr w:type="spellStart"/>
      <w:r>
        <w:rPr>
          <w:bCs/>
          <w:sz w:val="20"/>
          <w:szCs w:val="20"/>
        </w:rPr>
        <w:t>Scott-Knott</w:t>
      </w:r>
      <w:proofErr w:type="spellEnd"/>
      <w:r>
        <w:rPr>
          <w:bCs/>
          <w:sz w:val="20"/>
          <w:szCs w:val="20"/>
        </w:rPr>
        <w:t>, ambos ao nível de 5% de probabilidade.</w:t>
      </w:r>
    </w:p>
    <w:p w14:paraId="3DF951EE" w14:textId="77777777" w:rsidR="00291A48" w:rsidRDefault="00291A48" w:rsidP="00291A48">
      <w:pPr>
        <w:widowControl/>
        <w:jc w:val="both"/>
        <w:rPr>
          <w:bCs/>
          <w:sz w:val="20"/>
          <w:szCs w:val="20"/>
        </w:rPr>
      </w:pPr>
    </w:p>
    <w:p w14:paraId="1AAB6F67" w14:textId="77777777" w:rsidR="00D97DEC" w:rsidRDefault="00BC3A19">
      <w:pPr>
        <w:widowControl/>
        <w:jc w:val="both"/>
        <w:rPr>
          <w:b/>
          <w:sz w:val="20"/>
          <w:szCs w:val="20"/>
        </w:rPr>
      </w:pPr>
      <w:r>
        <w:rPr>
          <w:b/>
          <w:sz w:val="20"/>
          <w:szCs w:val="20"/>
        </w:rPr>
        <w:t xml:space="preserve">RESULTADOS E DISCUSSÃO </w:t>
      </w:r>
    </w:p>
    <w:p w14:paraId="3DDD731F" w14:textId="18A462BD" w:rsidR="00D97DEC" w:rsidRDefault="00BC3A19">
      <w:pPr>
        <w:widowControl/>
        <w:ind w:firstLine="709"/>
        <w:jc w:val="both"/>
        <w:rPr>
          <w:sz w:val="20"/>
          <w:szCs w:val="20"/>
        </w:rPr>
      </w:pPr>
      <w:r>
        <w:rPr>
          <w:sz w:val="20"/>
          <w:szCs w:val="20"/>
        </w:rPr>
        <w:t>Observando-se os dados obtidos, foi possível verificar que a primeira pesagem das amostras foram as que apresentaram valores mais altos pois a madeira estava recém cortada, assim toda água presente na madeira ainda estava aderida ao material. Durante as demais pesagens, que eram realizadas periodicamente, observasse perdas bem significativas até que as amostras atingissem um devido equilíbrio entre as pesagens. Conforme os dados apresentados, nota-se que na região as amostras entraram em equilíbrio após a 6</w:t>
      </w:r>
      <w:r>
        <w:rPr>
          <w:sz w:val="20"/>
          <w:szCs w:val="20"/>
          <w:u w:val="single"/>
          <w:vertAlign w:val="superscript"/>
        </w:rPr>
        <w:t>a</w:t>
      </w:r>
      <w:r>
        <w:rPr>
          <w:sz w:val="20"/>
          <w:szCs w:val="20"/>
        </w:rPr>
        <w:t xml:space="preserve"> pesagem, apresentando dados com pouquíssima variação nas duas semanas subsequentes, finalizando a uma umidade de equilíbrio média de 13% (Figura 4).</w:t>
      </w:r>
    </w:p>
    <w:p w14:paraId="739648A5" w14:textId="77777777" w:rsidR="00D97DEC" w:rsidRDefault="00D97DEC">
      <w:pPr>
        <w:widowControl/>
        <w:ind w:firstLine="709"/>
        <w:jc w:val="both"/>
        <w:rPr>
          <w:sz w:val="20"/>
          <w:szCs w:val="20"/>
        </w:rPr>
      </w:pPr>
    </w:p>
    <w:p w14:paraId="676DE0B8" w14:textId="77777777" w:rsidR="00D97DEC" w:rsidRDefault="00BC3A19" w:rsidP="00813B33">
      <w:pPr>
        <w:widowControl/>
        <w:jc w:val="center"/>
        <w:rPr>
          <w:sz w:val="20"/>
          <w:szCs w:val="20"/>
        </w:rPr>
      </w:pPr>
      <w:r>
        <w:rPr>
          <w:noProof/>
        </w:rPr>
        <w:drawing>
          <wp:inline distT="0" distB="0" distL="0" distR="0" wp14:anchorId="11A9E45A" wp14:editId="076C874A">
            <wp:extent cx="5364000" cy="1508400"/>
            <wp:effectExtent l="0" t="0" r="0" b="0"/>
            <wp:docPr id="4"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52D991" w14:textId="77777777" w:rsidR="00D97DEC" w:rsidRDefault="00BC3A19">
      <w:pPr>
        <w:widowControl/>
        <w:ind w:left="1560" w:hanging="1560"/>
        <w:jc w:val="both"/>
        <w:rPr>
          <w:sz w:val="20"/>
          <w:szCs w:val="20"/>
        </w:rPr>
      </w:pPr>
      <w:r>
        <w:rPr>
          <w:sz w:val="20"/>
          <w:szCs w:val="20"/>
        </w:rPr>
        <w:t>Figura 4.</w:t>
      </w:r>
      <w:r>
        <w:rPr>
          <w:sz w:val="20"/>
          <w:szCs w:val="20"/>
        </w:rPr>
        <w:tab/>
        <w:t>Comportamento e tempo de secagem da madeira de eucalipto para o município de Nossa Senhor do Socorro/SE.</w:t>
      </w:r>
    </w:p>
    <w:p w14:paraId="6E719100" w14:textId="77777777" w:rsidR="00D97DEC" w:rsidRDefault="00D97DEC">
      <w:pPr>
        <w:widowControl/>
        <w:ind w:left="1560" w:hanging="1560"/>
        <w:jc w:val="both"/>
        <w:rPr>
          <w:sz w:val="20"/>
          <w:szCs w:val="20"/>
        </w:rPr>
      </w:pPr>
    </w:p>
    <w:p w14:paraId="15D49A9F" w14:textId="17C8ADA9" w:rsidR="00D97DEC" w:rsidRDefault="00BC3A19">
      <w:pPr>
        <w:widowControl/>
        <w:ind w:firstLine="709"/>
        <w:jc w:val="both"/>
        <w:rPr>
          <w:sz w:val="20"/>
          <w:szCs w:val="20"/>
        </w:rPr>
      </w:pPr>
      <w:r>
        <w:rPr>
          <w:sz w:val="20"/>
          <w:szCs w:val="20"/>
        </w:rPr>
        <w:t>Sá (</w:t>
      </w:r>
      <w:r w:rsidR="00D673C8">
        <w:rPr>
          <w:sz w:val="20"/>
          <w:szCs w:val="20"/>
        </w:rPr>
        <w:t>2</w:t>
      </w:r>
      <w:r>
        <w:rPr>
          <w:sz w:val="20"/>
          <w:szCs w:val="20"/>
        </w:rPr>
        <w:t>013), encontrou resultado similar de UE (13%) para a região de Aracaju, uma vez que o município de Nossa Senhora do Socorro encontra-se na região metropolitana da capital sergipana.</w:t>
      </w:r>
    </w:p>
    <w:p w14:paraId="183C95B7" w14:textId="77777777" w:rsidR="00D97DEC" w:rsidRDefault="00BC3A19">
      <w:pPr>
        <w:widowControl/>
        <w:ind w:firstLine="709"/>
        <w:jc w:val="both"/>
        <w:rPr>
          <w:sz w:val="20"/>
          <w:szCs w:val="20"/>
        </w:rPr>
      </w:pPr>
      <w:r>
        <w:rPr>
          <w:sz w:val="20"/>
          <w:szCs w:val="20"/>
        </w:rPr>
        <w:lastRenderedPageBreak/>
        <w:t>Com relação aos defeitos de encurvamento longitudinal, observa-se no resumo da ANOVA, que houve diferença estatística entre os defeitos analisados na madeira antes e após a secagem da madeira, Tabela 1.</w:t>
      </w:r>
    </w:p>
    <w:p w14:paraId="674839B0" w14:textId="77777777" w:rsidR="00D97DEC" w:rsidRDefault="00D97DEC">
      <w:pPr>
        <w:widowControl/>
        <w:tabs>
          <w:tab w:val="left" w:pos="1140"/>
        </w:tabs>
        <w:ind w:firstLine="709"/>
        <w:jc w:val="both"/>
        <w:rPr>
          <w:sz w:val="20"/>
          <w:szCs w:val="20"/>
          <w:highlight w:val="yellow"/>
        </w:rPr>
      </w:pPr>
    </w:p>
    <w:p w14:paraId="58D9F538" w14:textId="77777777" w:rsidR="00D97DEC" w:rsidRDefault="00BC3A19">
      <w:pPr>
        <w:widowControl/>
        <w:tabs>
          <w:tab w:val="left" w:pos="1140"/>
        </w:tabs>
        <w:jc w:val="both"/>
        <w:rPr>
          <w:sz w:val="20"/>
          <w:szCs w:val="20"/>
        </w:rPr>
      </w:pPr>
      <w:r>
        <w:rPr>
          <w:sz w:val="20"/>
          <w:szCs w:val="20"/>
        </w:rPr>
        <w:t>Tabela 1.</w:t>
      </w:r>
      <w:r>
        <w:rPr>
          <w:sz w:val="20"/>
          <w:szCs w:val="20"/>
        </w:rPr>
        <w:tab/>
        <w:t>Resumo da ANOVA para os tratamentos antes e após a secagem da madeira</w:t>
      </w:r>
    </w:p>
    <w:tbl>
      <w:tblPr>
        <w:tblStyle w:val="Tabelacomgrade"/>
        <w:tblW w:w="9065" w:type="dxa"/>
        <w:jc w:val="center"/>
        <w:tblLayout w:type="fixed"/>
        <w:tblLook w:val="04A0" w:firstRow="1" w:lastRow="0" w:firstColumn="1" w:lastColumn="0" w:noHBand="0" w:noVBand="1"/>
      </w:tblPr>
      <w:tblGrid>
        <w:gridCol w:w="2267"/>
        <w:gridCol w:w="2266"/>
        <w:gridCol w:w="2266"/>
        <w:gridCol w:w="2266"/>
      </w:tblGrid>
      <w:tr w:rsidR="00D97DEC" w14:paraId="4F14A130" w14:textId="77777777">
        <w:trPr>
          <w:jc w:val="center"/>
        </w:trPr>
        <w:tc>
          <w:tcPr>
            <w:tcW w:w="2266" w:type="dxa"/>
            <w:tcBorders>
              <w:left w:val="nil"/>
              <w:right w:val="nil"/>
            </w:tcBorders>
          </w:tcPr>
          <w:p w14:paraId="3CA14ED8" w14:textId="77777777" w:rsidR="00D97DEC" w:rsidRDefault="00BC3A19">
            <w:pPr>
              <w:widowControl/>
              <w:tabs>
                <w:tab w:val="left" w:pos="1140"/>
              </w:tabs>
              <w:jc w:val="center"/>
              <w:rPr>
                <w:b/>
                <w:bCs/>
                <w:sz w:val="20"/>
                <w:szCs w:val="20"/>
              </w:rPr>
            </w:pPr>
            <w:r>
              <w:rPr>
                <w:b/>
                <w:bCs/>
                <w:sz w:val="20"/>
                <w:szCs w:val="20"/>
              </w:rPr>
              <w:t>FV</w:t>
            </w:r>
          </w:p>
        </w:tc>
        <w:tc>
          <w:tcPr>
            <w:tcW w:w="2266" w:type="dxa"/>
            <w:tcBorders>
              <w:left w:val="nil"/>
              <w:right w:val="nil"/>
            </w:tcBorders>
          </w:tcPr>
          <w:p w14:paraId="135A84B8" w14:textId="77777777" w:rsidR="00D97DEC" w:rsidRDefault="00BC3A19">
            <w:pPr>
              <w:widowControl/>
              <w:tabs>
                <w:tab w:val="left" w:pos="1140"/>
              </w:tabs>
              <w:jc w:val="center"/>
              <w:rPr>
                <w:b/>
                <w:bCs/>
                <w:sz w:val="20"/>
                <w:szCs w:val="20"/>
              </w:rPr>
            </w:pPr>
            <w:r>
              <w:rPr>
                <w:b/>
                <w:bCs/>
                <w:sz w:val="20"/>
                <w:szCs w:val="20"/>
              </w:rPr>
              <w:t>GL</w:t>
            </w:r>
          </w:p>
        </w:tc>
        <w:tc>
          <w:tcPr>
            <w:tcW w:w="2266" w:type="dxa"/>
            <w:tcBorders>
              <w:left w:val="nil"/>
              <w:right w:val="nil"/>
            </w:tcBorders>
          </w:tcPr>
          <w:p w14:paraId="12A24EEE" w14:textId="77777777" w:rsidR="00D97DEC" w:rsidRDefault="00BC3A19">
            <w:pPr>
              <w:widowControl/>
              <w:tabs>
                <w:tab w:val="left" w:pos="1140"/>
              </w:tabs>
              <w:jc w:val="center"/>
              <w:rPr>
                <w:b/>
                <w:bCs/>
                <w:sz w:val="20"/>
                <w:szCs w:val="20"/>
              </w:rPr>
            </w:pPr>
            <w:r>
              <w:rPr>
                <w:b/>
                <w:bCs/>
                <w:sz w:val="20"/>
                <w:szCs w:val="20"/>
              </w:rPr>
              <w:t>QM</w:t>
            </w:r>
          </w:p>
        </w:tc>
        <w:tc>
          <w:tcPr>
            <w:tcW w:w="2266" w:type="dxa"/>
            <w:tcBorders>
              <w:left w:val="nil"/>
              <w:right w:val="nil"/>
            </w:tcBorders>
          </w:tcPr>
          <w:p w14:paraId="77BAA9E5" w14:textId="77777777" w:rsidR="00D97DEC" w:rsidRDefault="00BC3A19">
            <w:pPr>
              <w:widowControl/>
              <w:tabs>
                <w:tab w:val="left" w:pos="1140"/>
              </w:tabs>
              <w:jc w:val="center"/>
              <w:rPr>
                <w:b/>
                <w:bCs/>
                <w:sz w:val="20"/>
                <w:szCs w:val="20"/>
              </w:rPr>
            </w:pPr>
            <w:r>
              <w:rPr>
                <w:b/>
                <w:bCs/>
                <w:sz w:val="20"/>
                <w:szCs w:val="20"/>
              </w:rPr>
              <w:t>F</w:t>
            </w:r>
          </w:p>
        </w:tc>
      </w:tr>
      <w:tr w:rsidR="00D97DEC" w14:paraId="5E1505FC" w14:textId="77777777">
        <w:trPr>
          <w:jc w:val="center"/>
        </w:trPr>
        <w:tc>
          <w:tcPr>
            <w:tcW w:w="2266" w:type="dxa"/>
            <w:tcBorders>
              <w:left w:val="nil"/>
              <w:right w:val="nil"/>
            </w:tcBorders>
          </w:tcPr>
          <w:p w14:paraId="657896F6" w14:textId="77777777" w:rsidR="00D97DEC" w:rsidRDefault="00BC3A19">
            <w:pPr>
              <w:widowControl/>
              <w:tabs>
                <w:tab w:val="left" w:pos="1140"/>
              </w:tabs>
              <w:jc w:val="center"/>
              <w:rPr>
                <w:sz w:val="20"/>
                <w:szCs w:val="20"/>
              </w:rPr>
            </w:pPr>
            <w:r>
              <w:rPr>
                <w:sz w:val="20"/>
                <w:szCs w:val="20"/>
              </w:rPr>
              <w:t>Tratamento</w:t>
            </w:r>
          </w:p>
        </w:tc>
        <w:tc>
          <w:tcPr>
            <w:tcW w:w="2266" w:type="dxa"/>
            <w:tcBorders>
              <w:left w:val="nil"/>
              <w:right w:val="nil"/>
            </w:tcBorders>
          </w:tcPr>
          <w:p w14:paraId="5E44441E" w14:textId="77777777" w:rsidR="00D97DEC" w:rsidRDefault="00BC3A19">
            <w:pPr>
              <w:widowControl/>
              <w:tabs>
                <w:tab w:val="left" w:pos="1140"/>
              </w:tabs>
              <w:jc w:val="center"/>
              <w:rPr>
                <w:sz w:val="20"/>
                <w:szCs w:val="20"/>
              </w:rPr>
            </w:pPr>
            <w:r>
              <w:rPr>
                <w:sz w:val="20"/>
                <w:szCs w:val="20"/>
              </w:rPr>
              <w:t>1</w:t>
            </w:r>
          </w:p>
        </w:tc>
        <w:tc>
          <w:tcPr>
            <w:tcW w:w="2266" w:type="dxa"/>
            <w:tcBorders>
              <w:left w:val="nil"/>
              <w:right w:val="nil"/>
            </w:tcBorders>
            <w:vAlign w:val="bottom"/>
          </w:tcPr>
          <w:p w14:paraId="7BF60A30" w14:textId="77777777" w:rsidR="00D97DEC" w:rsidRDefault="00BC3A19">
            <w:pPr>
              <w:widowControl/>
              <w:tabs>
                <w:tab w:val="left" w:pos="1140"/>
              </w:tabs>
              <w:jc w:val="center"/>
              <w:rPr>
                <w:sz w:val="20"/>
                <w:szCs w:val="20"/>
              </w:rPr>
            </w:pPr>
            <w:r>
              <w:rPr>
                <w:color w:val="000000"/>
                <w:sz w:val="20"/>
                <w:szCs w:val="20"/>
              </w:rPr>
              <w:t>0,820587</w:t>
            </w:r>
          </w:p>
        </w:tc>
        <w:tc>
          <w:tcPr>
            <w:tcW w:w="2266" w:type="dxa"/>
            <w:tcBorders>
              <w:left w:val="nil"/>
              <w:right w:val="nil"/>
            </w:tcBorders>
            <w:vAlign w:val="bottom"/>
          </w:tcPr>
          <w:p w14:paraId="28F1C4BB" w14:textId="77777777" w:rsidR="00D97DEC" w:rsidRDefault="00BC3A19">
            <w:pPr>
              <w:widowControl/>
              <w:tabs>
                <w:tab w:val="left" w:pos="1140"/>
              </w:tabs>
              <w:jc w:val="center"/>
              <w:rPr>
                <w:sz w:val="20"/>
                <w:szCs w:val="20"/>
              </w:rPr>
            </w:pPr>
            <w:r>
              <w:rPr>
                <w:color w:val="000000"/>
                <w:sz w:val="20"/>
                <w:szCs w:val="20"/>
              </w:rPr>
              <w:t>5,994*</w:t>
            </w:r>
          </w:p>
        </w:tc>
      </w:tr>
      <w:tr w:rsidR="00D97DEC" w14:paraId="1E789487" w14:textId="77777777">
        <w:trPr>
          <w:jc w:val="center"/>
        </w:trPr>
        <w:tc>
          <w:tcPr>
            <w:tcW w:w="2266" w:type="dxa"/>
            <w:tcBorders>
              <w:left w:val="nil"/>
              <w:right w:val="nil"/>
            </w:tcBorders>
          </w:tcPr>
          <w:p w14:paraId="67937C65" w14:textId="77777777" w:rsidR="00D97DEC" w:rsidRDefault="00BC3A19">
            <w:pPr>
              <w:widowControl/>
              <w:tabs>
                <w:tab w:val="left" w:pos="1140"/>
              </w:tabs>
              <w:jc w:val="center"/>
              <w:rPr>
                <w:sz w:val="20"/>
                <w:szCs w:val="20"/>
              </w:rPr>
            </w:pPr>
            <w:r>
              <w:rPr>
                <w:sz w:val="20"/>
                <w:szCs w:val="20"/>
              </w:rPr>
              <w:t>Erro</w:t>
            </w:r>
          </w:p>
        </w:tc>
        <w:tc>
          <w:tcPr>
            <w:tcW w:w="2266" w:type="dxa"/>
            <w:tcBorders>
              <w:left w:val="nil"/>
              <w:right w:val="nil"/>
            </w:tcBorders>
          </w:tcPr>
          <w:p w14:paraId="20182574" w14:textId="77777777" w:rsidR="00D97DEC" w:rsidRDefault="00BC3A19">
            <w:pPr>
              <w:widowControl/>
              <w:tabs>
                <w:tab w:val="left" w:pos="1140"/>
              </w:tabs>
              <w:jc w:val="center"/>
              <w:rPr>
                <w:sz w:val="20"/>
                <w:szCs w:val="20"/>
              </w:rPr>
            </w:pPr>
            <w:r>
              <w:rPr>
                <w:sz w:val="20"/>
                <w:szCs w:val="20"/>
              </w:rPr>
              <w:t>298</w:t>
            </w:r>
          </w:p>
        </w:tc>
        <w:tc>
          <w:tcPr>
            <w:tcW w:w="2266" w:type="dxa"/>
            <w:tcBorders>
              <w:left w:val="nil"/>
              <w:right w:val="nil"/>
            </w:tcBorders>
            <w:vAlign w:val="bottom"/>
          </w:tcPr>
          <w:p w14:paraId="5961A928" w14:textId="77777777" w:rsidR="00D97DEC" w:rsidRDefault="00BC3A19">
            <w:pPr>
              <w:widowControl/>
              <w:tabs>
                <w:tab w:val="left" w:pos="1140"/>
              </w:tabs>
              <w:jc w:val="center"/>
              <w:rPr>
                <w:sz w:val="20"/>
                <w:szCs w:val="20"/>
              </w:rPr>
            </w:pPr>
            <w:r>
              <w:rPr>
                <w:color w:val="000000"/>
                <w:sz w:val="20"/>
                <w:szCs w:val="20"/>
              </w:rPr>
              <w:t>0,136902</w:t>
            </w:r>
          </w:p>
        </w:tc>
        <w:tc>
          <w:tcPr>
            <w:tcW w:w="2266" w:type="dxa"/>
            <w:tcBorders>
              <w:left w:val="nil"/>
              <w:right w:val="nil"/>
            </w:tcBorders>
            <w:vAlign w:val="bottom"/>
          </w:tcPr>
          <w:p w14:paraId="12A35174" w14:textId="77777777" w:rsidR="00D97DEC" w:rsidRDefault="00D97DEC">
            <w:pPr>
              <w:widowControl/>
              <w:tabs>
                <w:tab w:val="left" w:pos="1140"/>
              </w:tabs>
              <w:jc w:val="center"/>
              <w:rPr>
                <w:sz w:val="20"/>
                <w:szCs w:val="20"/>
              </w:rPr>
            </w:pPr>
          </w:p>
        </w:tc>
      </w:tr>
    </w:tbl>
    <w:p w14:paraId="12E6BA2A" w14:textId="77777777" w:rsidR="00D97DEC" w:rsidRDefault="00D97DEC">
      <w:pPr>
        <w:widowControl/>
        <w:tabs>
          <w:tab w:val="left" w:pos="1140"/>
        </w:tabs>
        <w:ind w:firstLine="709"/>
        <w:jc w:val="both"/>
        <w:rPr>
          <w:sz w:val="20"/>
          <w:szCs w:val="20"/>
        </w:rPr>
      </w:pPr>
    </w:p>
    <w:p w14:paraId="38809CCC" w14:textId="4A40432B" w:rsidR="00D97DEC" w:rsidRDefault="00BC3A19">
      <w:pPr>
        <w:widowControl/>
        <w:tabs>
          <w:tab w:val="left" w:pos="1140"/>
        </w:tabs>
        <w:ind w:firstLine="709"/>
        <w:jc w:val="both"/>
        <w:rPr>
          <w:sz w:val="20"/>
          <w:szCs w:val="20"/>
        </w:rPr>
      </w:pPr>
      <w:r>
        <w:rPr>
          <w:sz w:val="20"/>
          <w:szCs w:val="20"/>
        </w:rPr>
        <w:t>Observa-se na Tabela 2, de acordo com o teste de média de Skott-Knott, ao nível de 5% de probabilidade, que houve diferença entre os defeitos determinados na madeira verde e na madeira seca. Tais resultados mostram a eficiência do processo de secagem na redução dos encurvamentos presentes na madeira serrada de eucalipto</w:t>
      </w:r>
      <w:r w:rsidR="00EB6DB5">
        <w:rPr>
          <w:sz w:val="20"/>
          <w:szCs w:val="20"/>
        </w:rPr>
        <w:t>. Tais resultados implicam em melhoria na fabricação do esqueleto da cama BOX, pois os empenamentos afetam o correto enquadramento do esqueleto, fazendo com que fique empenado</w:t>
      </w:r>
      <w:r>
        <w:rPr>
          <w:sz w:val="20"/>
          <w:szCs w:val="20"/>
        </w:rPr>
        <w:t xml:space="preserve"> e menos estável. Outro problema está relacionado ao peso do colchão que podem forçar a estrutura, para que ela fique totalmente assentada ao piso, forçando o esqueleto da base box e podendo levar a</w:t>
      </w:r>
      <w:r w:rsidR="00EB6DB5">
        <w:rPr>
          <w:sz w:val="20"/>
          <w:szCs w:val="20"/>
        </w:rPr>
        <w:t xml:space="preserve"> danos como trincas, rachaduras e soltura dos elementos de fixação como pregos, </w:t>
      </w:r>
      <w:r>
        <w:rPr>
          <w:sz w:val="20"/>
          <w:szCs w:val="20"/>
        </w:rPr>
        <w:t>com</w:t>
      </w:r>
      <w:r w:rsidR="00EB6DB5">
        <w:rPr>
          <w:sz w:val="20"/>
          <w:szCs w:val="20"/>
        </w:rPr>
        <w:t xml:space="preserve"> a riscos de acidentes</w:t>
      </w:r>
      <w:r>
        <w:rPr>
          <w:sz w:val="20"/>
          <w:szCs w:val="20"/>
        </w:rPr>
        <w:t xml:space="preserve"> ao usuário</w:t>
      </w:r>
      <w:r w:rsidR="00EB6DB5">
        <w:rPr>
          <w:sz w:val="20"/>
          <w:szCs w:val="20"/>
        </w:rPr>
        <w:t xml:space="preserve"> e danos no acolchoamento de acabamento</w:t>
      </w:r>
      <w:r>
        <w:rPr>
          <w:sz w:val="20"/>
          <w:szCs w:val="20"/>
        </w:rPr>
        <w:t xml:space="preserve"> ou mesmo a uma tortuosidade, afetando assim, visualmente, o seu acabamento</w:t>
      </w:r>
      <w:r w:rsidR="00EB6DB5">
        <w:rPr>
          <w:sz w:val="20"/>
          <w:szCs w:val="20"/>
        </w:rPr>
        <w:t>.</w:t>
      </w:r>
    </w:p>
    <w:p w14:paraId="390C1926" w14:textId="77777777" w:rsidR="00D97DEC" w:rsidRDefault="00D97DEC">
      <w:pPr>
        <w:widowControl/>
        <w:tabs>
          <w:tab w:val="left" w:pos="1140"/>
        </w:tabs>
        <w:ind w:firstLine="709"/>
        <w:jc w:val="both"/>
        <w:rPr>
          <w:sz w:val="20"/>
          <w:szCs w:val="20"/>
        </w:rPr>
      </w:pPr>
    </w:p>
    <w:p w14:paraId="202D94E2" w14:textId="77777777" w:rsidR="00D97DEC" w:rsidRDefault="00BC3A19">
      <w:pPr>
        <w:widowControl/>
        <w:tabs>
          <w:tab w:val="left" w:pos="1140"/>
        </w:tabs>
        <w:jc w:val="both"/>
        <w:rPr>
          <w:sz w:val="20"/>
          <w:szCs w:val="20"/>
        </w:rPr>
      </w:pPr>
      <w:r>
        <w:rPr>
          <w:sz w:val="20"/>
          <w:szCs w:val="20"/>
        </w:rPr>
        <w:t>Tabela 2.</w:t>
      </w:r>
      <w:r>
        <w:rPr>
          <w:sz w:val="20"/>
          <w:szCs w:val="20"/>
        </w:rPr>
        <w:tab/>
        <w:t>Teste de média Skott-Knott a 5% de probabilidade</w:t>
      </w:r>
    </w:p>
    <w:tbl>
      <w:tblPr>
        <w:tblStyle w:val="Tabelacomgrade"/>
        <w:tblW w:w="9065" w:type="dxa"/>
        <w:tblLayout w:type="fixed"/>
        <w:tblLook w:val="04A0" w:firstRow="1" w:lastRow="0" w:firstColumn="1" w:lastColumn="0" w:noHBand="0" w:noVBand="1"/>
      </w:tblPr>
      <w:tblGrid>
        <w:gridCol w:w="3021"/>
        <w:gridCol w:w="3022"/>
        <w:gridCol w:w="3022"/>
      </w:tblGrid>
      <w:tr w:rsidR="00D97DEC" w14:paraId="0FB2C37A" w14:textId="77777777">
        <w:tc>
          <w:tcPr>
            <w:tcW w:w="3021" w:type="dxa"/>
            <w:tcBorders>
              <w:left w:val="nil"/>
              <w:right w:val="nil"/>
            </w:tcBorders>
          </w:tcPr>
          <w:p w14:paraId="0FB55FEC" w14:textId="77777777" w:rsidR="00D97DEC" w:rsidRDefault="00BC3A19">
            <w:pPr>
              <w:widowControl/>
              <w:tabs>
                <w:tab w:val="left" w:pos="1140"/>
              </w:tabs>
              <w:jc w:val="center"/>
              <w:rPr>
                <w:b/>
                <w:bCs/>
                <w:sz w:val="20"/>
                <w:szCs w:val="20"/>
              </w:rPr>
            </w:pPr>
            <w:r>
              <w:rPr>
                <w:b/>
                <w:bCs/>
                <w:sz w:val="20"/>
                <w:szCs w:val="20"/>
              </w:rPr>
              <w:t>Tratamentos</w:t>
            </w:r>
          </w:p>
        </w:tc>
        <w:tc>
          <w:tcPr>
            <w:tcW w:w="3022" w:type="dxa"/>
            <w:tcBorders>
              <w:left w:val="nil"/>
              <w:right w:val="nil"/>
            </w:tcBorders>
          </w:tcPr>
          <w:p w14:paraId="3C2D8E97" w14:textId="77777777" w:rsidR="00D97DEC" w:rsidRDefault="00BC3A19">
            <w:pPr>
              <w:widowControl/>
              <w:tabs>
                <w:tab w:val="left" w:pos="1140"/>
              </w:tabs>
              <w:jc w:val="center"/>
              <w:rPr>
                <w:b/>
                <w:bCs/>
                <w:sz w:val="20"/>
                <w:szCs w:val="20"/>
              </w:rPr>
            </w:pPr>
            <w:r>
              <w:rPr>
                <w:b/>
                <w:bCs/>
                <w:sz w:val="20"/>
                <w:szCs w:val="20"/>
              </w:rPr>
              <w:t>Média</w:t>
            </w:r>
          </w:p>
        </w:tc>
        <w:tc>
          <w:tcPr>
            <w:tcW w:w="3022" w:type="dxa"/>
            <w:tcBorders>
              <w:left w:val="nil"/>
              <w:right w:val="nil"/>
            </w:tcBorders>
          </w:tcPr>
          <w:p w14:paraId="3AC416FD" w14:textId="77777777" w:rsidR="00D97DEC" w:rsidRDefault="00BC3A19">
            <w:pPr>
              <w:widowControl/>
              <w:tabs>
                <w:tab w:val="left" w:pos="1140"/>
              </w:tabs>
              <w:jc w:val="center"/>
              <w:rPr>
                <w:b/>
                <w:bCs/>
                <w:sz w:val="20"/>
                <w:szCs w:val="20"/>
              </w:rPr>
            </w:pPr>
            <w:r>
              <w:rPr>
                <w:b/>
                <w:bCs/>
                <w:sz w:val="20"/>
                <w:szCs w:val="20"/>
              </w:rPr>
              <w:t>Teste Skott-Knott</w:t>
            </w:r>
          </w:p>
        </w:tc>
      </w:tr>
      <w:tr w:rsidR="00D97DEC" w14:paraId="0DAC15F0" w14:textId="77777777">
        <w:tc>
          <w:tcPr>
            <w:tcW w:w="3021" w:type="dxa"/>
            <w:tcBorders>
              <w:left w:val="nil"/>
              <w:right w:val="nil"/>
            </w:tcBorders>
          </w:tcPr>
          <w:p w14:paraId="5801D172" w14:textId="77777777" w:rsidR="00D97DEC" w:rsidRDefault="00BC3A19">
            <w:pPr>
              <w:widowControl/>
              <w:tabs>
                <w:tab w:val="left" w:pos="1140"/>
              </w:tabs>
              <w:jc w:val="both"/>
              <w:rPr>
                <w:sz w:val="20"/>
                <w:szCs w:val="20"/>
              </w:rPr>
            </w:pPr>
            <w:r>
              <w:rPr>
                <w:sz w:val="20"/>
                <w:szCs w:val="20"/>
              </w:rPr>
              <w:t>Madeira Verde</w:t>
            </w:r>
          </w:p>
        </w:tc>
        <w:tc>
          <w:tcPr>
            <w:tcW w:w="3022" w:type="dxa"/>
            <w:tcBorders>
              <w:left w:val="nil"/>
              <w:right w:val="nil"/>
            </w:tcBorders>
          </w:tcPr>
          <w:p w14:paraId="58CCF01C" w14:textId="77777777" w:rsidR="00D97DEC" w:rsidRDefault="00BC3A19">
            <w:pPr>
              <w:widowControl/>
              <w:tabs>
                <w:tab w:val="left" w:pos="1140"/>
              </w:tabs>
              <w:jc w:val="center"/>
              <w:rPr>
                <w:sz w:val="20"/>
                <w:szCs w:val="20"/>
              </w:rPr>
            </w:pPr>
            <w:r>
              <w:rPr>
                <w:sz w:val="20"/>
                <w:szCs w:val="20"/>
              </w:rPr>
              <w:t>0,61</w:t>
            </w:r>
          </w:p>
        </w:tc>
        <w:tc>
          <w:tcPr>
            <w:tcW w:w="3022" w:type="dxa"/>
            <w:tcBorders>
              <w:left w:val="nil"/>
              <w:right w:val="nil"/>
            </w:tcBorders>
          </w:tcPr>
          <w:p w14:paraId="49243903" w14:textId="77777777" w:rsidR="00D97DEC" w:rsidRDefault="00BC3A19">
            <w:pPr>
              <w:widowControl/>
              <w:tabs>
                <w:tab w:val="left" w:pos="1140"/>
              </w:tabs>
              <w:jc w:val="center"/>
              <w:rPr>
                <w:sz w:val="20"/>
                <w:szCs w:val="20"/>
              </w:rPr>
            </w:pPr>
            <w:r>
              <w:rPr>
                <w:sz w:val="20"/>
                <w:szCs w:val="20"/>
              </w:rPr>
              <w:t>A1</w:t>
            </w:r>
          </w:p>
        </w:tc>
      </w:tr>
      <w:tr w:rsidR="00D97DEC" w14:paraId="6D094386" w14:textId="77777777">
        <w:tc>
          <w:tcPr>
            <w:tcW w:w="3021" w:type="dxa"/>
            <w:tcBorders>
              <w:left w:val="nil"/>
              <w:right w:val="nil"/>
            </w:tcBorders>
          </w:tcPr>
          <w:p w14:paraId="1DD2569B" w14:textId="77777777" w:rsidR="00D97DEC" w:rsidRDefault="00BC3A19">
            <w:pPr>
              <w:widowControl/>
              <w:tabs>
                <w:tab w:val="left" w:pos="1140"/>
              </w:tabs>
              <w:jc w:val="both"/>
              <w:rPr>
                <w:sz w:val="20"/>
                <w:szCs w:val="20"/>
              </w:rPr>
            </w:pPr>
            <w:r>
              <w:rPr>
                <w:sz w:val="20"/>
                <w:szCs w:val="20"/>
              </w:rPr>
              <w:t>Madeira Seca</w:t>
            </w:r>
          </w:p>
        </w:tc>
        <w:tc>
          <w:tcPr>
            <w:tcW w:w="3022" w:type="dxa"/>
            <w:tcBorders>
              <w:left w:val="nil"/>
              <w:right w:val="nil"/>
            </w:tcBorders>
          </w:tcPr>
          <w:p w14:paraId="2951378D" w14:textId="77777777" w:rsidR="00D97DEC" w:rsidRDefault="00BC3A19">
            <w:pPr>
              <w:widowControl/>
              <w:tabs>
                <w:tab w:val="left" w:pos="1140"/>
              </w:tabs>
              <w:jc w:val="center"/>
              <w:rPr>
                <w:sz w:val="20"/>
                <w:szCs w:val="20"/>
              </w:rPr>
            </w:pPr>
            <w:r>
              <w:rPr>
                <w:sz w:val="20"/>
                <w:szCs w:val="20"/>
              </w:rPr>
              <w:t>0,50</w:t>
            </w:r>
          </w:p>
        </w:tc>
        <w:tc>
          <w:tcPr>
            <w:tcW w:w="3022" w:type="dxa"/>
            <w:tcBorders>
              <w:left w:val="nil"/>
              <w:right w:val="nil"/>
            </w:tcBorders>
          </w:tcPr>
          <w:p w14:paraId="2BCCDB64" w14:textId="77777777" w:rsidR="00D97DEC" w:rsidRDefault="00BC3A19">
            <w:pPr>
              <w:widowControl/>
              <w:tabs>
                <w:tab w:val="left" w:pos="1140"/>
              </w:tabs>
              <w:jc w:val="center"/>
              <w:rPr>
                <w:sz w:val="20"/>
                <w:szCs w:val="20"/>
              </w:rPr>
            </w:pPr>
            <w:r>
              <w:rPr>
                <w:sz w:val="20"/>
                <w:szCs w:val="20"/>
              </w:rPr>
              <w:t>A2</w:t>
            </w:r>
          </w:p>
        </w:tc>
      </w:tr>
    </w:tbl>
    <w:p w14:paraId="17704E5D" w14:textId="77777777" w:rsidR="00D97DEC" w:rsidRDefault="00D97DEC">
      <w:pPr>
        <w:widowControl/>
        <w:tabs>
          <w:tab w:val="left" w:pos="1140"/>
        </w:tabs>
        <w:ind w:firstLine="709"/>
        <w:jc w:val="both"/>
        <w:rPr>
          <w:sz w:val="20"/>
          <w:szCs w:val="20"/>
          <w:highlight w:val="yellow"/>
        </w:rPr>
      </w:pPr>
    </w:p>
    <w:p w14:paraId="4A7B01CD" w14:textId="77777777" w:rsidR="00D97DEC" w:rsidRDefault="00BC3A19">
      <w:pPr>
        <w:widowControl/>
        <w:jc w:val="both"/>
        <w:rPr>
          <w:sz w:val="20"/>
          <w:szCs w:val="20"/>
        </w:rPr>
      </w:pPr>
      <w:r>
        <w:rPr>
          <w:b/>
          <w:sz w:val="20"/>
          <w:szCs w:val="20"/>
        </w:rPr>
        <w:t xml:space="preserve">CONCLUSÕES </w:t>
      </w:r>
    </w:p>
    <w:p w14:paraId="6C010244" w14:textId="133DE607" w:rsidR="00D97DEC" w:rsidRDefault="00BC3A19">
      <w:pPr>
        <w:pStyle w:val="PargrafodaLista"/>
        <w:widowControl/>
        <w:numPr>
          <w:ilvl w:val="0"/>
          <w:numId w:val="1"/>
        </w:numPr>
        <w:jc w:val="both"/>
        <w:rPr>
          <w:sz w:val="20"/>
          <w:szCs w:val="20"/>
        </w:rPr>
      </w:pPr>
      <w:r>
        <w:rPr>
          <w:sz w:val="20"/>
          <w:szCs w:val="20"/>
        </w:rPr>
        <w:t xml:space="preserve">A umidade de equilíbrio da madeira de eucalipto na região de Nossa Senhora do </w:t>
      </w:r>
      <w:proofErr w:type="spellStart"/>
      <w:r>
        <w:rPr>
          <w:sz w:val="20"/>
          <w:szCs w:val="20"/>
        </w:rPr>
        <w:t>Socorro-SE</w:t>
      </w:r>
      <w:proofErr w:type="spellEnd"/>
      <w:r>
        <w:rPr>
          <w:sz w:val="20"/>
          <w:szCs w:val="20"/>
        </w:rPr>
        <w:t xml:space="preserve"> estabilizou-se em torno de 1</w:t>
      </w:r>
      <w:r w:rsidR="009F1785">
        <w:rPr>
          <w:sz w:val="20"/>
          <w:szCs w:val="20"/>
        </w:rPr>
        <w:t>3</w:t>
      </w:r>
      <w:r>
        <w:rPr>
          <w:sz w:val="20"/>
          <w:szCs w:val="20"/>
        </w:rPr>
        <w:t>%.</w:t>
      </w:r>
    </w:p>
    <w:p w14:paraId="7DC0E103" w14:textId="77777777" w:rsidR="00D97DEC" w:rsidRDefault="00BC3A19">
      <w:pPr>
        <w:pStyle w:val="PargrafodaLista"/>
        <w:widowControl/>
        <w:numPr>
          <w:ilvl w:val="0"/>
          <w:numId w:val="1"/>
        </w:numPr>
        <w:jc w:val="both"/>
        <w:rPr>
          <w:sz w:val="20"/>
          <w:szCs w:val="20"/>
        </w:rPr>
      </w:pPr>
      <w:r>
        <w:rPr>
          <w:sz w:val="20"/>
          <w:szCs w:val="20"/>
        </w:rPr>
        <w:t>O Processo de secagem até a umidade de equilíbrio da região levou oito semanas.</w:t>
      </w:r>
    </w:p>
    <w:p w14:paraId="6B852919" w14:textId="569BE770" w:rsidR="00D97DEC" w:rsidRDefault="00BC3A19">
      <w:pPr>
        <w:pStyle w:val="PargrafodaLista"/>
        <w:widowControl/>
        <w:numPr>
          <w:ilvl w:val="0"/>
          <w:numId w:val="1"/>
        </w:numPr>
        <w:jc w:val="both"/>
        <w:rPr>
          <w:sz w:val="20"/>
          <w:szCs w:val="20"/>
        </w:rPr>
      </w:pPr>
      <w:r>
        <w:rPr>
          <w:sz w:val="20"/>
          <w:szCs w:val="20"/>
        </w:rPr>
        <w:t xml:space="preserve">O defeito de encurvamento longitudinal das peças foi reduzido ao longo do processo de secagem, melhorando a qualidade e estabilidade do esqueleto da base box. </w:t>
      </w:r>
    </w:p>
    <w:p w14:paraId="6E868B68" w14:textId="77777777" w:rsidR="00D97DEC" w:rsidRDefault="00D97DEC">
      <w:pPr>
        <w:pStyle w:val="PargrafodaLista"/>
        <w:rPr>
          <w:sz w:val="20"/>
          <w:szCs w:val="20"/>
        </w:rPr>
      </w:pPr>
    </w:p>
    <w:p w14:paraId="3A9F0134" w14:textId="77777777" w:rsidR="00D97DEC" w:rsidRDefault="00BC3A19">
      <w:pPr>
        <w:widowControl/>
        <w:jc w:val="both"/>
        <w:rPr>
          <w:b/>
          <w:sz w:val="20"/>
          <w:szCs w:val="20"/>
        </w:rPr>
      </w:pPr>
      <w:r>
        <w:rPr>
          <w:b/>
          <w:sz w:val="20"/>
          <w:szCs w:val="20"/>
        </w:rPr>
        <w:t xml:space="preserve">REFERÊNCIAS </w:t>
      </w:r>
    </w:p>
    <w:p w14:paraId="00FDFB71" w14:textId="77777777" w:rsidR="00D97DEC" w:rsidRDefault="00D97DEC">
      <w:pPr>
        <w:widowControl/>
        <w:jc w:val="both"/>
        <w:rPr>
          <w:b/>
          <w:sz w:val="20"/>
          <w:szCs w:val="20"/>
        </w:rPr>
      </w:pPr>
    </w:p>
    <w:p w14:paraId="42D11A63" w14:textId="3E223AF6" w:rsidR="009F1785" w:rsidRDefault="00BC3A19" w:rsidP="00F1424C">
      <w:pPr>
        <w:widowControl/>
        <w:spacing w:after="240"/>
        <w:jc w:val="both"/>
        <w:rPr>
          <w:sz w:val="20"/>
          <w:szCs w:val="20"/>
          <w:lang w:val="en-US"/>
        </w:rPr>
      </w:pPr>
      <w:r>
        <w:rPr>
          <w:sz w:val="20"/>
          <w:szCs w:val="20"/>
        </w:rPr>
        <w:t xml:space="preserve">BARAÚNA, </w:t>
      </w:r>
      <w:proofErr w:type="spellStart"/>
      <w:r>
        <w:rPr>
          <w:sz w:val="20"/>
          <w:szCs w:val="20"/>
        </w:rPr>
        <w:t>Edy</w:t>
      </w:r>
      <w:proofErr w:type="spellEnd"/>
      <w:r>
        <w:rPr>
          <w:sz w:val="20"/>
          <w:szCs w:val="20"/>
        </w:rPr>
        <w:t xml:space="preserve"> </w:t>
      </w:r>
      <w:proofErr w:type="spellStart"/>
      <w:r>
        <w:rPr>
          <w:sz w:val="20"/>
          <w:szCs w:val="20"/>
        </w:rPr>
        <w:t>Eime</w:t>
      </w:r>
      <w:proofErr w:type="spellEnd"/>
      <w:r>
        <w:rPr>
          <w:sz w:val="20"/>
          <w:szCs w:val="20"/>
        </w:rPr>
        <w:t xml:space="preserve"> Pereira et al. </w:t>
      </w:r>
      <w:r>
        <w:rPr>
          <w:b/>
          <w:bCs/>
          <w:sz w:val="20"/>
          <w:szCs w:val="20"/>
        </w:rPr>
        <w:t>Umidade de equilíbrio da madeira de Eucalyptus Spp. para o município de Montes Claros</w:t>
      </w:r>
      <w:r>
        <w:rPr>
          <w:sz w:val="20"/>
          <w:szCs w:val="20"/>
        </w:rPr>
        <w:t xml:space="preserve">, Minas Gerais. </w:t>
      </w:r>
      <w:r>
        <w:rPr>
          <w:sz w:val="20"/>
          <w:szCs w:val="20"/>
          <w:lang w:val="en-US"/>
        </w:rPr>
        <w:t>Research, Society and Development, v. 11, n. 9, p. e15711931160-e15711931160, 2022.</w:t>
      </w:r>
    </w:p>
    <w:p w14:paraId="66F538E2" w14:textId="77777777" w:rsidR="00D97DEC" w:rsidRDefault="00BC3A19" w:rsidP="00F1424C">
      <w:pPr>
        <w:spacing w:after="240"/>
        <w:jc w:val="both"/>
        <w:rPr>
          <w:sz w:val="20"/>
          <w:szCs w:val="20"/>
        </w:rPr>
      </w:pPr>
      <w:r>
        <w:rPr>
          <w:sz w:val="20"/>
          <w:szCs w:val="20"/>
          <w:lang w:val="en-US"/>
        </w:rPr>
        <w:t xml:space="preserve">DONATO, Danilo Barros. </w:t>
      </w:r>
      <w:r>
        <w:rPr>
          <w:b/>
          <w:bCs/>
          <w:sz w:val="20"/>
          <w:szCs w:val="20"/>
        </w:rPr>
        <w:t>Métodos de amostragem e de determinação do teor de umidade da madeira em tora</w:t>
      </w:r>
      <w:r>
        <w:rPr>
          <w:sz w:val="20"/>
          <w:szCs w:val="20"/>
        </w:rPr>
        <w:t>. 2013.</w:t>
      </w:r>
    </w:p>
    <w:p w14:paraId="689416B8" w14:textId="77777777" w:rsidR="00D97DEC" w:rsidRDefault="00BC3A19">
      <w:pPr>
        <w:spacing w:after="120"/>
        <w:jc w:val="both"/>
        <w:rPr>
          <w:sz w:val="20"/>
          <w:szCs w:val="20"/>
        </w:rPr>
      </w:pPr>
      <w:proofErr w:type="gramStart"/>
      <w:r>
        <w:rPr>
          <w:sz w:val="20"/>
          <w:szCs w:val="20"/>
        </w:rPr>
        <w:t>KLITZKE,R.J.</w:t>
      </w:r>
      <w:proofErr w:type="gramEnd"/>
      <w:r>
        <w:rPr>
          <w:sz w:val="20"/>
          <w:szCs w:val="20"/>
        </w:rPr>
        <w:t xml:space="preserve">;BATISTA,D.C. </w:t>
      </w:r>
      <w:r>
        <w:rPr>
          <w:b/>
          <w:bCs/>
          <w:sz w:val="20"/>
          <w:szCs w:val="20"/>
        </w:rPr>
        <w:t>Ensaio de taxa de secagem e escore de defeitos para a predição da qualidade de secagem convencional da madeira de Eucalyptus</w:t>
      </w:r>
      <w:r>
        <w:rPr>
          <w:sz w:val="20"/>
          <w:szCs w:val="20"/>
        </w:rPr>
        <w:t xml:space="preserve">. </w:t>
      </w:r>
      <w:proofErr w:type="spellStart"/>
      <w:r>
        <w:rPr>
          <w:sz w:val="20"/>
          <w:szCs w:val="20"/>
        </w:rPr>
        <w:t>Scientia</w:t>
      </w:r>
      <w:proofErr w:type="spellEnd"/>
      <w:r>
        <w:rPr>
          <w:sz w:val="20"/>
          <w:szCs w:val="20"/>
        </w:rPr>
        <w:t xml:space="preserve"> Fo-restalis.v.38, n.85, p.97-105, 2010. </w:t>
      </w:r>
    </w:p>
    <w:p w14:paraId="1438867C" w14:textId="77777777" w:rsidR="00D97DEC" w:rsidRPr="00F1424C" w:rsidRDefault="00BC3A19">
      <w:pPr>
        <w:spacing w:after="120"/>
        <w:jc w:val="both"/>
        <w:rPr>
          <w:sz w:val="20"/>
          <w:szCs w:val="20"/>
          <w:lang w:val="en-US"/>
        </w:rPr>
      </w:pPr>
      <w:r>
        <w:rPr>
          <w:sz w:val="20"/>
          <w:szCs w:val="20"/>
        </w:rPr>
        <w:t xml:space="preserve">SÁ, </w:t>
      </w:r>
      <w:proofErr w:type="spellStart"/>
      <w:r>
        <w:rPr>
          <w:sz w:val="20"/>
          <w:szCs w:val="20"/>
        </w:rPr>
        <w:t>Criz</w:t>
      </w:r>
      <w:proofErr w:type="spellEnd"/>
      <w:r>
        <w:rPr>
          <w:sz w:val="20"/>
          <w:szCs w:val="20"/>
        </w:rPr>
        <w:t xml:space="preserve"> Regina. </w:t>
      </w:r>
      <w:r>
        <w:rPr>
          <w:b/>
          <w:bCs/>
          <w:sz w:val="20"/>
          <w:szCs w:val="20"/>
        </w:rPr>
        <w:t>Comportamento da umidade de equilíbrio da madeira de 45 espécies florestais nativas</w:t>
      </w:r>
      <w:r>
        <w:rPr>
          <w:sz w:val="20"/>
          <w:szCs w:val="20"/>
        </w:rPr>
        <w:t xml:space="preserve">. </w:t>
      </w:r>
      <w:r w:rsidRPr="00F1424C">
        <w:rPr>
          <w:sz w:val="20"/>
          <w:szCs w:val="20"/>
          <w:lang w:val="en-US"/>
        </w:rPr>
        <w:t xml:space="preserve">2013. </w:t>
      </w:r>
      <w:proofErr w:type="spellStart"/>
      <w:r w:rsidRPr="00F1424C">
        <w:rPr>
          <w:sz w:val="20"/>
          <w:szCs w:val="20"/>
          <w:lang w:val="en-US"/>
        </w:rPr>
        <w:t>Monografia-Universidade</w:t>
      </w:r>
      <w:proofErr w:type="spellEnd"/>
      <w:r w:rsidRPr="00F1424C">
        <w:rPr>
          <w:sz w:val="20"/>
          <w:szCs w:val="20"/>
          <w:lang w:val="en-US"/>
        </w:rPr>
        <w:t xml:space="preserve"> Federal de Sergipe, São Cristóvão,2013.</w:t>
      </w:r>
    </w:p>
    <w:p w14:paraId="578BFD44" w14:textId="77777777" w:rsidR="00D97DEC" w:rsidRDefault="00BC3A19">
      <w:pPr>
        <w:spacing w:after="120"/>
        <w:jc w:val="both"/>
        <w:rPr>
          <w:sz w:val="20"/>
          <w:szCs w:val="20"/>
          <w:lang w:val="en-US"/>
        </w:rPr>
      </w:pPr>
      <w:r>
        <w:rPr>
          <w:sz w:val="20"/>
          <w:szCs w:val="20"/>
          <w:lang w:val="en-US"/>
        </w:rPr>
        <w:t xml:space="preserve">SKAAR, C. - </w:t>
      </w:r>
      <w:r>
        <w:rPr>
          <w:b/>
          <w:bCs/>
          <w:sz w:val="20"/>
          <w:szCs w:val="20"/>
          <w:lang w:val="en-US"/>
        </w:rPr>
        <w:t>Water in wood</w:t>
      </w:r>
      <w:r>
        <w:rPr>
          <w:sz w:val="20"/>
          <w:szCs w:val="20"/>
          <w:lang w:val="en-US"/>
        </w:rPr>
        <w:t>, Syracuse, Syracuse University Press, 1972.</w:t>
      </w:r>
    </w:p>
    <w:p w14:paraId="307FF8B7" w14:textId="77777777" w:rsidR="00D97DEC" w:rsidRPr="00F1424C" w:rsidRDefault="00BC3A19">
      <w:pPr>
        <w:spacing w:after="120"/>
        <w:jc w:val="both"/>
        <w:rPr>
          <w:sz w:val="20"/>
          <w:szCs w:val="20"/>
        </w:rPr>
      </w:pPr>
      <w:r>
        <w:rPr>
          <w:sz w:val="20"/>
          <w:szCs w:val="20"/>
          <w:lang w:val="en-US"/>
        </w:rPr>
        <w:t xml:space="preserve">TSOUMIS, G.T. </w:t>
      </w:r>
      <w:r>
        <w:rPr>
          <w:b/>
          <w:bCs/>
          <w:sz w:val="20"/>
          <w:szCs w:val="20"/>
          <w:lang w:val="en-US"/>
        </w:rPr>
        <w:t>Science and technology of wood: structure, properties, utilization.</w:t>
      </w:r>
      <w:r>
        <w:rPr>
          <w:sz w:val="20"/>
          <w:szCs w:val="20"/>
          <w:lang w:val="en-US"/>
        </w:rPr>
        <w:t xml:space="preserve"> </w:t>
      </w:r>
      <w:r w:rsidRPr="00F1424C">
        <w:rPr>
          <w:sz w:val="20"/>
          <w:szCs w:val="20"/>
        </w:rPr>
        <w:t>New York: Chapman &amp; Hall, 1991.</w:t>
      </w:r>
    </w:p>
    <w:p w14:paraId="3875443F" w14:textId="77777777" w:rsidR="00D97DEC" w:rsidRDefault="00BC3A19">
      <w:pPr>
        <w:spacing w:after="120"/>
        <w:jc w:val="both"/>
        <w:rPr>
          <w:sz w:val="20"/>
          <w:szCs w:val="20"/>
        </w:rPr>
      </w:pPr>
      <w:r>
        <w:rPr>
          <w:sz w:val="20"/>
          <w:szCs w:val="20"/>
        </w:rPr>
        <w:t xml:space="preserve">ZANUNCIO, A.J.V.; LIMA, J.T.; MONTEIRO, T.C.; TRUGILHO, P.F.; LIMA, F.S. </w:t>
      </w:r>
      <w:r>
        <w:rPr>
          <w:b/>
          <w:bCs/>
          <w:sz w:val="20"/>
          <w:szCs w:val="20"/>
        </w:rPr>
        <w:t>Secagem ao ar livre da madeira para produção de carvão vegetal.</w:t>
      </w:r>
      <w:r>
        <w:rPr>
          <w:sz w:val="20"/>
          <w:szCs w:val="20"/>
        </w:rPr>
        <w:t xml:space="preserve"> Floresta Ambiente, Seropédica, v.21, n.3, p.401-408, 2014.</w:t>
      </w:r>
    </w:p>
    <w:p w14:paraId="05C7EE78" w14:textId="52BB44F7" w:rsidR="00D97DEC" w:rsidRPr="00F1424C" w:rsidRDefault="00D673C8">
      <w:pPr>
        <w:spacing w:after="120"/>
        <w:jc w:val="both"/>
        <w:rPr>
          <w:sz w:val="20"/>
          <w:szCs w:val="20"/>
        </w:rPr>
      </w:pPr>
      <w:r w:rsidRPr="00F1424C">
        <w:rPr>
          <w:sz w:val="20"/>
          <w:szCs w:val="20"/>
        </w:rPr>
        <w:t xml:space="preserve">ZEN, L. R., MONTEIRO, T. C., SCHAEFFER, W., KAMINSKI, J. M., &amp; KLITZKE, R. J. (2019). </w:t>
      </w:r>
      <w:r w:rsidRPr="00F1424C">
        <w:rPr>
          <w:b/>
          <w:bCs/>
          <w:sz w:val="20"/>
          <w:szCs w:val="20"/>
        </w:rPr>
        <w:t>Secagem ao ar livre da madeira serrada de eucalipto.</w:t>
      </w:r>
      <w:r w:rsidRPr="00F1424C">
        <w:rPr>
          <w:sz w:val="20"/>
          <w:szCs w:val="20"/>
        </w:rPr>
        <w:t> </w:t>
      </w:r>
      <w:proofErr w:type="spellStart"/>
      <w:r w:rsidRPr="00F1424C">
        <w:rPr>
          <w:sz w:val="20"/>
          <w:szCs w:val="20"/>
        </w:rPr>
        <w:t>Journal</w:t>
      </w:r>
      <w:proofErr w:type="spellEnd"/>
      <w:r w:rsidRPr="00F1424C">
        <w:rPr>
          <w:sz w:val="20"/>
          <w:szCs w:val="20"/>
        </w:rPr>
        <w:t xml:space="preserve"> </w:t>
      </w:r>
      <w:proofErr w:type="spellStart"/>
      <w:r w:rsidRPr="00F1424C">
        <w:rPr>
          <w:sz w:val="20"/>
          <w:szCs w:val="20"/>
        </w:rPr>
        <w:t>of</w:t>
      </w:r>
      <w:proofErr w:type="spellEnd"/>
      <w:r w:rsidRPr="00F1424C">
        <w:rPr>
          <w:sz w:val="20"/>
          <w:szCs w:val="20"/>
        </w:rPr>
        <w:t xml:space="preserve"> </w:t>
      </w:r>
      <w:proofErr w:type="spellStart"/>
      <w:r w:rsidRPr="00F1424C">
        <w:rPr>
          <w:sz w:val="20"/>
          <w:szCs w:val="20"/>
        </w:rPr>
        <w:t>Biotechnology</w:t>
      </w:r>
      <w:proofErr w:type="spellEnd"/>
      <w:r w:rsidRPr="00F1424C">
        <w:rPr>
          <w:sz w:val="20"/>
          <w:szCs w:val="20"/>
        </w:rPr>
        <w:t xml:space="preserve"> and </w:t>
      </w:r>
      <w:proofErr w:type="spellStart"/>
      <w:r w:rsidRPr="00F1424C">
        <w:rPr>
          <w:sz w:val="20"/>
          <w:szCs w:val="20"/>
        </w:rPr>
        <w:t>Biodiversity</w:t>
      </w:r>
      <w:proofErr w:type="spellEnd"/>
      <w:r w:rsidRPr="00F1424C">
        <w:rPr>
          <w:sz w:val="20"/>
          <w:szCs w:val="20"/>
        </w:rPr>
        <w:t>, 7(2), 291–298. https://doi.org/10.20873/jbb.uft.cemaf.v7n2.zen</w:t>
      </w:r>
    </w:p>
    <w:sectPr w:rsidR="00D97DEC" w:rsidRPr="00F1424C">
      <w:headerReference w:type="even" r:id="rId11"/>
      <w:headerReference w:type="default" r:id="rId12"/>
      <w:footerReference w:type="even" r:id="rId13"/>
      <w:footerReference w:type="default" r:id="rId14"/>
      <w:headerReference w:type="first" r:id="rId15"/>
      <w:footerReference w:type="first" r:id="rId16"/>
      <w:pgSz w:w="11906" w:h="16838"/>
      <w:pgMar w:top="1909" w:right="1134" w:bottom="1462" w:left="1701" w:header="1418" w:footer="1405"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E490" w14:textId="77777777" w:rsidR="00205F3D" w:rsidRDefault="00205F3D">
      <w:r>
        <w:separator/>
      </w:r>
    </w:p>
  </w:endnote>
  <w:endnote w:type="continuationSeparator" w:id="0">
    <w:p w14:paraId="3E12A727" w14:textId="77777777" w:rsidR="00205F3D" w:rsidRDefault="0020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737F" w14:textId="77777777" w:rsidR="00D97DEC" w:rsidRDefault="00D97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4E6D" w14:textId="77777777" w:rsidR="00D97DEC" w:rsidRDefault="00D97DEC">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CB5C" w14:textId="77777777" w:rsidR="00D97DEC" w:rsidRDefault="00D97DEC">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4101" w14:textId="77777777" w:rsidR="00205F3D" w:rsidRDefault="00205F3D">
      <w:r>
        <w:separator/>
      </w:r>
    </w:p>
  </w:footnote>
  <w:footnote w:type="continuationSeparator" w:id="0">
    <w:p w14:paraId="5EAC92C5" w14:textId="77777777" w:rsidR="00205F3D" w:rsidRDefault="00205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646C" w14:textId="77777777" w:rsidR="00D97DEC" w:rsidRDefault="00D97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1322" w14:textId="77777777" w:rsidR="00D97DEC" w:rsidRDefault="00D97DEC">
    <w:pP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9B78" w14:textId="77777777" w:rsidR="00D97DEC" w:rsidRDefault="00BC3A19">
    <w:pPr>
      <w:tabs>
        <w:tab w:val="center" w:pos="4252"/>
        <w:tab w:val="right" w:pos="8504"/>
      </w:tabs>
      <w:jc w:val="center"/>
      <w:rPr>
        <w:color w:val="000000"/>
      </w:rPr>
    </w:pPr>
    <w:r>
      <w:rPr>
        <w:noProof/>
      </w:rPr>
      <w:drawing>
        <wp:inline distT="0" distB="0" distL="0" distR="0" wp14:anchorId="3697D6BA" wp14:editId="7A156832">
          <wp:extent cx="5274310" cy="791210"/>
          <wp:effectExtent l="0" t="0" r="0" b="0"/>
          <wp:docPr id="5" name="image2.png"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Desenho de personagem de desenho animado&#10;&#10;Descrição gerada automaticamente com confiança média"/>
                  <pic:cNvPicPr>
                    <a:picLocks noChangeAspect="1" noChangeArrowheads="1"/>
                  </pic:cNvPicPr>
                </pic:nvPicPr>
                <pic:blipFill>
                  <a:blip r:embed="rId1"/>
                  <a:stretch>
                    <a:fillRect/>
                  </a:stretch>
                </pic:blipFill>
                <pic:spPr bwMode="auto">
                  <a:xfrm>
                    <a:off x="0" y="0"/>
                    <a:ext cx="5274310" cy="791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265A8"/>
    <w:multiLevelType w:val="multilevel"/>
    <w:tmpl w:val="69F68A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D905083"/>
    <w:multiLevelType w:val="multilevel"/>
    <w:tmpl w:val="FE8E4A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EC"/>
    <w:rsid w:val="00064B88"/>
    <w:rsid w:val="00205F3D"/>
    <w:rsid w:val="00276052"/>
    <w:rsid w:val="00291A48"/>
    <w:rsid w:val="0052356A"/>
    <w:rsid w:val="0062349A"/>
    <w:rsid w:val="006B23FC"/>
    <w:rsid w:val="00813B33"/>
    <w:rsid w:val="009F1785"/>
    <w:rsid w:val="00A67C55"/>
    <w:rsid w:val="00BC3A19"/>
    <w:rsid w:val="00CA6C60"/>
    <w:rsid w:val="00D673C8"/>
    <w:rsid w:val="00D97DEC"/>
    <w:rsid w:val="00E31E5E"/>
    <w:rsid w:val="00E53BA4"/>
    <w:rsid w:val="00EB6DB5"/>
    <w:rsid w:val="00F1424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8389"/>
  <w15:docId w15:val="{824E28F0-989E-4417-B434-1A837909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tulo1">
    <w:name w:val="heading 1"/>
    <w:basedOn w:val="Normal"/>
    <w:next w:val="Normal"/>
    <w:uiPriority w:val="9"/>
    <w:qFormat/>
    <w:pPr>
      <w:spacing w:before="18"/>
      <w:ind w:left="107"/>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sid w:val="00830A1A"/>
    <w:rPr>
      <w:sz w:val="16"/>
      <w:szCs w:val="16"/>
    </w:rPr>
  </w:style>
  <w:style w:type="character" w:customStyle="1" w:styleId="TextodecomentrioChar">
    <w:name w:val="Texto de comentário Char"/>
    <w:basedOn w:val="Fontepargpadro"/>
    <w:link w:val="Textodecomentrio"/>
    <w:uiPriority w:val="99"/>
    <w:qFormat/>
    <w:rsid w:val="00830A1A"/>
    <w:rPr>
      <w:sz w:val="20"/>
      <w:szCs w:val="20"/>
    </w:rPr>
  </w:style>
  <w:style w:type="character" w:customStyle="1" w:styleId="AssuntodocomentrioChar">
    <w:name w:val="Assunto do comentário Char"/>
    <w:basedOn w:val="TextodecomentrioChar"/>
    <w:link w:val="Assuntodocomentrio"/>
    <w:uiPriority w:val="99"/>
    <w:semiHidden/>
    <w:qFormat/>
    <w:rsid w:val="00830A1A"/>
    <w:rPr>
      <w:b/>
      <w:bCs/>
      <w:sz w:val="20"/>
      <w:szCs w:val="20"/>
    </w:rPr>
  </w:style>
  <w:style w:type="character" w:customStyle="1" w:styleId="normaltextrun">
    <w:name w:val="normaltextrun"/>
    <w:basedOn w:val="Fontepargpadro"/>
    <w:qFormat/>
    <w:rsid w:val="009212A7"/>
  </w:style>
  <w:style w:type="character" w:customStyle="1" w:styleId="eop">
    <w:name w:val="eop"/>
    <w:basedOn w:val="Fontepargpadro"/>
    <w:qFormat/>
    <w:rsid w:val="009212A7"/>
  </w:style>
  <w:style w:type="character" w:styleId="TextodoEspaoReservado">
    <w:name w:val="Placeholder Text"/>
    <w:basedOn w:val="Fontepargpadro"/>
    <w:uiPriority w:val="99"/>
    <w:semiHidden/>
    <w:qFormat/>
    <w:rsid w:val="001B369E"/>
    <w:rPr>
      <w:color w:val="808080"/>
    </w:rPr>
  </w:style>
  <w:style w:type="character" w:customStyle="1" w:styleId="Pr-formataoHTMLChar">
    <w:name w:val="Pré-formatação HTML Char"/>
    <w:basedOn w:val="Fontepargpadro"/>
    <w:link w:val="Pr-formataoHTML"/>
    <w:uiPriority w:val="99"/>
    <w:semiHidden/>
    <w:qFormat/>
    <w:rsid w:val="00EB393D"/>
    <w:rPr>
      <w:rFonts w:ascii="Courier New" w:hAnsi="Courier New" w:cs="Courier New"/>
      <w:sz w:val="20"/>
      <w:szCs w:val="20"/>
    </w:rPr>
  </w:style>
  <w:style w:type="character" w:customStyle="1" w:styleId="y2iqfc">
    <w:name w:val="y2iqfc"/>
    <w:basedOn w:val="Fontepargpadro"/>
    <w:qFormat/>
    <w:rsid w:val="00EB393D"/>
  </w:style>
  <w:style w:type="character" w:styleId="Nmerodelinha">
    <w:name w:val="line numbe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rsid w:val="00830A1A"/>
    <w:rPr>
      <w:sz w:val="20"/>
      <w:szCs w:val="20"/>
    </w:rPr>
  </w:style>
  <w:style w:type="paragraph" w:styleId="Assuntodocomentrio">
    <w:name w:val="annotation subject"/>
    <w:basedOn w:val="Textodecomentrio"/>
    <w:next w:val="Textodecomentrio"/>
    <w:link w:val="AssuntodocomentrioChar"/>
    <w:uiPriority w:val="99"/>
    <w:semiHidden/>
    <w:unhideWhenUsed/>
    <w:qFormat/>
    <w:rsid w:val="00830A1A"/>
    <w:rPr>
      <w:b/>
      <w:bCs/>
    </w:rPr>
  </w:style>
  <w:style w:type="paragraph" w:styleId="PargrafodaLista">
    <w:name w:val="List Paragraph"/>
    <w:basedOn w:val="Normal"/>
    <w:uiPriority w:val="34"/>
    <w:qFormat/>
    <w:rsid w:val="00830A1A"/>
    <w:pPr>
      <w:ind w:left="720"/>
      <w:contextualSpacing/>
    </w:pPr>
  </w:style>
  <w:style w:type="paragraph" w:customStyle="1" w:styleId="paragraph">
    <w:name w:val="paragraph"/>
    <w:basedOn w:val="Normal"/>
    <w:qFormat/>
    <w:rsid w:val="009212A7"/>
    <w:pPr>
      <w:widowControl/>
      <w:spacing w:beforeAutospacing="1" w:afterAutospacing="1"/>
    </w:pPr>
    <w:rPr>
      <w:sz w:val="24"/>
      <w:szCs w:val="24"/>
    </w:rPr>
  </w:style>
  <w:style w:type="paragraph" w:styleId="Reviso">
    <w:name w:val="Revision"/>
    <w:uiPriority w:val="99"/>
    <w:semiHidden/>
    <w:qFormat/>
    <w:rsid w:val="00CB4048"/>
  </w:style>
  <w:style w:type="paragraph" w:styleId="Pr-formataoHTML">
    <w:name w:val="HTML Preformatted"/>
    <w:basedOn w:val="Normal"/>
    <w:link w:val="Pr-formataoHTMLChar"/>
    <w:uiPriority w:val="99"/>
    <w:semiHidden/>
    <w:unhideWhenUsed/>
    <w:qFormat/>
    <w:rsid w:val="00EB3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Anotao">
    <w:name w:val="Anotação"/>
    <w:basedOn w:val="Normal"/>
    <w:qFormat/>
    <w:pPr>
      <w:spacing w:before="56"/>
      <w:ind w:left="57" w:right="57"/>
    </w:pPr>
    <w:rPr>
      <w:sz w:val="20"/>
      <w:szCs w:val="20"/>
    </w:r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861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c:style val="2"/>
  <c:chart>
    <c:autoTitleDeleted val="1"/>
    <c:plotArea>
      <c:layout>
        <c:manualLayout>
          <c:layoutTarget val="inner"/>
          <c:xMode val="edge"/>
          <c:yMode val="edge"/>
          <c:x val="0.16062499999999999"/>
          <c:y val="0.13866666666666699"/>
          <c:w val="0.79762500000000003"/>
          <c:h val="0.60466666666666702"/>
        </c:manualLayout>
      </c:layout>
      <c:lineChart>
        <c:grouping val="standard"/>
        <c:varyColors val="0"/>
        <c:ser>
          <c:idx val="0"/>
          <c:order val="0"/>
          <c:tx>
            <c:strRef>
              <c:f>label 0</c:f>
              <c:strCache>
                <c:ptCount val="1"/>
                <c:pt idx="0">
                  <c:v>TU(%)</c:v>
                </c:pt>
              </c:strCache>
            </c:strRef>
          </c:tx>
          <c:spPr>
            <a:ln w="28440" cap="rnd">
              <a:solidFill>
                <a:srgbClr val="FF0000"/>
              </a:solidFill>
              <a:round/>
            </a:ln>
          </c:spPr>
          <c:marker>
            <c:symbol val="none"/>
          </c:marker>
          <c:dLbls>
            <c:spPr>
              <a:noFill/>
              <a:ln>
                <a:noFill/>
              </a:ln>
              <a:effectLst/>
            </c:spPr>
            <c:txPr>
              <a:bodyPr wrap="square"/>
              <a:lstStyle/>
              <a:p>
                <a:pPr>
                  <a:defRPr sz="1000" b="1" u="none" strike="noStrike">
                    <a:solidFill>
                      <a:srgbClr val="000000"/>
                    </a:solidFill>
                    <a:uFillTx/>
                    <a:latin typeface="Times New Roman"/>
                  </a:defRPr>
                </a:pPr>
                <a:endParaRPr lang="pt-BR"/>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15:leaderLines>
                  <c:spPr>
                    <a:ln w="28440">
                      <a:solidFill>
                        <a:srgbClr val="000000"/>
                      </a:solidFill>
                    </a:ln>
                  </c:spPr>
                </c15:leaderLines>
              </c:ext>
            </c:extLst>
          </c:dLbls>
          <c:cat>
            <c:strRef>
              <c:f>categories</c:f>
              <c:strCache>
                <c:ptCount val="8"/>
                <c:pt idx="0">
                  <c:v>1</c:v>
                </c:pt>
                <c:pt idx="1">
                  <c:v>2</c:v>
                </c:pt>
                <c:pt idx="2">
                  <c:v>3</c:v>
                </c:pt>
                <c:pt idx="3">
                  <c:v>4</c:v>
                </c:pt>
                <c:pt idx="4">
                  <c:v>5</c:v>
                </c:pt>
                <c:pt idx="5">
                  <c:v>6</c:v>
                </c:pt>
                <c:pt idx="6">
                  <c:v>7</c:v>
                </c:pt>
                <c:pt idx="7">
                  <c:v>8</c:v>
                </c:pt>
              </c:strCache>
            </c:strRef>
          </c:cat>
          <c:val>
            <c:numRef>
              <c:f>0</c:f>
              <c:numCache>
                <c:formatCode>General</c:formatCode>
                <c:ptCount val="8"/>
                <c:pt idx="0">
                  <c:v>80.972499999999997</c:v>
                </c:pt>
                <c:pt idx="1">
                  <c:v>36.430047557539702</c:v>
                </c:pt>
                <c:pt idx="2">
                  <c:v>17.138678131334899</c:v>
                </c:pt>
                <c:pt idx="3">
                  <c:v>12.4831463796663</c:v>
                </c:pt>
                <c:pt idx="4">
                  <c:v>11.7386717152804</c:v>
                </c:pt>
                <c:pt idx="5">
                  <c:v>11.3181534878957</c:v>
                </c:pt>
                <c:pt idx="6">
                  <c:v>10.6632614504522</c:v>
                </c:pt>
                <c:pt idx="7">
                  <c:v>11.0530152632214</c:v>
                </c:pt>
              </c:numCache>
            </c:numRef>
          </c:val>
          <c:smooth val="0"/>
          <c:extLst>
            <c:ext xmlns:c16="http://schemas.microsoft.com/office/drawing/2014/chart" uri="{C3380CC4-5D6E-409C-BE32-E72D297353CC}">
              <c16:uniqueId val="{00000000-742B-49BE-8596-E25184E48BCC}"/>
            </c:ext>
          </c:extLst>
        </c:ser>
        <c:dLbls>
          <c:showLegendKey val="0"/>
          <c:showVal val="0"/>
          <c:showCatName val="0"/>
          <c:showSerName val="0"/>
          <c:showPercent val="0"/>
          <c:showBubbleSize val="0"/>
        </c:dLbls>
        <c:hiLowLines>
          <c:spPr>
            <a:ln w="0">
              <a:noFill/>
            </a:ln>
          </c:spPr>
        </c:hiLowLines>
        <c:smooth val="0"/>
        <c:axId val="17683919"/>
        <c:axId val="92905695"/>
      </c:lineChart>
      <c:catAx>
        <c:axId val="17683919"/>
        <c:scaling>
          <c:orientation val="minMax"/>
        </c:scaling>
        <c:delete val="0"/>
        <c:axPos val="b"/>
        <c:title>
          <c:tx>
            <c:rich>
              <a:bodyPr rot="0"/>
              <a:lstStyle/>
              <a:p>
                <a:pPr>
                  <a:defRPr sz="1300" b="0" u="none" strike="noStrike">
                    <a:uFillTx/>
                    <a:latin typeface="Arial"/>
                  </a:defRPr>
                </a:pPr>
                <a:r>
                  <a:rPr lang="pt-BR" sz="1000" b="1" u="none" strike="noStrike">
                    <a:solidFill>
                      <a:srgbClr val="595959"/>
                    </a:solidFill>
                    <a:uFillTx/>
                    <a:latin typeface="Times New Roman"/>
                  </a:rPr>
                  <a:t>Semanas</a:t>
                </a:r>
              </a:p>
            </c:rich>
          </c:tx>
          <c:layout>
            <c:manualLayout>
              <c:xMode val="edge"/>
              <c:yMode val="edge"/>
              <c:x val="0.51090909090909098"/>
              <c:y val="0.88315412186379905"/>
            </c:manualLayout>
          </c:layout>
          <c:overlay val="0"/>
          <c:spPr>
            <a:noFill/>
            <a:ln w="0">
              <a:noFill/>
            </a:ln>
          </c:spPr>
        </c:title>
        <c:numFmt formatCode="General" sourceLinked="1"/>
        <c:majorTickMark val="none"/>
        <c:minorTickMark val="none"/>
        <c:tickLblPos val="nextTo"/>
        <c:spPr>
          <a:ln w="9360">
            <a:solidFill>
              <a:srgbClr val="D9D9D9"/>
            </a:solidFill>
            <a:round/>
          </a:ln>
        </c:spPr>
        <c:txPr>
          <a:bodyPr/>
          <a:lstStyle/>
          <a:p>
            <a:pPr>
              <a:defRPr sz="900" b="0" u="none" strike="noStrike">
                <a:solidFill>
                  <a:srgbClr val="595959"/>
                </a:solidFill>
                <a:uFillTx/>
                <a:latin typeface="Times New Roman"/>
              </a:defRPr>
            </a:pPr>
            <a:endParaRPr lang="pt-BR"/>
          </a:p>
        </c:txPr>
        <c:crossAx val="92905695"/>
        <c:crosses val="autoZero"/>
        <c:auto val="1"/>
        <c:lblAlgn val="ctr"/>
        <c:lblOffset val="100"/>
        <c:noMultiLvlLbl val="0"/>
      </c:catAx>
      <c:valAx>
        <c:axId val="92905695"/>
        <c:scaling>
          <c:orientation val="minMax"/>
        </c:scaling>
        <c:delete val="0"/>
        <c:axPos val="l"/>
        <c:title>
          <c:tx>
            <c:rich>
              <a:bodyPr rot="-5400000"/>
              <a:lstStyle/>
              <a:p>
                <a:pPr>
                  <a:defRPr sz="1300" b="0" u="none" strike="noStrike">
                    <a:uFillTx/>
                    <a:latin typeface="Arial"/>
                  </a:defRPr>
                </a:pPr>
                <a:r>
                  <a:rPr lang="pt-BR" sz="1000" b="1" u="none" strike="noStrike">
                    <a:solidFill>
                      <a:srgbClr val="595959"/>
                    </a:solidFill>
                    <a:uFillTx/>
                    <a:latin typeface="Times New Roman"/>
                  </a:rPr>
                  <a:t>Teor de Umidade (%)</a:t>
                </a:r>
              </a:p>
            </c:rich>
          </c:tx>
          <c:overlay val="0"/>
          <c:spPr>
            <a:noFill/>
            <a:ln w="0">
              <a:noFill/>
            </a:ln>
          </c:spPr>
        </c:title>
        <c:numFmt formatCode="0.00" sourceLinked="0"/>
        <c:majorTickMark val="none"/>
        <c:minorTickMark val="none"/>
        <c:tickLblPos val="nextTo"/>
        <c:spPr>
          <a:ln w="9360">
            <a:noFill/>
          </a:ln>
        </c:spPr>
        <c:txPr>
          <a:bodyPr/>
          <a:lstStyle/>
          <a:p>
            <a:pPr>
              <a:defRPr sz="900" b="0" u="none" strike="noStrike">
                <a:solidFill>
                  <a:srgbClr val="595959"/>
                </a:solidFill>
                <a:uFillTx/>
                <a:latin typeface="Times New Roman"/>
              </a:defRPr>
            </a:pPr>
            <a:endParaRPr lang="pt-BR"/>
          </a:p>
        </c:txPr>
        <c:crossAx val="17683919"/>
        <c:crosses val="autoZero"/>
        <c:crossBetween val="between"/>
      </c:valAx>
      <c:spPr>
        <a:noFill/>
        <a:ln w="0">
          <a:noFill/>
        </a:ln>
      </c:spPr>
    </c:plotArea>
    <c:plotVisOnly val="1"/>
    <c:dispBlanksAs val="gap"/>
    <c:showDLblsOverMax val="1"/>
  </c:chart>
  <c:spPr>
    <a:solidFill>
      <a:srgbClr val="FFFFFF"/>
    </a:solidFill>
    <a:ln w="9360">
      <a:noFill/>
    </a:ln>
  </c:spPr>
</c:chartSpac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1873</Words>
  <Characters>10118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dc:creator>
  <dc:description/>
  <cp:lastModifiedBy>Lucas</cp:lastModifiedBy>
  <cp:revision>5</cp:revision>
  <cp:lastPrinted>2025-06-10T19:10:00Z</cp:lastPrinted>
  <dcterms:created xsi:type="dcterms:W3CDTF">2025-06-30T16:29:00Z</dcterms:created>
  <dcterms:modified xsi:type="dcterms:W3CDTF">2025-06-30T17:39:00Z</dcterms:modified>
  <dc:language>pt-BR</dc:language>
</cp:coreProperties>
</file>