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453D" w14:textId="77777777" w:rsidR="00D17649" w:rsidRDefault="00D17649">
      <w:pPr>
        <w:widowControl/>
        <w:jc w:val="center"/>
        <w:rPr>
          <w:b/>
          <w:sz w:val="24"/>
          <w:szCs w:val="24"/>
        </w:rPr>
      </w:pPr>
    </w:p>
    <w:p w14:paraId="60FE8911" w14:textId="10739C3E" w:rsidR="00D17649" w:rsidRDefault="004F7649">
      <w:pPr>
        <w:widowControl/>
        <w:jc w:val="center"/>
        <w:rPr>
          <w:b/>
          <w:sz w:val="24"/>
          <w:szCs w:val="24"/>
        </w:rPr>
      </w:pPr>
      <w:bookmarkStart w:id="0" w:name="_heading=h.gjdgxs" w:colFirst="0" w:colLast="0"/>
      <w:bookmarkEnd w:id="0"/>
      <w:r>
        <w:rPr>
          <w:b/>
          <w:sz w:val="24"/>
          <w:szCs w:val="24"/>
        </w:rPr>
        <w:t>ANÁLISE TÉCNICA DA EXPLORAÇÃO FLORESTAL EM MANEJO DA CAATINGA</w:t>
      </w:r>
    </w:p>
    <w:p w14:paraId="29D25BB5" w14:textId="77777777" w:rsidR="00E50437" w:rsidRDefault="00E50437">
      <w:pPr>
        <w:widowControl/>
        <w:jc w:val="center"/>
        <w:rPr>
          <w:b/>
          <w:sz w:val="24"/>
          <w:szCs w:val="24"/>
        </w:rPr>
      </w:pPr>
    </w:p>
    <w:p w14:paraId="465501E1" w14:textId="4198E1AA" w:rsidR="004F7649" w:rsidRDefault="004F7649" w:rsidP="004F7649">
      <w:pPr>
        <w:spacing w:line="276" w:lineRule="auto"/>
        <w:ind w:left="221" w:right="214"/>
        <w:jc w:val="center"/>
        <w:rPr>
          <w:b/>
          <w:sz w:val="20"/>
          <w:szCs w:val="20"/>
          <w:vertAlign w:val="superscript"/>
        </w:rPr>
      </w:pPr>
      <w:r>
        <w:rPr>
          <w:b/>
          <w:sz w:val="20"/>
          <w:szCs w:val="20"/>
        </w:rPr>
        <w:t>Pompeu Paes Gui</w:t>
      </w:r>
      <w:r w:rsidR="00805A88">
        <w:rPr>
          <w:b/>
          <w:sz w:val="20"/>
          <w:szCs w:val="20"/>
        </w:rPr>
        <w:t>ma</w:t>
      </w:r>
      <w:r>
        <w:rPr>
          <w:b/>
          <w:sz w:val="20"/>
          <w:szCs w:val="20"/>
        </w:rPr>
        <w:t>rães</w:t>
      </w:r>
      <w:r>
        <w:rPr>
          <w:b/>
          <w:sz w:val="20"/>
          <w:szCs w:val="20"/>
          <w:vertAlign w:val="superscript"/>
        </w:rPr>
        <w:t>1*</w:t>
      </w:r>
      <w:r>
        <w:rPr>
          <w:b/>
          <w:sz w:val="20"/>
          <w:szCs w:val="20"/>
        </w:rPr>
        <w:t>, Ana Karla Vieria da Silva</w:t>
      </w:r>
      <w:r>
        <w:rPr>
          <w:b/>
          <w:sz w:val="20"/>
          <w:szCs w:val="20"/>
          <w:vertAlign w:val="superscript"/>
        </w:rPr>
        <w:t>1</w:t>
      </w:r>
      <w:r>
        <w:rPr>
          <w:b/>
          <w:sz w:val="20"/>
          <w:szCs w:val="20"/>
        </w:rPr>
        <w:t>, Flavio Cipriano de Assis do Carmo</w:t>
      </w:r>
      <w:r>
        <w:rPr>
          <w:b/>
          <w:sz w:val="20"/>
          <w:szCs w:val="20"/>
          <w:vertAlign w:val="superscript"/>
        </w:rPr>
        <w:t>2</w:t>
      </w:r>
      <w:r w:rsidRPr="00C33458">
        <w:rPr>
          <w:b/>
          <w:sz w:val="20"/>
          <w:szCs w:val="20"/>
        </w:rPr>
        <w:t>,</w:t>
      </w:r>
      <w:r>
        <w:rPr>
          <w:b/>
          <w:sz w:val="20"/>
          <w:szCs w:val="20"/>
        </w:rPr>
        <w:t xml:space="preserve"> Edyla Maria Alves Nobrega</w:t>
      </w:r>
      <w:r>
        <w:rPr>
          <w:b/>
          <w:sz w:val="20"/>
          <w:szCs w:val="20"/>
          <w:vertAlign w:val="superscript"/>
        </w:rPr>
        <w:t>2</w:t>
      </w:r>
      <w:r>
        <w:rPr>
          <w:b/>
          <w:sz w:val="20"/>
          <w:szCs w:val="20"/>
        </w:rPr>
        <w:t>, Juliana Ferreira Silva</w:t>
      </w:r>
      <w:r>
        <w:rPr>
          <w:b/>
          <w:sz w:val="20"/>
          <w:szCs w:val="20"/>
          <w:vertAlign w:val="superscript"/>
        </w:rPr>
        <w:t>2</w:t>
      </w:r>
      <w:r>
        <w:rPr>
          <w:b/>
          <w:sz w:val="20"/>
          <w:szCs w:val="20"/>
        </w:rPr>
        <w:t>, Pedro Henrique Loiola da Silva</w:t>
      </w:r>
      <w:r w:rsidRPr="00355548">
        <w:rPr>
          <w:b/>
          <w:sz w:val="20"/>
          <w:szCs w:val="20"/>
          <w:vertAlign w:val="superscript"/>
        </w:rPr>
        <w:t>1</w:t>
      </w:r>
    </w:p>
    <w:p w14:paraId="209DD7F4" w14:textId="77777777" w:rsidR="004F7649" w:rsidRDefault="004F7649" w:rsidP="004F7649">
      <w:pPr>
        <w:spacing w:line="276" w:lineRule="auto"/>
        <w:ind w:left="221" w:right="214"/>
        <w:jc w:val="center"/>
        <w:rPr>
          <w:sz w:val="20"/>
          <w:szCs w:val="20"/>
        </w:rPr>
      </w:pPr>
      <w:r>
        <w:rPr>
          <w:sz w:val="20"/>
          <w:szCs w:val="20"/>
        </w:rPr>
        <w:t>Universidade Federal Rural do Semi-Árido</w:t>
      </w:r>
      <w:r>
        <w:rPr>
          <w:sz w:val="20"/>
          <w:szCs w:val="20"/>
          <w:vertAlign w:val="superscript"/>
        </w:rPr>
        <w:t>1</w:t>
      </w:r>
      <w:r>
        <w:rPr>
          <w:sz w:val="20"/>
          <w:szCs w:val="20"/>
        </w:rPr>
        <w:t>, Universidade Federal de Campina Grande</w:t>
      </w:r>
      <w:r>
        <w:rPr>
          <w:sz w:val="20"/>
          <w:szCs w:val="20"/>
          <w:vertAlign w:val="superscript"/>
        </w:rPr>
        <w:t>2</w:t>
      </w:r>
    </w:p>
    <w:p w14:paraId="62727225" w14:textId="77777777" w:rsidR="004F7649" w:rsidRDefault="004F7649" w:rsidP="004F7649">
      <w:pPr>
        <w:spacing w:line="276" w:lineRule="auto"/>
        <w:ind w:left="221" w:right="214"/>
        <w:jc w:val="center"/>
        <w:rPr>
          <w:sz w:val="20"/>
          <w:szCs w:val="20"/>
        </w:rPr>
      </w:pPr>
      <w:bookmarkStart w:id="1" w:name="_heading=h.yp96iwu2o7wg" w:colFirst="0" w:colLast="0"/>
      <w:bookmarkEnd w:id="1"/>
      <w:r>
        <w:rPr>
          <w:sz w:val="20"/>
          <w:szCs w:val="20"/>
        </w:rPr>
        <w:t>* pompeu.guimaraes@ufersa.edu.br.</w:t>
      </w:r>
    </w:p>
    <w:p w14:paraId="1D2CF530" w14:textId="77777777" w:rsidR="00D17649" w:rsidRDefault="00C934B5">
      <w:pPr>
        <w:jc w:val="center"/>
        <w:rPr>
          <w:sz w:val="20"/>
          <w:szCs w:val="20"/>
        </w:rPr>
      </w:pPr>
      <w:r>
        <w:rPr>
          <w:sz w:val="20"/>
          <w:szCs w:val="20"/>
        </w:rPr>
        <w:t>__________________________________________________________________________________________</w:t>
      </w:r>
    </w:p>
    <w:p w14:paraId="60C6F9FE" w14:textId="77777777" w:rsidR="00D17649" w:rsidRDefault="00D17649">
      <w:pPr>
        <w:jc w:val="both"/>
        <w:rPr>
          <w:sz w:val="20"/>
          <w:szCs w:val="20"/>
        </w:rPr>
      </w:pPr>
    </w:p>
    <w:p w14:paraId="4C717105" w14:textId="6604AEB1" w:rsidR="00D17649" w:rsidRDefault="00C934B5" w:rsidP="00504D81">
      <w:pPr>
        <w:ind w:left="567" w:right="567"/>
        <w:jc w:val="both"/>
        <w:rPr>
          <w:sz w:val="20"/>
          <w:szCs w:val="20"/>
        </w:rPr>
      </w:pPr>
      <w:r>
        <w:rPr>
          <w:b/>
          <w:sz w:val="20"/>
          <w:szCs w:val="20"/>
        </w:rPr>
        <w:t>RESUMO</w:t>
      </w:r>
      <w:r>
        <w:rPr>
          <w:sz w:val="20"/>
          <w:szCs w:val="20"/>
        </w:rPr>
        <w:t xml:space="preserve"> </w:t>
      </w:r>
    </w:p>
    <w:p w14:paraId="3709AE4D" w14:textId="52925490" w:rsidR="00D17649" w:rsidRDefault="00E50437" w:rsidP="00504D81">
      <w:pPr>
        <w:widowControl/>
        <w:ind w:left="567" w:right="567"/>
        <w:jc w:val="both"/>
        <w:rPr>
          <w:sz w:val="20"/>
          <w:szCs w:val="20"/>
        </w:rPr>
      </w:pPr>
      <w:r w:rsidRPr="00E50437">
        <w:rPr>
          <w:sz w:val="20"/>
          <w:szCs w:val="20"/>
        </w:rPr>
        <w:t xml:space="preserve">A crescente demanda por recursos energéticos no Nordeste brasileiro tem acarretado a intensificação da exploração de lenha no bioma Caatinga. No entanto, a escassez de informações acerca do planejamento e organização das atividades envolvidas no processo de exploração florestal em áreas manejadas, influi na produtividade do ciclo operacional. Nesse contexto, o objetivo desse estudo foi realizar um levantamento de informações operacionais de caráter técnico, acerca da exploração de lenha para fins energéticos em área de Caatinga manejada, no município de Governador Dix-Sept Rosado-RN. A coleta de dados da análise técnica ocorreu por meio de observações visuais das atividades desenvolvidas durante a exploração semimecanizada de lenha, e do estudo de tempos e movimentos. As atividades operacionais foram divididas em derrubada dos indivíduos (7,17%), processamento (82,60%) e </w:t>
      </w:r>
      <w:r w:rsidR="00361B59">
        <w:rPr>
          <w:sz w:val="20"/>
          <w:szCs w:val="20"/>
        </w:rPr>
        <w:t>interrupções</w:t>
      </w:r>
      <w:r w:rsidRPr="00E50437">
        <w:rPr>
          <w:sz w:val="20"/>
          <w:szCs w:val="20"/>
        </w:rPr>
        <w:t xml:space="preserve"> (10,23%). A produtividade do corte foi de 1,55 st/he. </w:t>
      </w:r>
    </w:p>
    <w:p w14:paraId="09707F84" w14:textId="468DE20F" w:rsidR="00D17649" w:rsidRDefault="00C934B5" w:rsidP="00504D81">
      <w:pPr>
        <w:widowControl/>
        <w:ind w:left="567" w:right="567"/>
        <w:rPr>
          <w:sz w:val="20"/>
          <w:szCs w:val="20"/>
        </w:rPr>
      </w:pPr>
      <w:r>
        <w:rPr>
          <w:i/>
          <w:sz w:val="20"/>
          <w:szCs w:val="20"/>
        </w:rPr>
        <w:t>Palavras-chave</w:t>
      </w:r>
      <w:r>
        <w:rPr>
          <w:sz w:val="20"/>
          <w:szCs w:val="20"/>
        </w:rPr>
        <w:t xml:space="preserve">: </w:t>
      </w:r>
      <w:r w:rsidR="00E50437">
        <w:rPr>
          <w:sz w:val="20"/>
          <w:szCs w:val="20"/>
        </w:rPr>
        <w:t>lenha, produtividade, técnica e operações florestais</w:t>
      </w:r>
    </w:p>
    <w:p w14:paraId="0070B191" w14:textId="77777777" w:rsidR="00D17649" w:rsidRDefault="00D17649">
      <w:pPr>
        <w:widowControl/>
        <w:jc w:val="both"/>
        <w:rPr>
          <w:b/>
          <w:sz w:val="20"/>
          <w:szCs w:val="20"/>
        </w:rPr>
      </w:pPr>
    </w:p>
    <w:p w14:paraId="7E58C57D" w14:textId="47CEB9F4" w:rsidR="00D17649" w:rsidRDefault="00C934B5">
      <w:pPr>
        <w:widowControl/>
        <w:jc w:val="both"/>
        <w:rPr>
          <w:sz w:val="20"/>
          <w:szCs w:val="20"/>
        </w:rPr>
      </w:pPr>
      <w:r>
        <w:rPr>
          <w:b/>
          <w:sz w:val="20"/>
          <w:szCs w:val="20"/>
        </w:rPr>
        <w:t xml:space="preserve">INTRODUÇÃO </w:t>
      </w:r>
    </w:p>
    <w:p w14:paraId="30B7E06F" w14:textId="6668CD1D" w:rsidR="000A0855" w:rsidRPr="00E50437" w:rsidRDefault="00E50437" w:rsidP="00516B5F">
      <w:pPr>
        <w:widowControl/>
        <w:ind w:firstLine="708"/>
        <w:jc w:val="both"/>
        <w:rPr>
          <w:sz w:val="20"/>
          <w:szCs w:val="20"/>
        </w:rPr>
      </w:pPr>
      <w:r w:rsidRPr="00E50437">
        <w:rPr>
          <w:sz w:val="20"/>
          <w:szCs w:val="20"/>
        </w:rPr>
        <w:t>A exploração florestal do bioma Caatinga tem ocorrido, sobretudo, em função da crescente demanda de lenha apresentada na Região Nordeste do Brasil, com destaque para os setores industrial e comercial (</w:t>
      </w:r>
      <w:r w:rsidR="00C95CF8">
        <w:rPr>
          <w:sz w:val="20"/>
          <w:szCs w:val="20"/>
        </w:rPr>
        <w:t>BRAND, 2017</w:t>
      </w:r>
      <w:r w:rsidRPr="00E50437">
        <w:rPr>
          <w:sz w:val="20"/>
          <w:szCs w:val="20"/>
        </w:rPr>
        <w:t xml:space="preserve">). </w:t>
      </w:r>
      <w:r w:rsidR="000A0855" w:rsidRPr="000A0855">
        <w:rPr>
          <w:sz w:val="20"/>
          <w:szCs w:val="20"/>
        </w:rPr>
        <w:t>Ao abordar a exploração florestal na Caatinga, Maia et al. (2017) ressaltam que, dentre os biomas brasileiros, este é provavelmente o menos conhecido do ponto de vista botânico e um dos mais desvalorizados. Tal desvalorização está relacionada à reduzida exploração sustentável dos recursos naturais e à elevada proporção de desmatamento, principalmente para fins energéticos e de expansão da pecuária</w:t>
      </w:r>
      <w:r w:rsidR="00516B5F">
        <w:rPr>
          <w:sz w:val="20"/>
          <w:szCs w:val="20"/>
        </w:rPr>
        <w:t>.</w:t>
      </w:r>
    </w:p>
    <w:p w14:paraId="07235CD3" w14:textId="39E3C27A" w:rsidR="00E50437" w:rsidRPr="00E50437" w:rsidRDefault="00624A4D" w:rsidP="00E50437">
      <w:pPr>
        <w:widowControl/>
        <w:ind w:firstLine="708"/>
        <w:jc w:val="both"/>
        <w:rPr>
          <w:sz w:val="20"/>
          <w:szCs w:val="20"/>
        </w:rPr>
      </w:pPr>
      <w:r>
        <w:rPr>
          <w:sz w:val="20"/>
          <w:szCs w:val="20"/>
        </w:rPr>
        <w:t>Analisando a produção de lenha para o Estado do Piauí, o</w:t>
      </w:r>
      <w:r w:rsidR="00E30724">
        <w:rPr>
          <w:sz w:val="20"/>
          <w:szCs w:val="20"/>
        </w:rPr>
        <w:t>s</w:t>
      </w:r>
      <w:r>
        <w:rPr>
          <w:sz w:val="20"/>
          <w:szCs w:val="20"/>
        </w:rPr>
        <w:t xml:space="preserve"> principais produtos oriund</w:t>
      </w:r>
      <w:r w:rsidR="00516B5F">
        <w:rPr>
          <w:sz w:val="20"/>
          <w:szCs w:val="20"/>
        </w:rPr>
        <w:t>o</w:t>
      </w:r>
      <w:r>
        <w:rPr>
          <w:sz w:val="20"/>
          <w:szCs w:val="20"/>
        </w:rPr>
        <w:t>s incluem o polo gesseiro e cerâmico, carvoarias e empreendimentos alimentícios (ANDRADE, LOPES, BARROS e LOPES, 2019).</w:t>
      </w:r>
    </w:p>
    <w:p w14:paraId="038196A0" w14:textId="6B61EF3D" w:rsidR="00D17649" w:rsidRDefault="00E50437" w:rsidP="00516B5F">
      <w:pPr>
        <w:widowControl/>
        <w:ind w:firstLine="708"/>
        <w:jc w:val="both"/>
        <w:rPr>
          <w:sz w:val="20"/>
          <w:szCs w:val="20"/>
        </w:rPr>
      </w:pPr>
      <w:r w:rsidRPr="00E50437">
        <w:rPr>
          <w:sz w:val="20"/>
          <w:szCs w:val="20"/>
        </w:rPr>
        <w:t>O estudo de tempos e movimentos, foi apontado por Seixas et al. (2004) como sendo uma técnica essencial a ser aplicada no processo de colheita e exploração florestal, uma vez que permite o conhecimento e a organização das atividades de exploração, além de possibilitar o aprimoramento do sistema operacional com redução nos tempos improdutivos, em paralelo com medidas ergonômicas, designar o empenho requerido para cada uma das atividades.</w:t>
      </w:r>
      <w:r w:rsidR="00516B5F">
        <w:rPr>
          <w:sz w:val="20"/>
          <w:szCs w:val="20"/>
        </w:rPr>
        <w:t xml:space="preserve"> </w:t>
      </w:r>
      <w:r w:rsidRPr="00E50437">
        <w:rPr>
          <w:sz w:val="20"/>
          <w:szCs w:val="20"/>
        </w:rPr>
        <w:t>Nesse contexto, o objetivo desse estudo foi realizar um levantamento de informações operacionais de caráter técnico acerca da exploração de lenha para fins energéticos em área de Caatinga manejada, no município de Governador Dix-Sept Rosado - Rio Grande do Norte.</w:t>
      </w:r>
    </w:p>
    <w:p w14:paraId="1186A5C4" w14:textId="77777777" w:rsidR="00E50437" w:rsidRDefault="00E50437" w:rsidP="00E50437">
      <w:pPr>
        <w:widowControl/>
        <w:ind w:firstLine="708"/>
        <w:jc w:val="both"/>
        <w:rPr>
          <w:b/>
          <w:sz w:val="20"/>
          <w:szCs w:val="20"/>
        </w:rPr>
      </w:pPr>
    </w:p>
    <w:p w14:paraId="1D7C2C81" w14:textId="4C263E4D" w:rsidR="00D17649" w:rsidRDefault="00C934B5">
      <w:pPr>
        <w:widowControl/>
        <w:jc w:val="both"/>
        <w:rPr>
          <w:sz w:val="20"/>
          <w:szCs w:val="20"/>
        </w:rPr>
      </w:pPr>
      <w:r>
        <w:rPr>
          <w:b/>
          <w:sz w:val="20"/>
          <w:szCs w:val="20"/>
        </w:rPr>
        <w:t xml:space="preserve">MATERIAL E MÉTODOS </w:t>
      </w:r>
    </w:p>
    <w:p w14:paraId="2518D747" w14:textId="74D4BF54" w:rsidR="00D17649" w:rsidRDefault="00E50437" w:rsidP="00E50437">
      <w:pPr>
        <w:widowControl/>
        <w:ind w:firstLine="720"/>
        <w:jc w:val="both"/>
        <w:rPr>
          <w:bCs/>
          <w:sz w:val="20"/>
          <w:szCs w:val="20"/>
        </w:rPr>
      </w:pPr>
      <w:r w:rsidRPr="00E50437">
        <w:rPr>
          <w:bCs/>
          <w:sz w:val="20"/>
          <w:szCs w:val="20"/>
        </w:rPr>
        <w:t>Este trabalho foi realizado em uma propriedade privada em área de Caatinga (Figura 1), com exploração florestal semimecanizada sob Plano de Manejo Florestal Sustentável, licenciada pelo Instituto de Desenvolvimento Sustentável e Meio Ambiente do Rio Grande do Norte – IDEMA. A área de estudo fica localizada no município de Governador Dix-Sept Rosado, RN.</w:t>
      </w:r>
    </w:p>
    <w:p w14:paraId="6595CDA5" w14:textId="77777777" w:rsidR="0018757F" w:rsidRPr="0022450E" w:rsidRDefault="0018757F" w:rsidP="0018757F">
      <w:pPr>
        <w:widowControl/>
        <w:ind w:firstLine="720"/>
        <w:jc w:val="both"/>
        <w:rPr>
          <w:sz w:val="20"/>
          <w:szCs w:val="20"/>
        </w:rPr>
      </w:pPr>
      <w:r w:rsidRPr="0022450E">
        <w:rPr>
          <w:sz w:val="20"/>
          <w:szCs w:val="20"/>
        </w:rPr>
        <w:t>A coleta de dados para mensuração da produtividade ocorreu em consonância com a realização do estudo de tempos e movimentos, nos meses de Janeiro e Fevereiro de 2019, compreendendo o início do período chuvoso.</w:t>
      </w:r>
    </w:p>
    <w:p w14:paraId="4E7827AB" w14:textId="17BAD4CE" w:rsidR="00683E45" w:rsidRDefault="00683E45" w:rsidP="0018757F">
      <w:pPr>
        <w:widowControl/>
        <w:jc w:val="both"/>
        <w:rPr>
          <w:sz w:val="20"/>
          <w:szCs w:val="20"/>
        </w:rPr>
      </w:pPr>
      <w:r w:rsidRPr="00683E45">
        <w:rPr>
          <w:sz w:val="20"/>
          <w:szCs w:val="20"/>
        </w:rPr>
        <w:t xml:space="preserve">Foram realizadas quatro </w:t>
      </w:r>
      <w:r w:rsidRPr="00231EB8">
        <w:rPr>
          <w:sz w:val="20"/>
          <w:szCs w:val="20"/>
        </w:rPr>
        <w:t>visitas a área de</w:t>
      </w:r>
      <w:r w:rsidR="00231EB8" w:rsidRPr="00231EB8">
        <w:rPr>
          <w:sz w:val="20"/>
          <w:szCs w:val="20"/>
        </w:rPr>
        <w:t xml:space="preserve"> produção</w:t>
      </w:r>
      <w:r w:rsidRPr="00231EB8">
        <w:rPr>
          <w:sz w:val="20"/>
          <w:szCs w:val="20"/>
        </w:rPr>
        <w:t>, para a coleta de dados</w:t>
      </w:r>
      <w:r w:rsidRPr="00683E45">
        <w:rPr>
          <w:sz w:val="20"/>
          <w:szCs w:val="20"/>
        </w:rPr>
        <w:t xml:space="preserve"> que ocorreu por meio de observações visuais das atividades desenvolvidas durante a exploração semimecanizada de lenha em área manejada na Caatinga, e para a realização do estudo de tempos e movimentos, as operações foram divididas em fases do ciclo </w:t>
      </w:r>
      <w:r w:rsidRPr="00683E45">
        <w:rPr>
          <w:sz w:val="20"/>
          <w:szCs w:val="20"/>
        </w:rPr>
        <w:lastRenderedPageBreak/>
        <w:t>operacional (Quadro 1), por meio do método de tempos contínuos, com o auxílio de dois cronômetros, e formulários específicos para registro (BARNES, 1977).</w:t>
      </w:r>
    </w:p>
    <w:p w14:paraId="1CCDDED5" w14:textId="77777777" w:rsidR="00683E45" w:rsidRDefault="00683E45" w:rsidP="00683E45">
      <w:pPr>
        <w:widowControl/>
        <w:jc w:val="both"/>
        <w:rPr>
          <w:sz w:val="20"/>
          <w:szCs w:val="20"/>
        </w:rPr>
      </w:pPr>
    </w:p>
    <w:p w14:paraId="365827F9" w14:textId="369F36D8" w:rsidR="00683E45" w:rsidRDefault="0023355D" w:rsidP="00683E45">
      <w:pPr>
        <w:widowControl/>
        <w:jc w:val="both"/>
        <w:rPr>
          <w:sz w:val="20"/>
          <w:szCs w:val="20"/>
        </w:rPr>
      </w:pPr>
      <w:r w:rsidRPr="0023355D">
        <w:rPr>
          <w:sz w:val="20"/>
          <w:szCs w:val="20"/>
        </w:rPr>
        <w:t>Quadro 1. Descrição das etapas componentes do ciclo operacional da exploração semimecanizada de lenha em área manejada na Caatinga.</w:t>
      </w:r>
    </w:p>
    <w:tbl>
      <w:tblPr>
        <w:tblStyle w:val="Tabelacomgrade"/>
        <w:tblW w:w="9067" w:type="dxa"/>
        <w:jc w:val="center"/>
        <w:tblLook w:val="04A0" w:firstRow="1" w:lastRow="0" w:firstColumn="1" w:lastColumn="0" w:noHBand="0" w:noVBand="1"/>
      </w:tblPr>
      <w:tblGrid>
        <w:gridCol w:w="1416"/>
        <w:gridCol w:w="7651"/>
      </w:tblGrid>
      <w:tr w:rsidR="00683E45" w14:paraId="60EE0C0D" w14:textId="77777777" w:rsidTr="0018757F">
        <w:trPr>
          <w:trHeight w:val="324"/>
          <w:jc w:val="center"/>
        </w:trPr>
        <w:tc>
          <w:tcPr>
            <w:tcW w:w="1416" w:type="dxa"/>
            <w:tcBorders>
              <w:top w:val="single" w:sz="4" w:space="0" w:color="auto"/>
              <w:left w:val="single" w:sz="4" w:space="0" w:color="auto"/>
              <w:bottom w:val="single" w:sz="4" w:space="0" w:color="auto"/>
              <w:right w:val="single" w:sz="4" w:space="0" w:color="auto"/>
            </w:tcBorders>
            <w:hideMark/>
          </w:tcPr>
          <w:p w14:paraId="5369BC63" w14:textId="77777777" w:rsidR="00683E45" w:rsidRPr="00683E45" w:rsidRDefault="00683E45" w:rsidP="00734E38">
            <w:pPr>
              <w:jc w:val="center"/>
              <w:rPr>
                <w:rFonts w:ascii="Times New Roman" w:eastAsia="Times New Roman" w:hAnsi="Times New Roman" w:cs="Times New Roman"/>
                <w:b/>
                <w:bCs/>
                <w:color w:val="000000"/>
                <w:sz w:val="20"/>
                <w:szCs w:val="20"/>
                <w:lang w:eastAsia="pt-BR"/>
              </w:rPr>
            </w:pPr>
            <w:r w:rsidRPr="00683E45">
              <w:rPr>
                <w:rFonts w:ascii="Times New Roman" w:eastAsia="Times New Roman" w:hAnsi="Times New Roman" w:cs="Times New Roman"/>
                <w:b/>
                <w:bCs/>
                <w:color w:val="000000"/>
                <w:sz w:val="20"/>
                <w:szCs w:val="20"/>
                <w:lang w:eastAsia="pt-BR"/>
              </w:rPr>
              <w:t>Atividade</w:t>
            </w:r>
          </w:p>
        </w:tc>
        <w:tc>
          <w:tcPr>
            <w:tcW w:w="7651" w:type="dxa"/>
            <w:tcBorders>
              <w:top w:val="single" w:sz="4" w:space="0" w:color="auto"/>
              <w:left w:val="single" w:sz="4" w:space="0" w:color="auto"/>
              <w:bottom w:val="single" w:sz="4" w:space="0" w:color="auto"/>
              <w:right w:val="single" w:sz="4" w:space="0" w:color="auto"/>
            </w:tcBorders>
            <w:hideMark/>
          </w:tcPr>
          <w:p w14:paraId="1A6CF48A" w14:textId="77777777" w:rsidR="00683E45" w:rsidRPr="00683E45" w:rsidRDefault="00683E45" w:rsidP="00734E38">
            <w:pPr>
              <w:jc w:val="center"/>
              <w:rPr>
                <w:rFonts w:ascii="Times New Roman" w:eastAsia="Times New Roman" w:hAnsi="Times New Roman" w:cs="Times New Roman"/>
                <w:b/>
                <w:bCs/>
                <w:color w:val="000000"/>
                <w:sz w:val="20"/>
                <w:szCs w:val="20"/>
                <w:lang w:eastAsia="pt-BR"/>
              </w:rPr>
            </w:pPr>
            <w:r w:rsidRPr="00683E45">
              <w:rPr>
                <w:rFonts w:ascii="Times New Roman" w:eastAsia="Times New Roman" w:hAnsi="Times New Roman" w:cs="Times New Roman"/>
                <w:b/>
                <w:bCs/>
                <w:color w:val="000000"/>
                <w:sz w:val="20"/>
                <w:szCs w:val="20"/>
                <w:lang w:eastAsia="pt-BR"/>
              </w:rPr>
              <w:t>Descrição</w:t>
            </w:r>
          </w:p>
        </w:tc>
      </w:tr>
      <w:tr w:rsidR="00683E45" w14:paraId="3A6C2916" w14:textId="77777777" w:rsidTr="0018757F">
        <w:trPr>
          <w:trHeight w:val="235"/>
          <w:jc w:val="center"/>
        </w:trPr>
        <w:tc>
          <w:tcPr>
            <w:tcW w:w="1416" w:type="dxa"/>
            <w:tcBorders>
              <w:top w:val="single" w:sz="4" w:space="0" w:color="auto"/>
              <w:left w:val="single" w:sz="4" w:space="0" w:color="auto"/>
              <w:bottom w:val="single" w:sz="4" w:space="0" w:color="auto"/>
              <w:right w:val="single" w:sz="4" w:space="0" w:color="auto"/>
            </w:tcBorders>
            <w:vAlign w:val="center"/>
            <w:hideMark/>
          </w:tcPr>
          <w:p w14:paraId="27513839" w14:textId="77777777" w:rsidR="00683E45" w:rsidRPr="00683E45" w:rsidRDefault="00683E45" w:rsidP="00734E38">
            <w:pPr>
              <w:jc w:val="center"/>
              <w:rPr>
                <w:rFonts w:ascii="Times New Roman" w:eastAsia="Times New Roman" w:hAnsi="Times New Roman" w:cs="Times New Roman"/>
                <w:bCs/>
                <w:color w:val="000000"/>
                <w:sz w:val="20"/>
                <w:szCs w:val="20"/>
                <w:lang w:eastAsia="pt-BR"/>
              </w:rPr>
            </w:pPr>
            <w:r w:rsidRPr="00683E45">
              <w:rPr>
                <w:rFonts w:ascii="Times New Roman" w:eastAsia="Times New Roman" w:hAnsi="Times New Roman" w:cs="Times New Roman"/>
                <w:bCs/>
                <w:color w:val="000000"/>
                <w:sz w:val="20"/>
                <w:szCs w:val="20"/>
                <w:lang w:eastAsia="pt-BR"/>
              </w:rPr>
              <w:t>Derrubada</w:t>
            </w:r>
          </w:p>
        </w:tc>
        <w:tc>
          <w:tcPr>
            <w:tcW w:w="7651" w:type="dxa"/>
            <w:tcBorders>
              <w:top w:val="single" w:sz="4" w:space="0" w:color="auto"/>
              <w:left w:val="single" w:sz="4" w:space="0" w:color="auto"/>
              <w:bottom w:val="single" w:sz="4" w:space="0" w:color="auto"/>
              <w:right w:val="single" w:sz="4" w:space="0" w:color="auto"/>
            </w:tcBorders>
            <w:hideMark/>
          </w:tcPr>
          <w:p w14:paraId="71E6B2F4" w14:textId="77777777" w:rsidR="00683E45" w:rsidRPr="00683E45" w:rsidRDefault="00683E45" w:rsidP="00734E38">
            <w:pPr>
              <w:jc w:val="both"/>
              <w:rPr>
                <w:rFonts w:ascii="Times New Roman" w:eastAsia="Times New Roman" w:hAnsi="Times New Roman" w:cs="Times New Roman"/>
                <w:color w:val="000000"/>
                <w:sz w:val="20"/>
                <w:szCs w:val="20"/>
                <w:lang w:eastAsia="pt-BR"/>
              </w:rPr>
            </w:pPr>
            <w:r w:rsidRPr="00683E45">
              <w:rPr>
                <w:rFonts w:ascii="Times New Roman" w:eastAsia="Times New Roman" w:hAnsi="Times New Roman" w:cs="Times New Roman"/>
                <w:color w:val="000000"/>
                <w:sz w:val="20"/>
                <w:szCs w:val="20"/>
                <w:lang w:eastAsia="pt-BR"/>
              </w:rPr>
              <w:t xml:space="preserve">Ato de seccionar, derrubar, os indivíduos que estão em pé, realizado com motosserra.  </w:t>
            </w:r>
          </w:p>
        </w:tc>
      </w:tr>
      <w:tr w:rsidR="00683E45" w14:paraId="7731B58B" w14:textId="77777777" w:rsidTr="0018757F">
        <w:trPr>
          <w:trHeight w:val="423"/>
          <w:jc w:val="center"/>
        </w:trPr>
        <w:tc>
          <w:tcPr>
            <w:tcW w:w="1416" w:type="dxa"/>
            <w:tcBorders>
              <w:top w:val="single" w:sz="4" w:space="0" w:color="auto"/>
              <w:left w:val="single" w:sz="4" w:space="0" w:color="auto"/>
              <w:bottom w:val="single" w:sz="4" w:space="0" w:color="auto"/>
              <w:right w:val="single" w:sz="4" w:space="0" w:color="auto"/>
            </w:tcBorders>
            <w:vAlign w:val="center"/>
            <w:hideMark/>
          </w:tcPr>
          <w:p w14:paraId="627100F0" w14:textId="77777777" w:rsidR="00683E45" w:rsidRPr="00683E45" w:rsidRDefault="00683E45" w:rsidP="00734E38">
            <w:pPr>
              <w:jc w:val="center"/>
              <w:rPr>
                <w:rFonts w:ascii="Times New Roman" w:eastAsia="Times New Roman" w:hAnsi="Times New Roman" w:cs="Times New Roman"/>
                <w:bCs/>
                <w:color w:val="000000"/>
                <w:sz w:val="20"/>
                <w:szCs w:val="20"/>
                <w:lang w:eastAsia="pt-BR"/>
              </w:rPr>
            </w:pPr>
            <w:r w:rsidRPr="00683E45">
              <w:rPr>
                <w:rFonts w:ascii="Times New Roman" w:eastAsia="Times New Roman" w:hAnsi="Times New Roman" w:cs="Times New Roman"/>
                <w:bCs/>
                <w:color w:val="000000"/>
                <w:sz w:val="20"/>
                <w:szCs w:val="20"/>
                <w:lang w:eastAsia="pt-BR"/>
              </w:rPr>
              <w:t>Processamento</w:t>
            </w:r>
          </w:p>
        </w:tc>
        <w:tc>
          <w:tcPr>
            <w:tcW w:w="7651" w:type="dxa"/>
            <w:tcBorders>
              <w:top w:val="single" w:sz="4" w:space="0" w:color="auto"/>
              <w:left w:val="single" w:sz="4" w:space="0" w:color="auto"/>
              <w:bottom w:val="single" w:sz="4" w:space="0" w:color="auto"/>
              <w:right w:val="single" w:sz="4" w:space="0" w:color="auto"/>
            </w:tcBorders>
            <w:hideMark/>
          </w:tcPr>
          <w:p w14:paraId="243DF020" w14:textId="77777777" w:rsidR="00683E45" w:rsidRPr="00683E45" w:rsidRDefault="00683E45" w:rsidP="00734E38">
            <w:pPr>
              <w:jc w:val="both"/>
              <w:rPr>
                <w:rFonts w:ascii="Times New Roman" w:eastAsia="Times New Roman" w:hAnsi="Times New Roman" w:cs="Times New Roman"/>
                <w:color w:val="000000"/>
                <w:sz w:val="20"/>
                <w:szCs w:val="20"/>
                <w:lang w:eastAsia="pt-BR"/>
              </w:rPr>
            </w:pPr>
            <w:r w:rsidRPr="00683E45">
              <w:rPr>
                <w:rFonts w:ascii="Times New Roman" w:eastAsia="Times New Roman" w:hAnsi="Times New Roman" w:cs="Times New Roman"/>
                <w:color w:val="000000"/>
                <w:sz w:val="20"/>
                <w:szCs w:val="20"/>
                <w:lang w:eastAsia="pt-BR"/>
              </w:rPr>
              <w:t>Retirada da copa e galhos, restando apenas o fuste, o qual é posteriormente seccionado em toretes. Operação realizada com motosserra (operador) e foice (ajudante).</w:t>
            </w:r>
          </w:p>
        </w:tc>
      </w:tr>
      <w:tr w:rsidR="00683E45" w14:paraId="376CCF12" w14:textId="77777777" w:rsidTr="0018757F">
        <w:trPr>
          <w:trHeight w:val="557"/>
          <w:jc w:val="center"/>
        </w:trPr>
        <w:tc>
          <w:tcPr>
            <w:tcW w:w="1416" w:type="dxa"/>
            <w:tcBorders>
              <w:top w:val="single" w:sz="4" w:space="0" w:color="auto"/>
              <w:left w:val="single" w:sz="4" w:space="0" w:color="auto"/>
              <w:bottom w:val="single" w:sz="4" w:space="0" w:color="auto"/>
              <w:right w:val="single" w:sz="4" w:space="0" w:color="auto"/>
            </w:tcBorders>
            <w:vAlign w:val="center"/>
            <w:hideMark/>
          </w:tcPr>
          <w:p w14:paraId="07A012A9" w14:textId="77777777" w:rsidR="00683E45" w:rsidRPr="00683E45" w:rsidRDefault="00683E45" w:rsidP="00734E38">
            <w:pPr>
              <w:jc w:val="center"/>
              <w:rPr>
                <w:rFonts w:ascii="Times New Roman" w:eastAsia="Times New Roman" w:hAnsi="Times New Roman" w:cs="Times New Roman"/>
                <w:bCs/>
                <w:color w:val="000000"/>
                <w:sz w:val="20"/>
                <w:szCs w:val="20"/>
                <w:lang w:eastAsia="pt-BR"/>
              </w:rPr>
            </w:pPr>
            <w:r w:rsidRPr="00683E45">
              <w:rPr>
                <w:rFonts w:ascii="Times New Roman" w:eastAsia="Times New Roman" w:hAnsi="Times New Roman" w:cs="Times New Roman"/>
                <w:bCs/>
                <w:color w:val="000000"/>
                <w:sz w:val="20"/>
                <w:szCs w:val="20"/>
                <w:lang w:eastAsia="pt-BR"/>
              </w:rPr>
              <w:t>Interrupções</w:t>
            </w:r>
          </w:p>
        </w:tc>
        <w:tc>
          <w:tcPr>
            <w:tcW w:w="7651" w:type="dxa"/>
            <w:tcBorders>
              <w:top w:val="single" w:sz="4" w:space="0" w:color="auto"/>
              <w:left w:val="single" w:sz="4" w:space="0" w:color="auto"/>
              <w:bottom w:val="single" w:sz="4" w:space="0" w:color="auto"/>
              <w:right w:val="single" w:sz="4" w:space="0" w:color="auto"/>
            </w:tcBorders>
            <w:hideMark/>
          </w:tcPr>
          <w:p w14:paraId="22F8A208" w14:textId="77777777" w:rsidR="00683E45" w:rsidRPr="00683E45" w:rsidRDefault="00683E45" w:rsidP="00734E38">
            <w:pPr>
              <w:jc w:val="both"/>
              <w:rPr>
                <w:rFonts w:ascii="Times New Roman" w:eastAsia="Times New Roman" w:hAnsi="Times New Roman" w:cs="Times New Roman"/>
                <w:color w:val="000000"/>
                <w:sz w:val="20"/>
                <w:szCs w:val="20"/>
                <w:lang w:eastAsia="pt-BR"/>
              </w:rPr>
            </w:pPr>
            <w:r w:rsidRPr="00683E45">
              <w:rPr>
                <w:rFonts w:ascii="Times New Roman" w:eastAsia="Times New Roman" w:hAnsi="Times New Roman" w:cs="Times New Roman"/>
                <w:color w:val="000000"/>
                <w:sz w:val="20"/>
                <w:szCs w:val="20"/>
                <w:lang w:eastAsia="pt-BR"/>
              </w:rPr>
              <w:t>Caracterizam as pausas feitas durante a atividade pelo operador para manutenções mecânicas, como: abastecimento da motosserra e afiação da corrente; e paradas por necessidade do operador (água e banheiro).</w:t>
            </w:r>
          </w:p>
        </w:tc>
      </w:tr>
    </w:tbl>
    <w:p w14:paraId="48BE18F3" w14:textId="51B4571A" w:rsidR="00683E45" w:rsidRPr="00ED7B2D" w:rsidRDefault="0023355D">
      <w:pPr>
        <w:widowControl/>
        <w:jc w:val="both"/>
        <w:rPr>
          <w:sz w:val="16"/>
          <w:szCs w:val="16"/>
        </w:rPr>
      </w:pPr>
      <w:r w:rsidRPr="00ED7B2D">
        <w:rPr>
          <w:sz w:val="16"/>
          <w:szCs w:val="16"/>
        </w:rPr>
        <w:t xml:space="preserve">Fonte: </w:t>
      </w:r>
      <w:r w:rsidR="00457661" w:rsidRPr="00ED7B2D">
        <w:rPr>
          <w:sz w:val="16"/>
          <w:szCs w:val="16"/>
        </w:rPr>
        <w:t>Os autores</w:t>
      </w:r>
    </w:p>
    <w:p w14:paraId="4CEB8398" w14:textId="77777777" w:rsidR="0023355D" w:rsidRDefault="0023355D">
      <w:pPr>
        <w:widowControl/>
        <w:jc w:val="both"/>
        <w:rPr>
          <w:sz w:val="20"/>
          <w:szCs w:val="20"/>
        </w:rPr>
      </w:pPr>
    </w:p>
    <w:p w14:paraId="1B48091C" w14:textId="6B8EC79A" w:rsidR="0018757F" w:rsidRPr="0018757F" w:rsidRDefault="0018757F" w:rsidP="0018757F">
      <w:pPr>
        <w:ind w:firstLine="720"/>
        <w:jc w:val="both"/>
        <w:rPr>
          <w:color w:val="000000"/>
          <w:sz w:val="20"/>
          <w:szCs w:val="20"/>
        </w:rPr>
      </w:pPr>
      <w:r>
        <w:rPr>
          <w:sz w:val="20"/>
          <w:szCs w:val="20"/>
        </w:rPr>
        <w:t xml:space="preserve">Além da derrubada, processamento e interrupções, como forma de venda e mensuração rápida </w:t>
      </w:r>
      <w:r w:rsidR="00487393">
        <w:rPr>
          <w:sz w:val="20"/>
          <w:szCs w:val="20"/>
        </w:rPr>
        <w:t xml:space="preserve">da lenha </w:t>
      </w:r>
      <w:r>
        <w:rPr>
          <w:sz w:val="20"/>
          <w:szCs w:val="20"/>
        </w:rPr>
        <w:t xml:space="preserve">foi promovido o emetramento - </w:t>
      </w:r>
      <w:r w:rsidRPr="00683E45">
        <w:rPr>
          <w:color w:val="000000"/>
          <w:sz w:val="20"/>
          <w:szCs w:val="20"/>
        </w:rPr>
        <w:t>Formação de pilhas com os toretes, medindo aproximadamente, 1 metro de altura, 1 metro de largura e comprimentos variados. Realizado de forma manual, ao final de toda atividade, pelo operador e ajudante, com o objetivo de quantificar a produtividade em estéreos.</w:t>
      </w:r>
    </w:p>
    <w:p w14:paraId="33D57D43" w14:textId="270C9C9B" w:rsidR="0023355D" w:rsidRDefault="0022450E" w:rsidP="0022450E">
      <w:pPr>
        <w:widowControl/>
        <w:ind w:firstLine="720"/>
        <w:jc w:val="both"/>
        <w:rPr>
          <w:sz w:val="20"/>
          <w:szCs w:val="20"/>
        </w:rPr>
      </w:pPr>
      <w:r w:rsidRPr="0022450E">
        <w:rPr>
          <w:sz w:val="20"/>
          <w:szCs w:val="20"/>
        </w:rPr>
        <w:t xml:space="preserve">A produtividade em estéreos de lenha por hora efetiva de trabalho foi estimada pela razão entre a produtividade (st) e o tempo efetivo de trabalho (he). Para isso, com o auxílio de uma trena, foram formadas pilhas de um metro de altura por um metro de largura e comprimento variado. A lenha contida nas pilhas foi pesada com auxílio de uma balança digital suspensa em uma árvore (Figura </w:t>
      </w:r>
      <w:r w:rsidR="00516B5F">
        <w:rPr>
          <w:sz w:val="20"/>
          <w:szCs w:val="20"/>
        </w:rPr>
        <w:t>1</w:t>
      </w:r>
      <w:r w:rsidRPr="0022450E">
        <w:rPr>
          <w:sz w:val="20"/>
          <w:szCs w:val="20"/>
        </w:rPr>
        <w:t>), em seguida, foi realizada a mensuração do volume das pilhas em st.</w:t>
      </w:r>
    </w:p>
    <w:p w14:paraId="66134F7C" w14:textId="77777777" w:rsidR="0023355D" w:rsidRDefault="0023355D">
      <w:pPr>
        <w:widowControl/>
        <w:jc w:val="both"/>
        <w:rPr>
          <w:sz w:val="20"/>
          <w:szCs w:val="20"/>
        </w:rPr>
      </w:pPr>
    </w:p>
    <w:tbl>
      <w:tblPr>
        <w:tblStyle w:val="ListaMdia1"/>
        <w:tblW w:w="0" w:type="auto"/>
        <w:jc w:val="center"/>
        <w:tblBorders>
          <w:top w:val="none" w:sz="0" w:space="0" w:color="auto"/>
          <w:bottom w:val="none" w:sz="0" w:space="0" w:color="auto"/>
        </w:tblBorders>
        <w:tblLook w:val="04A0" w:firstRow="1" w:lastRow="0" w:firstColumn="1" w:lastColumn="0" w:noHBand="0" w:noVBand="1"/>
      </w:tblPr>
      <w:tblGrid>
        <w:gridCol w:w="4535"/>
        <w:gridCol w:w="4536"/>
      </w:tblGrid>
      <w:tr w:rsidR="0022450E" w:rsidRPr="0022450E" w14:paraId="6CE82F09" w14:textId="77777777" w:rsidTr="00A7310C">
        <w:trPr>
          <w:cnfStyle w:val="100000000000" w:firstRow="1" w:lastRow="0" w:firstColumn="0" w:lastColumn="0" w:oddVBand="0" w:evenVBand="0" w:oddHBand="0" w:evenHBand="0" w:firstRowFirstColumn="0" w:firstRowLastColumn="0" w:lastRowFirstColumn="0" w:lastRowLastColumn="0"/>
          <w:trHeight w:val="1728"/>
          <w:jc w:val="center"/>
        </w:trPr>
        <w:tc>
          <w:tcPr>
            <w:cnfStyle w:val="001000000000" w:firstRow="0" w:lastRow="0" w:firstColumn="1" w:lastColumn="0" w:oddVBand="0" w:evenVBand="0" w:oddHBand="0" w:evenHBand="0" w:firstRowFirstColumn="0" w:firstRowLastColumn="0" w:lastRowFirstColumn="0" w:lastRowLastColumn="0"/>
            <w:tcW w:w="4535" w:type="dxa"/>
            <w:tcBorders>
              <w:top w:val="none" w:sz="0" w:space="0" w:color="auto"/>
              <w:bottom w:val="none" w:sz="0" w:space="0" w:color="auto"/>
            </w:tcBorders>
            <w:vAlign w:val="center"/>
            <w:hideMark/>
          </w:tcPr>
          <w:p w14:paraId="5EFD0A2B" w14:textId="65DB0146" w:rsidR="0022450E" w:rsidRPr="0022450E" w:rsidRDefault="0022450E" w:rsidP="00BC2CB1">
            <w:pPr>
              <w:autoSpaceDE w:val="0"/>
              <w:autoSpaceDN w:val="0"/>
              <w:adjustRightInd w:val="0"/>
              <w:jc w:val="center"/>
              <w:rPr>
                <w:rFonts w:ascii="Times New Roman" w:eastAsiaTheme="minorHAnsi" w:hAnsi="Times New Roman" w:cs="Times New Roman"/>
                <w:b w:val="0"/>
                <w:bCs w:val="0"/>
                <w:sz w:val="20"/>
                <w:szCs w:val="20"/>
              </w:rPr>
            </w:pPr>
            <w:r w:rsidRPr="0022450E">
              <w:rPr>
                <w:noProof/>
                <w:sz w:val="20"/>
                <w:szCs w:val="20"/>
                <w:lang w:bidi="ar-SA"/>
              </w:rPr>
              <w:drawing>
                <wp:inline distT="0" distB="0" distL="0" distR="0" wp14:anchorId="22616342" wp14:editId="2F671008">
                  <wp:extent cx="2156604" cy="1958546"/>
                  <wp:effectExtent l="0" t="0" r="0" b="3810"/>
                  <wp:docPr id="10" name="Imagem 10" descr="Descrição: C:\Users\karli\Downloads\Imagens para semic\WhatsApp Image 2019-10-14 at 21.42.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ção: C:\Users\karli\Downloads\Imagens para semic\WhatsApp Image 2019-10-14 at 21.42.56 (4).jpeg"/>
                          <pic:cNvPicPr>
                            <a:picLocks noChangeAspect="1" noChangeArrowheads="1"/>
                          </pic:cNvPicPr>
                        </pic:nvPicPr>
                        <pic:blipFill>
                          <a:blip r:embed="rId8" cstate="print">
                            <a:extLst>
                              <a:ext uri="{28A0092B-C50C-407E-A947-70E740481C1C}">
                                <a14:useLocalDpi xmlns:a14="http://schemas.microsoft.com/office/drawing/2010/main" val="0"/>
                              </a:ext>
                            </a:extLst>
                          </a:blip>
                          <a:srcRect l="7170" t="21947" b="11635"/>
                          <a:stretch>
                            <a:fillRect/>
                          </a:stretch>
                        </pic:blipFill>
                        <pic:spPr bwMode="auto">
                          <a:xfrm>
                            <a:off x="0" y="0"/>
                            <a:ext cx="2215336" cy="2011885"/>
                          </a:xfrm>
                          <a:prstGeom prst="rect">
                            <a:avLst/>
                          </a:prstGeom>
                          <a:noFill/>
                          <a:ln>
                            <a:noFill/>
                          </a:ln>
                        </pic:spPr>
                      </pic:pic>
                    </a:graphicData>
                  </a:graphic>
                </wp:inline>
              </w:drawing>
            </w:r>
            <w:r w:rsidR="00BC2CB1">
              <w:rPr>
                <w:rFonts w:ascii="Times New Roman" w:hAnsi="Times New Roman" w:cs="Times New Roman"/>
                <w:b w:val="0"/>
                <w:bCs w:val="0"/>
                <w:sz w:val="20"/>
                <w:szCs w:val="20"/>
              </w:rPr>
              <w:t xml:space="preserve"> </w:t>
            </w:r>
            <w:r w:rsidRPr="0022450E">
              <w:rPr>
                <w:rFonts w:ascii="Times New Roman" w:hAnsi="Times New Roman" w:cs="Times New Roman"/>
                <w:b w:val="0"/>
                <w:bCs w:val="0"/>
                <w:sz w:val="20"/>
                <w:szCs w:val="20"/>
              </w:rPr>
              <w:t>(a)</w:t>
            </w:r>
          </w:p>
        </w:tc>
        <w:tc>
          <w:tcPr>
            <w:tcW w:w="4536" w:type="dxa"/>
            <w:tcBorders>
              <w:top w:val="none" w:sz="0" w:space="0" w:color="auto"/>
              <w:bottom w:val="none" w:sz="0" w:space="0" w:color="auto"/>
            </w:tcBorders>
            <w:vAlign w:val="center"/>
            <w:hideMark/>
          </w:tcPr>
          <w:p w14:paraId="2DFD63BE" w14:textId="53B90F61" w:rsidR="0022450E" w:rsidRPr="0022450E" w:rsidRDefault="0022450E" w:rsidP="00BC2CB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22450E">
              <w:rPr>
                <w:noProof/>
                <w:sz w:val="20"/>
                <w:szCs w:val="20"/>
                <w:lang w:bidi="ar-SA"/>
              </w:rPr>
              <w:drawing>
                <wp:inline distT="0" distB="0" distL="0" distR="0" wp14:anchorId="10DA2C54" wp14:editId="5F0E1189">
                  <wp:extent cx="1906438" cy="1917270"/>
                  <wp:effectExtent l="0" t="0" r="0" b="6985"/>
                  <wp:docPr id="9" name="Imagem 9" descr="Descrição: C:\Users\karli\Downloads\Imagens para semic\WhatsApp Image 2019-10-14 at 21.4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ção: C:\Users\karli\Downloads\Imagens para semic\WhatsApp Image 2019-10-14 at 21.42.5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061" cy="1975220"/>
                          </a:xfrm>
                          <a:prstGeom prst="rect">
                            <a:avLst/>
                          </a:prstGeom>
                          <a:noFill/>
                          <a:ln>
                            <a:noFill/>
                          </a:ln>
                        </pic:spPr>
                      </pic:pic>
                    </a:graphicData>
                  </a:graphic>
                </wp:inline>
              </w:drawing>
            </w:r>
            <w:r w:rsidR="00BC2CB1">
              <w:rPr>
                <w:rFonts w:ascii="Times New Roman" w:hAnsi="Times New Roman" w:cs="Times New Roman"/>
                <w:sz w:val="20"/>
                <w:szCs w:val="20"/>
              </w:rPr>
              <w:t xml:space="preserve"> </w:t>
            </w:r>
            <w:r w:rsidRPr="0022450E">
              <w:rPr>
                <w:rFonts w:ascii="Times New Roman" w:hAnsi="Times New Roman" w:cs="Times New Roman"/>
                <w:sz w:val="20"/>
                <w:szCs w:val="20"/>
              </w:rPr>
              <w:t>(b)</w:t>
            </w:r>
          </w:p>
        </w:tc>
      </w:tr>
    </w:tbl>
    <w:p w14:paraId="02118FC7" w14:textId="77777777" w:rsidR="00ED7B2D" w:rsidRDefault="00ED7B2D" w:rsidP="00ED7B2D">
      <w:pPr>
        <w:pStyle w:val="Legenda"/>
        <w:spacing w:before="0" w:after="0"/>
        <w:ind w:left="851"/>
        <w:jc w:val="both"/>
        <w:rPr>
          <w:rFonts w:ascii="Times New Roman" w:eastAsia="Times New Roman" w:hAnsi="Times New Roman" w:cs="Times New Roman"/>
          <w:bCs/>
          <w:i w:val="0"/>
          <w:iCs w:val="0"/>
          <w:color w:val="auto"/>
          <w:szCs w:val="20"/>
          <w:lang w:eastAsia="pt-BR" w:bidi="pt-BR"/>
        </w:rPr>
      </w:pPr>
      <w:bookmarkStart w:id="2" w:name="_Toc73707763"/>
    </w:p>
    <w:p w14:paraId="404518F3" w14:textId="22DC8CC8" w:rsidR="0022450E" w:rsidRPr="0022450E" w:rsidRDefault="0022450E" w:rsidP="00ED7B2D">
      <w:pPr>
        <w:pStyle w:val="Legenda"/>
        <w:spacing w:before="0" w:after="0"/>
        <w:ind w:left="851"/>
        <w:jc w:val="both"/>
        <w:rPr>
          <w:rFonts w:ascii="Times New Roman" w:eastAsia="Times New Roman" w:hAnsi="Times New Roman" w:cs="Times New Roman"/>
          <w:bCs/>
          <w:i w:val="0"/>
          <w:iCs w:val="0"/>
          <w:color w:val="auto"/>
          <w:szCs w:val="20"/>
          <w:lang w:eastAsia="pt-BR" w:bidi="pt-BR"/>
        </w:rPr>
      </w:pPr>
      <w:r w:rsidRPr="0022450E">
        <w:rPr>
          <w:rFonts w:ascii="Times New Roman" w:eastAsia="Times New Roman" w:hAnsi="Times New Roman" w:cs="Times New Roman"/>
          <w:bCs/>
          <w:i w:val="0"/>
          <w:iCs w:val="0"/>
          <w:color w:val="auto"/>
          <w:szCs w:val="20"/>
          <w:lang w:eastAsia="pt-BR" w:bidi="pt-BR"/>
        </w:rPr>
        <w:t xml:space="preserve">Figura </w:t>
      </w:r>
      <w:r w:rsidR="00516B5F">
        <w:rPr>
          <w:rFonts w:ascii="Times New Roman" w:eastAsia="Times New Roman" w:hAnsi="Times New Roman" w:cs="Times New Roman"/>
          <w:bCs/>
          <w:i w:val="0"/>
          <w:iCs w:val="0"/>
          <w:color w:val="auto"/>
          <w:szCs w:val="20"/>
          <w:lang w:eastAsia="pt-BR" w:bidi="pt-BR"/>
        </w:rPr>
        <w:t>1</w:t>
      </w:r>
      <w:r w:rsidRPr="0022450E">
        <w:rPr>
          <w:rFonts w:ascii="Times New Roman" w:eastAsia="Times New Roman" w:hAnsi="Times New Roman" w:cs="Times New Roman"/>
          <w:bCs/>
          <w:i w:val="0"/>
          <w:iCs w:val="0"/>
          <w:color w:val="auto"/>
          <w:szCs w:val="20"/>
          <w:lang w:eastAsia="pt-BR" w:bidi="pt-BR"/>
        </w:rPr>
        <w:t>. Emetramento (a) e pesagem (b) (kg) dos toretes produzidos durante a exploração.</w:t>
      </w:r>
      <w:bookmarkEnd w:id="2"/>
    </w:p>
    <w:p w14:paraId="35DAFC91" w14:textId="77777777" w:rsidR="0022450E" w:rsidRPr="0022450E" w:rsidRDefault="0022450E" w:rsidP="00ED7B2D">
      <w:pPr>
        <w:pStyle w:val="Legenda"/>
        <w:spacing w:before="0" w:after="0"/>
        <w:ind w:left="851"/>
        <w:jc w:val="both"/>
        <w:rPr>
          <w:rFonts w:ascii="Times New Roman" w:eastAsia="Times New Roman" w:hAnsi="Times New Roman" w:cs="Times New Roman"/>
          <w:bCs/>
          <w:i w:val="0"/>
          <w:iCs w:val="0"/>
          <w:color w:val="auto"/>
          <w:szCs w:val="20"/>
          <w:lang w:eastAsia="pt-BR" w:bidi="pt-BR"/>
        </w:rPr>
      </w:pPr>
      <w:r w:rsidRPr="0022450E">
        <w:rPr>
          <w:rFonts w:ascii="Times New Roman" w:eastAsia="Times New Roman" w:hAnsi="Times New Roman" w:cs="Times New Roman"/>
          <w:bCs/>
          <w:i w:val="0"/>
          <w:iCs w:val="0"/>
          <w:color w:val="auto"/>
          <w:szCs w:val="20"/>
          <w:lang w:eastAsia="pt-BR" w:bidi="pt-BR"/>
        </w:rPr>
        <w:t>Fonte: O autor.</w:t>
      </w:r>
    </w:p>
    <w:p w14:paraId="45B53EC6" w14:textId="77777777" w:rsidR="0022450E" w:rsidRDefault="0022450E" w:rsidP="0022450E">
      <w:pPr>
        <w:pStyle w:val="Legenda"/>
        <w:spacing w:before="0" w:after="0"/>
        <w:jc w:val="both"/>
        <w:rPr>
          <w:rFonts w:ascii="Times New Roman" w:eastAsia="Times New Roman" w:hAnsi="Times New Roman" w:cs="Times New Roman"/>
          <w:bCs/>
          <w:i w:val="0"/>
          <w:iCs w:val="0"/>
          <w:color w:val="auto"/>
          <w:szCs w:val="20"/>
          <w:lang w:eastAsia="pt-BR" w:bidi="pt-BR"/>
        </w:rPr>
      </w:pPr>
    </w:p>
    <w:p w14:paraId="5B56E4A8" w14:textId="5EB243DC" w:rsidR="0022450E" w:rsidRPr="00561498" w:rsidRDefault="0022450E" w:rsidP="00561498">
      <w:pPr>
        <w:ind w:firstLine="720"/>
        <w:jc w:val="both"/>
        <w:rPr>
          <w:sz w:val="20"/>
          <w:szCs w:val="20"/>
        </w:rPr>
      </w:pPr>
      <w:r w:rsidRPr="00561498">
        <w:rPr>
          <w:sz w:val="20"/>
          <w:szCs w:val="20"/>
        </w:rPr>
        <w:t>A atividade era realizada com início às 7:30 e término às 10:30 horas, em virtude do operador de motosserra desempenhar outras atividades como, alimentar e realizar a soltura dos animais (vacas, ovelhas e cabras) antes de iniciar a exploração florestal, englobando as operações de derrubada, processamento, emetramento, e as interrupções para abastecimento, afiação da corrente, e pausa por necessidade do operador.</w:t>
      </w:r>
    </w:p>
    <w:p w14:paraId="144EE32C" w14:textId="77777777" w:rsidR="0022450E" w:rsidRDefault="0022450E">
      <w:pPr>
        <w:widowControl/>
        <w:jc w:val="both"/>
        <w:rPr>
          <w:sz w:val="20"/>
          <w:szCs w:val="20"/>
        </w:rPr>
      </w:pPr>
    </w:p>
    <w:p w14:paraId="4F0A1570" w14:textId="5ED5AA10" w:rsidR="00D17649" w:rsidRDefault="00C934B5">
      <w:pPr>
        <w:widowControl/>
        <w:jc w:val="both"/>
        <w:rPr>
          <w:sz w:val="20"/>
          <w:szCs w:val="20"/>
        </w:rPr>
      </w:pPr>
      <w:r>
        <w:rPr>
          <w:b/>
          <w:sz w:val="20"/>
          <w:szCs w:val="20"/>
        </w:rPr>
        <w:t xml:space="preserve">RESULTADOS E DISCUSSÃO </w:t>
      </w:r>
    </w:p>
    <w:p w14:paraId="21131AD1" w14:textId="67898F63" w:rsidR="00D17649" w:rsidRDefault="0022450E" w:rsidP="0022450E">
      <w:pPr>
        <w:widowControl/>
        <w:ind w:firstLine="720"/>
        <w:jc w:val="both"/>
        <w:rPr>
          <w:sz w:val="20"/>
          <w:szCs w:val="20"/>
        </w:rPr>
      </w:pPr>
      <w:r w:rsidRPr="0022450E">
        <w:rPr>
          <w:sz w:val="20"/>
          <w:szCs w:val="20"/>
        </w:rPr>
        <w:t xml:space="preserve">As atividades operacionais foram divididas em derrubada dos indivíduos (7,17%), processamento (82,60%) e </w:t>
      </w:r>
      <w:r w:rsidR="00F91E8B">
        <w:rPr>
          <w:sz w:val="20"/>
          <w:szCs w:val="20"/>
        </w:rPr>
        <w:t>interrupções</w:t>
      </w:r>
      <w:r w:rsidRPr="0022450E">
        <w:rPr>
          <w:sz w:val="20"/>
          <w:szCs w:val="20"/>
        </w:rPr>
        <w:t xml:space="preserve"> (10,23%), caracterizadas por pausas </w:t>
      </w:r>
      <w:r w:rsidR="00F91E8B">
        <w:rPr>
          <w:sz w:val="20"/>
          <w:szCs w:val="20"/>
        </w:rPr>
        <w:t xml:space="preserve">do trabalho </w:t>
      </w:r>
      <w:r w:rsidRPr="0022450E">
        <w:rPr>
          <w:sz w:val="20"/>
          <w:szCs w:val="20"/>
        </w:rPr>
        <w:t>por necessidades fisiológicas do operador, para consumo de água e manutenção da motosserra</w:t>
      </w:r>
      <w:r w:rsidR="00A7310C">
        <w:rPr>
          <w:sz w:val="20"/>
          <w:szCs w:val="20"/>
        </w:rPr>
        <w:t>.</w:t>
      </w:r>
    </w:p>
    <w:p w14:paraId="4AF60D70" w14:textId="77BBBBB8" w:rsidR="00DD3BC4" w:rsidRDefault="00DD3BC4" w:rsidP="00DD3BC4">
      <w:pPr>
        <w:widowControl/>
        <w:ind w:firstLine="720"/>
        <w:jc w:val="both"/>
        <w:rPr>
          <w:bCs/>
          <w:sz w:val="20"/>
          <w:szCs w:val="20"/>
        </w:rPr>
      </w:pPr>
      <w:r w:rsidRPr="00DD3BC4">
        <w:rPr>
          <w:bCs/>
          <w:sz w:val="20"/>
          <w:szCs w:val="20"/>
        </w:rPr>
        <w:t xml:space="preserve">O processamento dos indivíduos foi a atividade que demandou maior tempo, seguida de </w:t>
      </w:r>
      <w:r w:rsidR="00361B59">
        <w:rPr>
          <w:bCs/>
          <w:sz w:val="20"/>
          <w:szCs w:val="20"/>
        </w:rPr>
        <w:t>interrupções</w:t>
      </w:r>
      <w:r w:rsidRPr="00DD3BC4">
        <w:rPr>
          <w:bCs/>
          <w:sz w:val="20"/>
          <w:szCs w:val="20"/>
        </w:rPr>
        <w:t xml:space="preserve"> e da derrubada, sendo esta última a que exigiu menor tempo durante a atividade de exploração florestal (Tabela 3), </w:t>
      </w:r>
      <w:r w:rsidRPr="00DD3BC4">
        <w:rPr>
          <w:bCs/>
          <w:sz w:val="20"/>
          <w:szCs w:val="20"/>
        </w:rPr>
        <w:lastRenderedPageBreak/>
        <w:t>semelhante aos resultados encontrados por Lopes, Canto (2018), em um estudo em áreas com plano de manejo florestal sustentável de exploração de lenha da Caatinga.</w:t>
      </w:r>
    </w:p>
    <w:p w14:paraId="28DB56C7" w14:textId="77777777" w:rsidR="00DD3BC4" w:rsidRDefault="00DD3BC4" w:rsidP="00DD3BC4">
      <w:pPr>
        <w:widowControl/>
        <w:jc w:val="both"/>
        <w:rPr>
          <w:bCs/>
          <w:sz w:val="20"/>
          <w:szCs w:val="20"/>
        </w:rPr>
      </w:pPr>
    </w:p>
    <w:p w14:paraId="37E5D1D0" w14:textId="5CF9FB8F" w:rsidR="00DD3BC4" w:rsidRDefault="00DD3BC4" w:rsidP="00DD3BC4">
      <w:pPr>
        <w:widowControl/>
        <w:jc w:val="both"/>
        <w:rPr>
          <w:bCs/>
          <w:sz w:val="20"/>
          <w:szCs w:val="20"/>
        </w:rPr>
      </w:pPr>
      <w:r w:rsidRPr="00DD3BC4">
        <w:rPr>
          <w:bCs/>
          <w:sz w:val="20"/>
          <w:szCs w:val="20"/>
        </w:rPr>
        <w:t>Tabela 1. Tempos totais, em minutos</w:t>
      </w:r>
      <w:r w:rsidR="00551BEF">
        <w:rPr>
          <w:bCs/>
          <w:sz w:val="20"/>
          <w:szCs w:val="20"/>
        </w:rPr>
        <w:t xml:space="preserve"> </w:t>
      </w:r>
      <w:r w:rsidR="00361B59">
        <w:rPr>
          <w:bCs/>
          <w:sz w:val="20"/>
          <w:szCs w:val="20"/>
        </w:rPr>
        <w:t>(</w:t>
      </w:r>
      <w:r w:rsidR="00361B59">
        <w:rPr>
          <w:bCs/>
          <w:sz w:val="20"/>
          <w:szCs w:val="20"/>
        </w:rPr>
        <w:t>porcentagem de tempo equivalente</w:t>
      </w:r>
      <w:r w:rsidR="00361B59">
        <w:rPr>
          <w:bCs/>
          <w:sz w:val="20"/>
          <w:szCs w:val="20"/>
        </w:rPr>
        <w:t>)</w:t>
      </w:r>
      <w:r w:rsidR="00361B59" w:rsidRPr="00DD3BC4">
        <w:rPr>
          <w:bCs/>
          <w:sz w:val="20"/>
          <w:szCs w:val="20"/>
        </w:rPr>
        <w:t xml:space="preserve">, </w:t>
      </w:r>
      <w:r w:rsidRPr="00DD3BC4">
        <w:rPr>
          <w:bCs/>
          <w:sz w:val="20"/>
          <w:szCs w:val="20"/>
        </w:rPr>
        <w:t>das atividades realizadas na colheita semimecanizada na Caatinga.</w:t>
      </w:r>
    </w:p>
    <w:tbl>
      <w:tblPr>
        <w:tblStyle w:val="Padro"/>
        <w:tblW w:w="5000" w:type="pct"/>
        <w:jc w:val="center"/>
        <w:tblLook w:val="04A0" w:firstRow="1" w:lastRow="0" w:firstColumn="1" w:lastColumn="0" w:noHBand="0" w:noVBand="1"/>
      </w:tblPr>
      <w:tblGrid>
        <w:gridCol w:w="1431"/>
        <w:gridCol w:w="1260"/>
        <w:gridCol w:w="2298"/>
        <w:gridCol w:w="2779"/>
        <w:gridCol w:w="1307"/>
      </w:tblGrid>
      <w:tr w:rsidR="00DD3BC4" w:rsidRPr="00DD3BC4" w14:paraId="6AA6B391" w14:textId="77777777" w:rsidTr="00BC2CB1">
        <w:trPr>
          <w:trHeight w:val="306"/>
          <w:jc w:val="center"/>
        </w:trPr>
        <w:tc>
          <w:tcPr>
            <w:tcW w:w="789" w:type="pct"/>
            <w:tcBorders>
              <w:top w:val="single" w:sz="4" w:space="0" w:color="auto"/>
              <w:left w:val="nil"/>
              <w:bottom w:val="single" w:sz="4" w:space="0" w:color="auto"/>
              <w:right w:val="nil"/>
            </w:tcBorders>
            <w:noWrap/>
            <w:vAlign w:val="center"/>
            <w:hideMark/>
          </w:tcPr>
          <w:p w14:paraId="3B8631BB" w14:textId="77777777" w:rsidR="00DD3BC4" w:rsidRPr="00DD3BC4" w:rsidRDefault="00DD3BC4" w:rsidP="00BC2CB1">
            <w:pPr>
              <w:rPr>
                <w:sz w:val="20"/>
                <w:szCs w:val="20"/>
              </w:rPr>
            </w:pPr>
          </w:p>
        </w:tc>
        <w:tc>
          <w:tcPr>
            <w:tcW w:w="694" w:type="pct"/>
            <w:tcBorders>
              <w:top w:val="single" w:sz="4" w:space="0" w:color="auto"/>
              <w:left w:val="nil"/>
              <w:bottom w:val="single" w:sz="4" w:space="0" w:color="auto"/>
              <w:right w:val="nil"/>
            </w:tcBorders>
            <w:noWrap/>
            <w:vAlign w:val="center"/>
            <w:hideMark/>
          </w:tcPr>
          <w:p w14:paraId="262E9DCA"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Derrubada</w:t>
            </w:r>
          </w:p>
        </w:tc>
        <w:tc>
          <w:tcPr>
            <w:tcW w:w="1266" w:type="pct"/>
            <w:tcBorders>
              <w:top w:val="single" w:sz="4" w:space="0" w:color="auto"/>
              <w:left w:val="nil"/>
              <w:bottom w:val="single" w:sz="4" w:space="0" w:color="auto"/>
              <w:right w:val="nil"/>
            </w:tcBorders>
            <w:noWrap/>
            <w:vAlign w:val="center"/>
            <w:hideMark/>
          </w:tcPr>
          <w:p w14:paraId="65681EEE"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Processamento</w:t>
            </w:r>
          </w:p>
        </w:tc>
        <w:tc>
          <w:tcPr>
            <w:tcW w:w="1531" w:type="pct"/>
            <w:tcBorders>
              <w:top w:val="single" w:sz="4" w:space="0" w:color="auto"/>
              <w:left w:val="nil"/>
              <w:bottom w:val="single" w:sz="4" w:space="0" w:color="auto"/>
              <w:right w:val="nil"/>
            </w:tcBorders>
            <w:noWrap/>
            <w:vAlign w:val="center"/>
            <w:hideMark/>
          </w:tcPr>
          <w:p w14:paraId="6677746A" w14:textId="65D07F83" w:rsidR="00DD3BC4" w:rsidRPr="00DD3BC4" w:rsidRDefault="00F91E8B" w:rsidP="00BC2CB1">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Interrupções</w:t>
            </w:r>
          </w:p>
        </w:tc>
        <w:tc>
          <w:tcPr>
            <w:tcW w:w="720" w:type="pct"/>
            <w:tcBorders>
              <w:top w:val="single" w:sz="4" w:space="0" w:color="auto"/>
              <w:left w:val="nil"/>
              <w:bottom w:val="single" w:sz="4" w:space="0" w:color="auto"/>
              <w:right w:val="nil"/>
            </w:tcBorders>
            <w:noWrap/>
            <w:vAlign w:val="center"/>
            <w:hideMark/>
          </w:tcPr>
          <w:p w14:paraId="0FB9EC30"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Total</w:t>
            </w:r>
          </w:p>
        </w:tc>
      </w:tr>
      <w:tr w:rsidR="00DD3BC4" w:rsidRPr="00DD3BC4" w14:paraId="2FDE2F73" w14:textId="77777777" w:rsidTr="00734E38">
        <w:trPr>
          <w:trHeight w:val="265"/>
          <w:jc w:val="center"/>
        </w:trPr>
        <w:tc>
          <w:tcPr>
            <w:tcW w:w="789" w:type="pct"/>
            <w:tcBorders>
              <w:top w:val="single" w:sz="4" w:space="0" w:color="auto"/>
              <w:left w:val="nil"/>
              <w:bottom w:val="nil"/>
              <w:right w:val="nil"/>
            </w:tcBorders>
            <w:noWrap/>
            <w:vAlign w:val="center"/>
            <w:hideMark/>
          </w:tcPr>
          <w:p w14:paraId="1843C27B"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Soma</w:t>
            </w:r>
          </w:p>
        </w:tc>
        <w:tc>
          <w:tcPr>
            <w:tcW w:w="694" w:type="pct"/>
            <w:tcBorders>
              <w:top w:val="single" w:sz="4" w:space="0" w:color="auto"/>
              <w:left w:val="nil"/>
              <w:bottom w:val="nil"/>
              <w:right w:val="nil"/>
            </w:tcBorders>
            <w:noWrap/>
            <w:vAlign w:val="center"/>
            <w:hideMark/>
          </w:tcPr>
          <w:p w14:paraId="1024CE41" w14:textId="77777777" w:rsidR="00551BEF"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7,19</w:t>
            </w:r>
            <w:r w:rsidR="00551BEF">
              <w:rPr>
                <w:rFonts w:ascii="Times New Roman" w:eastAsia="Times New Roman" w:hAnsi="Times New Roman" w:cs="Times New Roman"/>
                <w:sz w:val="20"/>
                <w:szCs w:val="20"/>
                <w:lang w:eastAsia="pt-BR"/>
              </w:rPr>
              <w:t xml:space="preserve"> </w:t>
            </w:r>
          </w:p>
          <w:p w14:paraId="7A88A55F" w14:textId="25DC5139" w:rsidR="00DD3BC4" w:rsidRPr="00DD3BC4" w:rsidRDefault="00551BEF" w:rsidP="00BC2CB1">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(7,22%)</w:t>
            </w:r>
          </w:p>
        </w:tc>
        <w:tc>
          <w:tcPr>
            <w:tcW w:w="1266" w:type="pct"/>
            <w:tcBorders>
              <w:top w:val="single" w:sz="4" w:space="0" w:color="auto"/>
              <w:left w:val="nil"/>
              <w:bottom w:val="nil"/>
              <w:right w:val="nil"/>
            </w:tcBorders>
            <w:noWrap/>
            <w:vAlign w:val="center"/>
            <w:hideMark/>
          </w:tcPr>
          <w:p w14:paraId="0C1B715A" w14:textId="77777777" w:rsidR="00551BEF"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82,82</w:t>
            </w:r>
            <w:r w:rsidR="00551BEF">
              <w:rPr>
                <w:rFonts w:ascii="Times New Roman" w:eastAsia="Times New Roman" w:hAnsi="Times New Roman" w:cs="Times New Roman"/>
                <w:sz w:val="20"/>
                <w:szCs w:val="20"/>
                <w:lang w:eastAsia="pt-BR"/>
              </w:rPr>
              <w:t xml:space="preserve"> </w:t>
            </w:r>
          </w:p>
          <w:p w14:paraId="673D32A8" w14:textId="5B8EB0A4" w:rsidR="00DD3BC4" w:rsidRPr="00DD3BC4" w:rsidRDefault="00551BEF" w:rsidP="00BC2CB1">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(83,16%)</w:t>
            </w:r>
          </w:p>
        </w:tc>
        <w:tc>
          <w:tcPr>
            <w:tcW w:w="1531" w:type="pct"/>
            <w:tcBorders>
              <w:top w:val="single" w:sz="4" w:space="0" w:color="auto"/>
              <w:left w:val="nil"/>
              <w:bottom w:val="nil"/>
              <w:right w:val="nil"/>
            </w:tcBorders>
            <w:noWrap/>
            <w:vAlign w:val="center"/>
            <w:hideMark/>
          </w:tcPr>
          <w:p w14:paraId="20CC89BB" w14:textId="77777777" w:rsidR="00551BEF"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9,58</w:t>
            </w:r>
            <w:r w:rsidR="00551BEF">
              <w:rPr>
                <w:rFonts w:ascii="Times New Roman" w:eastAsia="Times New Roman" w:hAnsi="Times New Roman" w:cs="Times New Roman"/>
                <w:sz w:val="20"/>
                <w:szCs w:val="20"/>
                <w:lang w:eastAsia="pt-BR"/>
              </w:rPr>
              <w:t xml:space="preserve"> </w:t>
            </w:r>
          </w:p>
          <w:p w14:paraId="31CD4EB1" w14:textId="468CC0C8" w:rsidR="00DD3BC4" w:rsidRPr="00DD3BC4" w:rsidRDefault="00551BEF" w:rsidP="00BC2CB1">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(9,62%)</w:t>
            </w:r>
          </w:p>
        </w:tc>
        <w:tc>
          <w:tcPr>
            <w:tcW w:w="720" w:type="pct"/>
            <w:tcBorders>
              <w:top w:val="single" w:sz="4" w:space="0" w:color="auto"/>
              <w:left w:val="nil"/>
              <w:bottom w:val="nil"/>
              <w:right w:val="nil"/>
            </w:tcBorders>
            <w:noWrap/>
            <w:vAlign w:val="center"/>
            <w:hideMark/>
          </w:tcPr>
          <w:p w14:paraId="002DF063" w14:textId="77777777" w:rsidR="00551BEF"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99,59</w:t>
            </w:r>
            <w:r w:rsidR="00551BEF">
              <w:rPr>
                <w:rFonts w:ascii="Times New Roman" w:eastAsia="Times New Roman" w:hAnsi="Times New Roman" w:cs="Times New Roman"/>
                <w:sz w:val="20"/>
                <w:szCs w:val="20"/>
                <w:lang w:eastAsia="pt-BR"/>
              </w:rPr>
              <w:t xml:space="preserve"> </w:t>
            </w:r>
          </w:p>
          <w:p w14:paraId="2C50B937" w14:textId="61CC92F0" w:rsidR="00DD3BC4" w:rsidRPr="00DD3BC4" w:rsidRDefault="00551BEF" w:rsidP="00BC2CB1">
            <w:pPr>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(100,00%)</w:t>
            </w:r>
          </w:p>
        </w:tc>
      </w:tr>
      <w:tr w:rsidR="00DD3BC4" w:rsidRPr="00DD3BC4" w14:paraId="43933C69" w14:textId="77777777" w:rsidTr="00734E38">
        <w:trPr>
          <w:trHeight w:val="272"/>
          <w:jc w:val="center"/>
        </w:trPr>
        <w:tc>
          <w:tcPr>
            <w:tcW w:w="789" w:type="pct"/>
            <w:noWrap/>
            <w:vAlign w:val="center"/>
            <w:hideMark/>
          </w:tcPr>
          <w:p w14:paraId="79CF18A7"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Média</w:t>
            </w:r>
          </w:p>
        </w:tc>
        <w:tc>
          <w:tcPr>
            <w:tcW w:w="694" w:type="pct"/>
            <w:noWrap/>
            <w:vAlign w:val="center"/>
            <w:hideMark/>
          </w:tcPr>
          <w:p w14:paraId="18F1C29F"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0,18</w:t>
            </w:r>
          </w:p>
        </w:tc>
        <w:tc>
          <w:tcPr>
            <w:tcW w:w="1266" w:type="pct"/>
            <w:noWrap/>
            <w:vAlign w:val="center"/>
            <w:hideMark/>
          </w:tcPr>
          <w:p w14:paraId="0DC3FC4C"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2,07</w:t>
            </w:r>
          </w:p>
        </w:tc>
        <w:tc>
          <w:tcPr>
            <w:tcW w:w="1531" w:type="pct"/>
            <w:noWrap/>
            <w:vAlign w:val="center"/>
            <w:hideMark/>
          </w:tcPr>
          <w:p w14:paraId="32B29B5E"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3,19</w:t>
            </w:r>
          </w:p>
        </w:tc>
        <w:tc>
          <w:tcPr>
            <w:tcW w:w="720" w:type="pct"/>
            <w:noWrap/>
            <w:vAlign w:val="center"/>
            <w:hideMark/>
          </w:tcPr>
          <w:p w14:paraId="08FF41FD"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5,44</w:t>
            </w:r>
          </w:p>
        </w:tc>
      </w:tr>
      <w:tr w:rsidR="00DD3BC4" w:rsidRPr="00DD3BC4" w14:paraId="57B46C84" w14:textId="77777777" w:rsidTr="00734E38">
        <w:trPr>
          <w:trHeight w:val="246"/>
          <w:jc w:val="center"/>
        </w:trPr>
        <w:tc>
          <w:tcPr>
            <w:tcW w:w="789" w:type="pct"/>
            <w:noWrap/>
            <w:vAlign w:val="center"/>
            <w:hideMark/>
          </w:tcPr>
          <w:p w14:paraId="02815626"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Desvio</w:t>
            </w:r>
          </w:p>
        </w:tc>
        <w:tc>
          <w:tcPr>
            <w:tcW w:w="694" w:type="pct"/>
            <w:noWrap/>
            <w:vAlign w:val="center"/>
            <w:hideMark/>
          </w:tcPr>
          <w:p w14:paraId="36D2A6A7"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0,10</w:t>
            </w:r>
          </w:p>
        </w:tc>
        <w:tc>
          <w:tcPr>
            <w:tcW w:w="1266" w:type="pct"/>
            <w:noWrap/>
            <w:vAlign w:val="center"/>
            <w:hideMark/>
          </w:tcPr>
          <w:p w14:paraId="4A502D03"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1,33</w:t>
            </w:r>
          </w:p>
        </w:tc>
        <w:tc>
          <w:tcPr>
            <w:tcW w:w="1531" w:type="pct"/>
            <w:noWrap/>
            <w:vAlign w:val="center"/>
            <w:hideMark/>
          </w:tcPr>
          <w:p w14:paraId="00DB9C7E"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1,90</w:t>
            </w:r>
          </w:p>
        </w:tc>
        <w:tc>
          <w:tcPr>
            <w:tcW w:w="720" w:type="pct"/>
            <w:noWrap/>
            <w:vAlign w:val="center"/>
            <w:hideMark/>
          </w:tcPr>
          <w:p w14:paraId="040F3D6F"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3,34</w:t>
            </w:r>
          </w:p>
        </w:tc>
      </w:tr>
      <w:tr w:rsidR="00DD3BC4" w:rsidRPr="00DD3BC4" w14:paraId="339DA5C5" w14:textId="77777777" w:rsidTr="00734E38">
        <w:trPr>
          <w:trHeight w:val="152"/>
          <w:jc w:val="center"/>
        </w:trPr>
        <w:tc>
          <w:tcPr>
            <w:tcW w:w="789" w:type="pct"/>
            <w:tcBorders>
              <w:top w:val="nil"/>
              <w:left w:val="nil"/>
              <w:bottom w:val="single" w:sz="4" w:space="0" w:color="auto"/>
              <w:right w:val="nil"/>
            </w:tcBorders>
            <w:noWrap/>
            <w:vAlign w:val="center"/>
            <w:hideMark/>
          </w:tcPr>
          <w:p w14:paraId="3FB3FB32"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CV (%)</w:t>
            </w:r>
          </w:p>
        </w:tc>
        <w:tc>
          <w:tcPr>
            <w:tcW w:w="694" w:type="pct"/>
            <w:tcBorders>
              <w:top w:val="nil"/>
              <w:left w:val="nil"/>
              <w:bottom w:val="single" w:sz="4" w:space="0" w:color="auto"/>
              <w:right w:val="nil"/>
            </w:tcBorders>
            <w:noWrap/>
            <w:vAlign w:val="center"/>
            <w:hideMark/>
          </w:tcPr>
          <w:p w14:paraId="76B895B0"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55,56</w:t>
            </w:r>
          </w:p>
        </w:tc>
        <w:tc>
          <w:tcPr>
            <w:tcW w:w="1266" w:type="pct"/>
            <w:tcBorders>
              <w:top w:val="nil"/>
              <w:left w:val="nil"/>
              <w:bottom w:val="single" w:sz="4" w:space="0" w:color="auto"/>
              <w:right w:val="nil"/>
            </w:tcBorders>
            <w:noWrap/>
            <w:vAlign w:val="center"/>
            <w:hideMark/>
          </w:tcPr>
          <w:p w14:paraId="225369B0"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64,25</w:t>
            </w:r>
          </w:p>
        </w:tc>
        <w:tc>
          <w:tcPr>
            <w:tcW w:w="1531" w:type="pct"/>
            <w:tcBorders>
              <w:top w:val="nil"/>
              <w:left w:val="nil"/>
              <w:bottom w:val="single" w:sz="4" w:space="0" w:color="auto"/>
              <w:right w:val="nil"/>
            </w:tcBorders>
            <w:noWrap/>
            <w:vAlign w:val="center"/>
            <w:hideMark/>
          </w:tcPr>
          <w:p w14:paraId="750A5C60"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59,56</w:t>
            </w:r>
          </w:p>
        </w:tc>
        <w:tc>
          <w:tcPr>
            <w:tcW w:w="720" w:type="pct"/>
            <w:tcBorders>
              <w:top w:val="nil"/>
              <w:left w:val="nil"/>
              <w:bottom w:val="single" w:sz="4" w:space="0" w:color="auto"/>
              <w:right w:val="nil"/>
            </w:tcBorders>
            <w:noWrap/>
            <w:vAlign w:val="center"/>
            <w:hideMark/>
          </w:tcPr>
          <w:p w14:paraId="2986CE1B" w14:textId="77777777" w:rsidR="00DD3BC4" w:rsidRPr="00DD3BC4" w:rsidRDefault="00DD3BC4" w:rsidP="00BC2CB1">
            <w:pPr>
              <w:jc w:val="center"/>
              <w:rPr>
                <w:rFonts w:ascii="Times New Roman" w:eastAsia="Times New Roman" w:hAnsi="Times New Roman" w:cs="Times New Roman"/>
                <w:sz w:val="20"/>
                <w:szCs w:val="20"/>
                <w:lang w:eastAsia="pt-BR"/>
              </w:rPr>
            </w:pPr>
            <w:r w:rsidRPr="00DD3BC4">
              <w:rPr>
                <w:rFonts w:ascii="Times New Roman" w:eastAsia="Times New Roman" w:hAnsi="Times New Roman" w:cs="Times New Roman"/>
                <w:sz w:val="20"/>
                <w:szCs w:val="20"/>
                <w:lang w:eastAsia="pt-BR"/>
              </w:rPr>
              <w:t>61,40</w:t>
            </w:r>
          </w:p>
        </w:tc>
      </w:tr>
      <w:tr w:rsidR="00DD3BC4" w:rsidRPr="00DD3BC4" w14:paraId="46BFA823" w14:textId="77777777" w:rsidTr="00734E38">
        <w:trPr>
          <w:trHeight w:val="294"/>
          <w:jc w:val="center"/>
        </w:trPr>
        <w:tc>
          <w:tcPr>
            <w:tcW w:w="5000" w:type="pct"/>
            <w:gridSpan w:val="5"/>
            <w:tcBorders>
              <w:top w:val="single" w:sz="4" w:space="0" w:color="auto"/>
              <w:left w:val="nil"/>
              <w:bottom w:val="nil"/>
              <w:right w:val="nil"/>
            </w:tcBorders>
            <w:noWrap/>
            <w:hideMark/>
          </w:tcPr>
          <w:p w14:paraId="41ED46BD" w14:textId="77777777" w:rsidR="00DD3BC4" w:rsidRPr="00A7310C" w:rsidRDefault="00DD3BC4" w:rsidP="00BC2CB1">
            <w:pPr>
              <w:jc w:val="both"/>
              <w:rPr>
                <w:rFonts w:ascii="Times New Roman" w:eastAsia="Times New Roman" w:hAnsi="Times New Roman" w:cs="Times New Roman"/>
                <w:sz w:val="16"/>
                <w:szCs w:val="16"/>
                <w:lang w:eastAsia="pt-BR"/>
              </w:rPr>
            </w:pPr>
            <w:r w:rsidRPr="00A7310C">
              <w:rPr>
                <w:rFonts w:ascii="Times New Roman" w:eastAsia="Times New Roman" w:hAnsi="Times New Roman" w:cs="Times New Roman"/>
                <w:b/>
                <w:sz w:val="16"/>
                <w:szCs w:val="16"/>
                <w:lang w:eastAsia="pt-BR"/>
              </w:rPr>
              <w:t>Fonte:</w:t>
            </w:r>
            <w:r w:rsidRPr="00A7310C">
              <w:rPr>
                <w:rFonts w:ascii="Times New Roman" w:eastAsia="Times New Roman" w:hAnsi="Times New Roman" w:cs="Times New Roman"/>
                <w:sz w:val="16"/>
                <w:szCs w:val="16"/>
                <w:lang w:eastAsia="pt-BR"/>
              </w:rPr>
              <w:t xml:space="preserve"> O autor.</w:t>
            </w:r>
          </w:p>
        </w:tc>
      </w:tr>
    </w:tbl>
    <w:p w14:paraId="007C4C42" w14:textId="77777777" w:rsidR="00DD3BC4" w:rsidRDefault="00DD3BC4" w:rsidP="00DD3BC4">
      <w:pPr>
        <w:widowControl/>
        <w:jc w:val="both"/>
        <w:rPr>
          <w:bCs/>
          <w:sz w:val="20"/>
          <w:szCs w:val="20"/>
        </w:rPr>
      </w:pPr>
    </w:p>
    <w:p w14:paraId="4470E872" w14:textId="1ADD667F" w:rsidR="00EA6400" w:rsidRPr="00EA6400" w:rsidRDefault="00EA6400" w:rsidP="00EA6400">
      <w:pPr>
        <w:widowControl/>
        <w:ind w:firstLine="720"/>
        <w:jc w:val="both"/>
        <w:rPr>
          <w:bCs/>
          <w:sz w:val="20"/>
          <w:szCs w:val="20"/>
        </w:rPr>
      </w:pPr>
      <w:r w:rsidRPr="00EA6400">
        <w:rPr>
          <w:bCs/>
          <w:sz w:val="20"/>
          <w:szCs w:val="20"/>
        </w:rPr>
        <w:t>Costa et al. (2017), avaliando o desempenho e custos operacionais de um harvester em floresta de baixa produtividade, obt</w:t>
      </w:r>
      <w:r w:rsidR="00F91E8B">
        <w:rPr>
          <w:bCs/>
          <w:sz w:val="20"/>
          <w:szCs w:val="20"/>
        </w:rPr>
        <w:t>iveram</w:t>
      </w:r>
      <w:r w:rsidRPr="00EA6400">
        <w:rPr>
          <w:bCs/>
          <w:sz w:val="20"/>
          <w:szCs w:val="20"/>
        </w:rPr>
        <w:t xml:space="preserve"> o processamento como sendo a atividade que consumiu o maior tempo durante a colheita florestal.</w:t>
      </w:r>
    </w:p>
    <w:p w14:paraId="1FA40E74" w14:textId="1DA28F34" w:rsidR="00DD3BC4" w:rsidRDefault="00EA6400" w:rsidP="0018757F">
      <w:pPr>
        <w:widowControl/>
        <w:ind w:firstLine="720"/>
        <w:jc w:val="both"/>
        <w:rPr>
          <w:bCs/>
          <w:sz w:val="20"/>
          <w:szCs w:val="20"/>
        </w:rPr>
      </w:pPr>
      <w:r w:rsidRPr="00EA6400">
        <w:rPr>
          <w:bCs/>
          <w:sz w:val="20"/>
          <w:szCs w:val="20"/>
        </w:rPr>
        <w:t xml:space="preserve">O tempo total de atividade foi de 99,59 min. para o corte dos indivíduos, contando com atividades de derrubada, processamento e </w:t>
      </w:r>
      <w:r w:rsidR="00361B59">
        <w:rPr>
          <w:bCs/>
          <w:sz w:val="20"/>
          <w:szCs w:val="20"/>
        </w:rPr>
        <w:t>interrupções</w:t>
      </w:r>
      <w:r w:rsidRPr="00EA6400">
        <w:rPr>
          <w:bCs/>
          <w:sz w:val="20"/>
          <w:szCs w:val="20"/>
        </w:rPr>
        <w:t>.</w:t>
      </w:r>
      <w:r w:rsidR="0018757F">
        <w:rPr>
          <w:bCs/>
          <w:sz w:val="20"/>
          <w:szCs w:val="20"/>
        </w:rPr>
        <w:t xml:space="preserve"> </w:t>
      </w:r>
      <w:r w:rsidRPr="00EA6400">
        <w:rPr>
          <w:bCs/>
          <w:sz w:val="20"/>
          <w:szCs w:val="20"/>
        </w:rPr>
        <w:t xml:space="preserve">O tempo médio para a derrubada foi de 0,18 min. para cada indivíduo, enquanto o processamento levou em média 2,07 min. As </w:t>
      </w:r>
      <w:r w:rsidR="00361B59">
        <w:rPr>
          <w:bCs/>
          <w:sz w:val="20"/>
          <w:szCs w:val="20"/>
        </w:rPr>
        <w:t>interupções</w:t>
      </w:r>
      <w:r w:rsidRPr="00EA6400">
        <w:rPr>
          <w:bCs/>
          <w:sz w:val="20"/>
          <w:szCs w:val="20"/>
        </w:rPr>
        <w:t>, caracterizadas por pausas realizadas conforme necessidade do operador e manutenção da motosserra, ocorreram com duração média de 3,19 min. Os Coeficientes de Variação (CV %) elevados resultam do tipo de atividade semimecanizada e diversificada, além das dificuldades de acesso e locomoção na área, descritas por Leite et al. (2014), como um dos fatores que influenciam no tempo total da atividade corte, assim como o espaçamento da vegetação, pois a dificuldade de acesso aos indivíduos, com menor espaçamento, irá acarretar em maior tempo para realização das atividades.</w:t>
      </w:r>
    </w:p>
    <w:p w14:paraId="09A0C36A" w14:textId="06C86290" w:rsidR="00EA6400" w:rsidRPr="00EA6400" w:rsidRDefault="00EA6400" w:rsidP="00EA6400">
      <w:pPr>
        <w:widowControl/>
        <w:ind w:firstLine="720"/>
        <w:jc w:val="both"/>
        <w:rPr>
          <w:bCs/>
          <w:sz w:val="20"/>
          <w:szCs w:val="20"/>
        </w:rPr>
      </w:pPr>
      <w:r w:rsidRPr="00EA6400">
        <w:rPr>
          <w:bCs/>
          <w:sz w:val="20"/>
          <w:szCs w:val="20"/>
        </w:rPr>
        <w:t>A produtividade do corte encontrada foi de 1,55 st/he. Assim, em uma jornada de trabalho de oito horas, em condições semelhantes a este estudo, um trabalhador apresenta a capacidade de produção, em média, de 12,4 estéreos de lenha, alcançando uma produtividade superior quando comparada aos resultados encontrados por Lopes, Canto (2018), ao avaliar</w:t>
      </w:r>
      <w:r w:rsidR="00F91E8B">
        <w:rPr>
          <w:bCs/>
          <w:sz w:val="20"/>
          <w:szCs w:val="20"/>
        </w:rPr>
        <w:t>em</w:t>
      </w:r>
      <w:r w:rsidRPr="00EA6400">
        <w:rPr>
          <w:bCs/>
          <w:sz w:val="20"/>
          <w:szCs w:val="20"/>
        </w:rPr>
        <w:t xml:space="preserve"> a produtividade e custos de dois sistemas de exploração e transporte de lenha na Caatinga.</w:t>
      </w:r>
    </w:p>
    <w:p w14:paraId="777581F6" w14:textId="4B8DDB1A" w:rsidR="00EA6400" w:rsidRPr="00EA6400" w:rsidRDefault="00EA6400" w:rsidP="00EA6400">
      <w:pPr>
        <w:widowControl/>
        <w:ind w:firstLine="720"/>
        <w:jc w:val="both"/>
        <w:rPr>
          <w:bCs/>
          <w:sz w:val="20"/>
          <w:szCs w:val="20"/>
        </w:rPr>
      </w:pPr>
      <w:r w:rsidRPr="00EA6400">
        <w:rPr>
          <w:bCs/>
          <w:sz w:val="20"/>
          <w:szCs w:val="20"/>
        </w:rPr>
        <w:t xml:space="preserve">Em termos de praticidade, o volume das toras para comercialização é mensurado por meio de pilhas, cujo volume de madeira empilhada pode ser obtido através da mensuração das dimensões da pilha, produzindo um volume em metro estéreo (mst). A mensuração do volume de madeira constitui uma atividade fundamental para o Plano de Manejo Florestal Sustentável, principalmente no que concerne à comercialização das toras (SILVA et al., 2019). </w:t>
      </w:r>
    </w:p>
    <w:p w14:paraId="2B84FC45" w14:textId="1D72563B" w:rsidR="00EA6400" w:rsidRPr="00EA6400" w:rsidRDefault="0056154B" w:rsidP="00EA6400">
      <w:pPr>
        <w:widowControl/>
        <w:ind w:firstLine="720"/>
        <w:jc w:val="both"/>
        <w:rPr>
          <w:bCs/>
          <w:sz w:val="20"/>
          <w:szCs w:val="20"/>
        </w:rPr>
      </w:pPr>
      <w:r w:rsidRPr="00EA6400">
        <w:rPr>
          <w:bCs/>
          <w:sz w:val="20"/>
          <w:szCs w:val="20"/>
        </w:rPr>
        <w:t>Lopes, Canto (2018)</w:t>
      </w:r>
      <w:r w:rsidR="00EA6400" w:rsidRPr="00EA6400">
        <w:rPr>
          <w:bCs/>
          <w:sz w:val="20"/>
          <w:szCs w:val="20"/>
        </w:rPr>
        <w:t xml:space="preserve">, avaliando os aspectos operacionais e de custos de dois sistemas de exploração de lenha na Caatinga, </w:t>
      </w:r>
      <w:r w:rsidR="00F91E8B" w:rsidRPr="00EA6400">
        <w:rPr>
          <w:bCs/>
          <w:sz w:val="20"/>
          <w:szCs w:val="20"/>
        </w:rPr>
        <w:t>encontr</w:t>
      </w:r>
      <w:r w:rsidR="00F91E8B">
        <w:rPr>
          <w:bCs/>
          <w:sz w:val="20"/>
          <w:szCs w:val="20"/>
        </w:rPr>
        <w:t>aram</w:t>
      </w:r>
      <w:r w:rsidR="00F91E8B" w:rsidRPr="00EA6400">
        <w:rPr>
          <w:bCs/>
          <w:sz w:val="20"/>
          <w:szCs w:val="20"/>
        </w:rPr>
        <w:t xml:space="preserve"> </w:t>
      </w:r>
      <w:r w:rsidR="00EA6400" w:rsidRPr="00EA6400">
        <w:rPr>
          <w:bCs/>
          <w:sz w:val="20"/>
          <w:szCs w:val="20"/>
        </w:rPr>
        <w:t>a produtividade média diária do corte manual de lenha foi de 4,8 estéreos por homem, o que corresponde a 0,78 estéreos por hora efetiva (st/he). Com a motosserra, a produtividade média de corte de lenha foi de 6,4 estéreos por homem por dia, o equivalente a 1,32 st/he.</w:t>
      </w:r>
    </w:p>
    <w:p w14:paraId="595CE422" w14:textId="39990CBF" w:rsidR="00DD3BC4" w:rsidRPr="00DD3BC4" w:rsidRDefault="00EA6400" w:rsidP="0018757F">
      <w:pPr>
        <w:widowControl/>
        <w:ind w:firstLine="720"/>
        <w:jc w:val="both"/>
        <w:rPr>
          <w:bCs/>
          <w:sz w:val="20"/>
          <w:szCs w:val="20"/>
        </w:rPr>
      </w:pPr>
      <w:r w:rsidRPr="00EA6400">
        <w:rPr>
          <w:bCs/>
          <w:sz w:val="20"/>
          <w:szCs w:val="20"/>
        </w:rPr>
        <w:t xml:space="preserve">Sant’anna, Malinovski, Piovesan (2000), estudando a produtividade individual no corte de eucalipto com motosserra na região montanhosa, </w:t>
      </w:r>
      <w:r w:rsidR="00F91E8B" w:rsidRPr="00EA6400">
        <w:rPr>
          <w:bCs/>
          <w:sz w:val="20"/>
          <w:szCs w:val="20"/>
        </w:rPr>
        <w:t>encontr</w:t>
      </w:r>
      <w:r w:rsidR="00F91E8B">
        <w:rPr>
          <w:bCs/>
          <w:sz w:val="20"/>
          <w:szCs w:val="20"/>
        </w:rPr>
        <w:t>aram</w:t>
      </w:r>
      <w:r w:rsidR="00F91E8B" w:rsidRPr="00EA6400">
        <w:rPr>
          <w:bCs/>
          <w:sz w:val="20"/>
          <w:szCs w:val="20"/>
        </w:rPr>
        <w:t xml:space="preserve"> </w:t>
      </w:r>
      <w:r w:rsidRPr="00EA6400">
        <w:rPr>
          <w:bCs/>
          <w:sz w:val="20"/>
          <w:szCs w:val="20"/>
        </w:rPr>
        <w:t>produtividade de 7,98 m</w:t>
      </w:r>
      <w:r w:rsidRPr="0018757F">
        <w:rPr>
          <w:bCs/>
          <w:sz w:val="20"/>
          <w:szCs w:val="20"/>
          <w:vertAlign w:val="superscript"/>
        </w:rPr>
        <w:t>3</w:t>
      </w:r>
      <w:r w:rsidRPr="00EA6400">
        <w:rPr>
          <w:bCs/>
          <w:sz w:val="20"/>
          <w:szCs w:val="20"/>
        </w:rPr>
        <w:t>/dia a 13 m</w:t>
      </w:r>
      <w:r w:rsidRPr="0018757F">
        <w:rPr>
          <w:bCs/>
          <w:sz w:val="20"/>
          <w:szCs w:val="20"/>
          <w:vertAlign w:val="superscript"/>
        </w:rPr>
        <w:t>3</w:t>
      </w:r>
      <w:r w:rsidRPr="00EA6400">
        <w:rPr>
          <w:bCs/>
          <w:sz w:val="20"/>
          <w:szCs w:val="20"/>
        </w:rPr>
        <w:t>/dia, com média de 10,28 m</w:t>
      </w:r>
      <w:r w:rsidRPr="0018757F">
        <w:rPr>
          <w:bCs/>
          <w:sz w:val="20"/>
          <w:szCs w:val="20"/>
          <w:vertAlign w:val="superscript"/>
        </w:rPr>
        <w:t>3</w:t>
      </w:r>
      <w:r w:rsidRPr="00EA6400">
        <w:rPr>
          <w:bCs/>
          <w:sz w:val="20"/>
          <w:szCs w:val="20"/>
        </w:rPr>
        <w:t>/dia, para uma jornada de trabalho diária de trabalho de 8 horas. Entretanto, de acordo com Santos et al. (2000), a produtividade de corte é diretamente proporcional ao volume por árvore e ao comprimento das toras processadas, justificando valores reduzidos de produtividade no corte da lenha na caatinga.</w:t>
      </w:r>
      <w:r w:rsidR="0018757F">
        <w:rPr>
          <w:bCs/>
          <w:sz w:val="20"/>
          <w:szCs w:val="20"/>
        </w:rPr>
        <w:t xml:space="preserve"> </w:t>
      </w:r>
      <w:r w:rsidRPr="00EA6400">
        <w:rPr>
          <w:bCs/>
          <w:sz w:val="20"/>
          <w:szCs w:val="20"/>
        </w:rPr>
        <w:t>Da mesma forma, Leite et al. (2014) estudando o corte de eucalipto plantado com diferentes espaçamentos, encontraram produtividade média de 5,20 m3/ha para uma equipe de um operador de motosserra mais um ajudante (módulo 1+1), mesmo módulo adotado pela equipe avaliada neste estudo.</w:t>
      </w:r>
    </w:p>
    <w:p w14:paraId="384C7E8A" w14:textId="77777777" w:rsidR="00DD3BC4" w:rsidRDefault="00DD3BC4" w:rsidP="0022450E">
      <w:pPr>
        <w:widowControl/>
        <w:jc w:val="both"/>
        <w:rPr>
          <w:b/>
          <w:sz w:val="20"/>
          <w:szCs w:val="20"/>
        </w:rPr>
      </w:pPr>
    </w:p>
    <w:p w14:paraId="7E62158C" w14:textId="76C584D4" w:rsidR="00D17649" w:rsidRDefault="00C934B5" w:rsidP="00ED7B2D">
      <w:pPr>
        <w:widowControl/>
        <w:jc w:val="both"/>
        <w:rPr>
          <w:sz w:val="20"/>
          <w:szCs w:val="20"/>
        </w:rPr>
      </w:pPr>
      <w:r>
        <w:rPr>
          <w:b/>
          <w:sz w:val="20"/>
          <w:szCs w:val="20"/>
        </w:rPr>
        <w:t xml:space="preserve">CONCLUSÕES </w:t>
      </w:r>
    </w:p>
    <w:p w14:paraId="388AE44F" w14:textId="6EE37227" w:rsidR="00D17649" w:rsidRDefault="00AB4B8C" w:rsidP="00AB4B8C">
      <w:pPr>
        <w:ind w:firstLine="720"/>
        <w:jc w:val="both"/>
        <w:rPr>
          <w:sz w:val="20"/>
          <w:szCs w:val="20"/>
        </w:rPr>
      </w:pPr>
      <w:r w:rsidRPr="00AB4B8C">
        <w:rPr>
          <w:sz w:val="20"/>
          <w:szCs w:val="20"/>
        </w:rPr>
        <w:t>O corte semimecanizado utilizando motosserra foi composto de pelas atividades de</w:t>
      </w:r>
      <w:r>
        <w:rPr>
          <w:sz w:val="20"/>
          <w:szCs w:val="20"/>
        </w:rPr>
        <w:t xml:space="preserve"> </w:t>
      </w:r>
      <w:r w:rsidRPr="00E50437">
        <w:rPr>
          <w:sz w:val="20"/>
          <w:szCs w:val="20"/>
        </w:rPr>
        <w:t xml:space="preserve">derrubada dos indivíduos, processamento e </w:t>
      </w:r>
      <w:r w:rsidR="00361B59">
        <w:rPr>
          <w:sz w:val="20"/>
          <w:szCs w:val="20"/>
        </w:rPr>
        <w:t>interrupções</w:t>
      </w:r>
      <w:r>
        <w:rPr>
          <w:sz w:val="20"/>
          <w:szCs w:val="20"/>
        </w:rPr>
        <w:t xml:space="preserve">. O processamento foi a atividade gargalo ocupando 82.6 % do período de trabalho, envolvendo o desgalhamento, destopamento, medição e traçamento. </w:t>
      </w:r>
      <w:r w:rsidRPr="00AB4B8C">
        <w:rPr>
          <w:sz w:val="20"/>
          <w:szCs w:val="20"/>
        </w:rPr>
        <w:t>Com isso, a exploração florestal teve uma produtividade baixa resultante a 1,55 st/he.</w:t>
      </w:r>
      <w:r>
        <w:rPr>
          <w:sz w:val="20"/>
          <w:szCs w:val="20"/>
        </w:rPr>
        <w:t xml:space="preserve"> </w:t>
      </w:r>
    </w:p>
    <w:p w14:paraId="12431DCE" w14:textId="77777777" w:rsidR="00D17649" w:rsidRDefault="00D17649">
      <w:pPr>
        <w:widowControl/>
        <w:ind w:firstLine="709"/>
        <w:jc w:val="both"/>
        <w:rPr>
          <w:sz w:val="20"/>
          <w:szCs w:val="20"/>
        </w:rPr>
      </w:pPr>
    </w:p>
    <w:p w14:paraId="33DB1ADD" w14:textId="44DB5199" w:rsidR="00D17649" w:rsidRDefault="00C934B5">
      <w:pPr>
        <w:widowControl/>
        <w:jc w:val="both"/>
        <w:rPr>
          <w:sz w:val="20"/>
          <w:szCs w:val="20"/>
        </w:rPr>
      </w:pPr>
      <w:r>
        <w:rPr>
          <w:b/>
          <w:sz w:val="20"/>
          <w:szCs w:val="20"/>
        </w:rPr>
        <w:lastRenderedPageBreak/>
        <w:t xml:space="preserve">REFERÊNCIAS </w:t>
      </w:r>
    </w:p>
    <w:p w14:paraId="47D4E093" w14:textId="7C8DA30B" w:rsidR="00624A4D" w:rsidRDefault="00624A4D" w:rsidP="00230E71">
      <w:pPr>
        <w:widowControl/>
        <w:spacing w:after="120"/>
        <w:jc w:val="both"/>
        <w:rPr>
          <w:sz w:val="20"/>
          <w:szCs w:val="20"/>
        </w:rPr>
      </w:pPr>
      <w:r>
        <w:rPr>
          <w:sz w:val="20"/>
          <w:szCs w:val="20"/>
        </w:rPr>
        <w:t xml:space="preserve">ANDRADE, F. N.; LOPES, J. B.; BARROS, R. F. M.; LOPES, C. G. R. </w:t>
      </w:r>
      <w:r w:rsidRPr="00624A4D">
        <w:rPr>
          <w:sz w:val="20"/>
          <w:szCs w:val="20"/>
        </w:rPr>
        <w:t>Caracterização dos planos de manejo florestal no estado do Piauí</w:t>
      </w:r>
      <w:r>
        <w:rPr>
          <w:sz w:val="20"/>
          <w:szCs w:val="20"/>
        </w:rPr>
        <w:t xml:space="preserve">. </w:t>
      </w:r>
      <w:r w:rsidRPr="00624A4D">
        <w:rPr>
          <w:b/>
          <w:bCs/>
          <w:sz w:val="20"/>
          <w:szCs w:val="20"/>
        </w:rPr>
        <w:t>Ciência Florestal</w:t>
      </w:r>
      <w:r w:rsidRPr="00624A4D">
        <w:rPr>
          <w:sz w:val="20"/>
          <w:szCs w:val="20"/>
        </w:rPr>
        <w:t>, Santa Maria, v. 29, n. 1, p. 243-254, 2019</w:t>
      </w:r>
      <w:r>
        <w:rPr>
          <w:sz w:val="20"/>
          <w:szCs w:val="20"/>
        </w:rPr>
        <w:t>.</w:t>
      </w:r>
    </w:p>
    <w:p w14:paraId="41CEE970" w14:textId="05C3E92C" w:rsidR="001A6AB0" w:rsidRPr="001A6AB0" w:rsidRDefault="001A6AB0" w:rsidP="00230E71">
      <w:pPr>
        <w:widowControl/>
        <w:spacing w:after="120"/>
        <w:jc w:val="both"/>
        <w:rPr>
          <w:sz w:val="20"/>
          <w:szCs w:val="20"/>
        </w:rPr>
      </w:pPr>
      <w:r w:rsidRPr="001A6AB0">
        <w:rPr>
          <w:sz w:val="20"/>
          <w:szCs w:val="20"/>
        </w:rPr>
        <w:t xml:space="preserve">BARNES, R. M. </w:t>
      </w:r>
      <w:r w:rsidRPr="001A6AB0">
        <w:rPr>
          <w:b/>
          <w:bCs/>
          <w:sz w:val="20"/>
          <w:szCs w:val="20"/>
        </w:rPr>
        <w:t>Estudos de tempos e movimentos: projeto e medida de trabalho</w:t>
      </w:r>
      <w:r w:rsidRPr="001A6AB0">
        <w:rPr>
          <w:sz w:val="20"/>
          <w:szCs w:val="20"/>
        </w:rPr>
        <w:t>. São Paulo: Edgard Blucher Ltda, 1977. 635p.</w:t>
      </w:r>
    </w:p>
    <w:p w14:paraId="3C904EA5" w14:textId="669EE901" w:rsidR="00C95CF8" w:rsidRDefault="00C95CF8" w:rsidP="00230E71">
      <w:pPr>
        <w:widowControl/>
        <w:spacing w:after="120"/>
        <w:jc w:val="both"/>
        <w:rPr>
          <w:sz w:val="20"/>
          <w:szCs w:val="20"/>
        </w:rPr>
      </w:pPr>
      <w:r>
        <w:rPr>
          <w:sz w:val="20"/>
          <w:szCs w:val="20"/>
        </w:rPr>
        <w:t xml:space="preserve">BRANDI, M. A. Potencial de uso da biomassa florestal da caatinga, sob manejo sustentável, para geração de energia. </w:t>
      </w:r>
      <w:r w:rsidRPr="00C95CF8">
        <w:rPr>
          <w:b/>
          <w:bCs/>
          <w:sz w:val="20"/>
          <w:szCs w:val="20"/>
        </w:rPr>
        <w:t>Ciência Florestal,</w:t>
      </w:r>
      <w:r w:rsidRPr="00C95CF8">
        <w:rPr>
          <w:sz w:val="20"/>
          <w:szCs w:val="20"/>
        </w:rPr>
        <w:t xml:space="preserve"> Santa Maria, v. 27, n. 1, p. 117-127, 2017</w:t>
      </w:r>
      <w:r>
        <w:rPr>
          <w:sz w:val="20"/>
          <w:szCs w:val="20"/>
        </w:rPr>
        <w:t>.</w:t>
      </w:r>
    </w:p>
    <w:p w14:paraId="20F785DF" w14:textId="24708F4D" w:rsidR="001A6AB0" w:rsidRPr="001A6AB0" w:rsidRDefault="001A6AB0" w:rsidP="00230E71">
      <w:pPr>
        <w:widowControl/>
        <w:spacing w:after="120"/>
        <w:jc w:val="both"/>
        <w:rPr>
          <w:sz w:val="20"/>
          <w:szCs w:val="20"/>
        </w:rPr>
      </w:pPr>
      <w:r w:rsidRPr="001A6AB0">
        <w:rPr>
          <w:sz w:val="20"/>
          <w:szCs w:val="20"/>
        </w:rPr>
        <w:t>COSTA, E. M.</w:t>
      </w:r>
      <w:r w:rsidR="000A0855">
        <w:rPr>
          <w:sz w:val="20"/>
          <w:szCs w:val="20"/>
        </w:rPr>
        <w:t>; MARZANO, F. L. C.; MACHADO, C. C.; LEITE, E. S.</w:t>
      </w:r>
      <w:r w:rsidRPr="001A6AB0">
        <w:rPr>
          <w:sz w:val="20"/>
          <w:szCs w:val="20"/>
        </w:rPr>
        <w:t xml:space="preserve"> Desempenho e custos operacionais de um harvester em floresta de baixa produtividade. </w:t>
      </w:r>
      <w:r w:rsidRPr="001A6AB0">
        <w:rPr>
          <w:b/>
          <w:bCs/>
          <w:sz w:val="20"/>
          <w:szCs w:val="20"/>
        </w:rPr>
        <w:t>Engenharia na Agricultura</w:t>
      </w:r>
      <w:r w:rsidRPr="001A6AB0">
        <w:rPr>
          <w:sz w:val="20"/>
          <w:szCs w:val="20"/>
        </w:rPr>
        <w:t>, v. 25, n. 2, p.124-131, 2017.</w:t>
      </w:r>
    </w:p>
    <w:p w14:paraId="188D6214" w14:textId="2A9A9978" w:rsidR="001A6AB0" w:rsidRPr="001A6AB0" w:rsidRDefault="001A6AB0" w:rsidP="00230E71">
      <w:pPr>
        <w:widowControl/>
        <w:spacing w:after="120"/>
        <w:jc w:val="both"/>
        <w:rPr>
          <w:sz w:val="20"/>
          <w:szCs w:val="20"/>
        </w:rPr>
      </w:pPr>
      <w:r w:rsidRPr="001A6AB0">
        <w:rPr>
          <w:sz w:val="20"/>
          <w:szCs w:val="20"/>
        </w:rPr>
        <w:t>LEITE, E. S.</w:t>
      </w:r>
      <w:r w:rsidR="00450B06">
        <w:rPr>
          <w:sz w:val="20"/>
          <w:szCs w:val="20"/>
        </w:rPr>
        <w:t>; FERNANDES, H. C.; GUEDES, I. L.; AMRAL, E. J.</w:t>
      </w:r>
      <w:r w:rsidRPr="001A6AB0">
        <w:rPr>
          <w:sz w:val="20"/>
          <w:szCs w:val="20"/>
        </w:rPr>
        <w:t xml:space="preserve"> Análise técnica e de custos do corte florestal semimecanizado em povoamentos de eucalipto em diferentes espaçamentos. </w:t>
      </w:r>
      <w:r w:rsidRPr="001A6AB0">
        <w:rPr>
          <w:b/>
          <w:bCs/>
          <w:sz w:val="20"/>
          <w:szCs w:val="20"/>
        </w:rPr>
        <w:t>Cerne</w:t>
      </w:r>
      <w:r w:rsidRPr="001A6AB0">
        <w:rPr>
          <w:sz w:val="20"/>
          <w:szCs w:val="20"/>
        </w:rPr>
        <w:t>, v. 20 n. 3, p. 637-643, 2014.</w:t>
      </w:r>
    </w:p>
    <w:p w14:paraId="0A31EBDF" w14:textId="77777777" w:rsidR="001A6AB0" w:rsidRPr="001A6AB0" w:rsidRDefault="001A6AB0" w:rsidP="00230E71">
      <w:pPr>
        <w:widowControl/>
        <w:spacing w:after="120"/>
        <w:jc w:val="both"/>
        <w:rPr>
          <w:sz w:val="20"/>
          <w:szCs w:val="20"/>
        </w:rPr>
      </w:pPr>
      <w:r w:rsidRPr="001A6AB0">
        <w:rPr>
          <w:sz w:val="20"/>
          <w:szCs w:val="20"/>
        </w:rPr>
        <w:t xml:space="preserve">LOPES, E. A.; CANTO, J. L. Produtividade e custos de dois sistemas de exploração e transporte de lenha na Caatinga. </w:t>
      </w:r>
      <w:r w:rsidRPr="001A6AB0">
        <w:rPr>
          <w:b/>
          <w:bCs/>
          <w:sz w:val="20"/>
          <w:szCs w:val="20"/>
        </w:rPr>
        <w:t>Nativa</w:t>
      </w:r>
      <w:r w:rsidRPr="001A6AB0">
        <w:rPr>
          <w:sz w:val="20"/>
          <w:szCs w:val="20"/>
        </w:rPr>
        <w:t>, v. 6, n. 2, p. 207-212, 2018.</w:t>
      </w:r>
    </w:p>
    <w:p w14:paraId="2AC43D7D" w14:textId="473909C1" w:rsidR="000A0855" w:rsidRDefault="000A0855" w:rsidP="00230E71">
      <w:pPr>
        <w:widowControl/>
        <w:spacing w:after="120"/>
        <w:jc w:val="both"/>
        <w:rPr>
          <w:sz w:val="20"/>
          <w:szCs w:val="20"/>
        </w:rPr>
      </w:pPr>
      <w:r w:rsidRPr="000A0855">
        <w:rPr>
          <w:sz w:val="20"/>
          <w:szCs w:val="20"/>
        </w:rPr>
        <w:t xml:space="preserve">MAIA, J. M.; SOUSA, V. F. O.; LIRA, E. H. A.; LUCENA, A. M. A. Motivações socioeconômicas para a conservação e exploração sustentável do bioma Caatinga. </w:t>
      </w:r>
      <w:r w:rsidRPr="000A0855">
        <w:rPr>
          <w:b/>
          <w:bCs/>
          <w:sz w:val="20"/>
          <w:szCs w:val="20"/>
        </w:rPr>
        <w:t>Desenvolvimento Meio Ambiente</w:t>
      </w:r>
      <w:r w:rsidRPr="000A0855">
        <w:rPr>
          <w:sz w:val="20"/>
          <w:szCs w:val="20"/>
        </w:rPr>
        <w:t>, Curitiba, v. 41, p. 295-310, 2017.</w:t>
      </w:r>
    </w:p>
    <w:p w14:paraId="3D672FE4" w14:textId="0EFA19E8" w:rsidR="001A6AB0" w:rsidRPr="001A6AB0" w:rsidRDefault="001A6AB0" w:rsidP="00230E71">
      <w:pPr>
        <w:widowControl/>
        <w:spacing w:after="120"/>
        <w:jc w:val="both"/>
        <w:rPr>
          <w:sz w:val="20"/>
          <w:szCs w:val="20"/>
        </w:rPr>
      </w:pPr>
      <w:r w:rsidRPr="001A6AB0">
        <w:rPr>
          <w:sz w:val="20"/>
          <w:szCs w:val="20"/>
        </w:rPr>
        <w:t>SANT'ANNA, C. M.; MALINOVSKI, J. R.; PIOVESAN, A. Estudo do perfil físico adequado de operadores de motosserra para o corte de eucalipto em região montanhosa.</w:t>
      </w:r>
      <w:r w:rsidR="008A01AB">
        <w:rPr>
          <w:sz w:val="20"/>
          <w:szCs w:val="20"/>
        </w:rPr>
        <w:t xml:space="preserve"> </w:t>
      </w:r>
      <w:r w:rsidRPr="001A6AB0">
        <w:rPr>
          <w:b/>
          <w:bCs/>
          <w:sz w:val="20"/>
          <w:szCs w:val="20"/>
        </w:rPr>
        <w:t>Cerne</w:t>
      </w:r>
      <w:r w:rsidRPr="001A6AB0">
        <w:rPr>
          <w:sz w:val="20"/>
          <w:szCs w:val="20"/>
        </w:rPr>
        <w:t>, v. 6, n. 2, p. 95-103, 2000.</w:t>
      </w:r>
    </w:p>
    <w:p w14:paraId="35969328" w14:textId="5FDCFAF1" w:rsidR="001A6AB0" w:rsidRPr="001A6AB0" w:rsidRDefault="001A6AB0" w:rsidP="00230E71">
      <w:pPr>
        <w:widowControl/>
        <w:spacing w:after="120"/>
        <w:jc w:val="both"/>
        <w:rPr>
          <w:sz w:val="20"/>
          <w:szCs w:val="20"/>
        </w:rPr>
      </w:pPr>
      <w:r w:rsidRPr="001A6AB0">
        <w:rPr>
          <w:sz w:val="20"/>
          <w:szCs w:val="20"/>
        </w:rPr>
        <w:t>SILVA, A. K. V. DA.</w:t>
      </w:r>
      <w:r w:rsidR="008A01AB">
        <w:rPr>
          <w:sz w:val="20"/>
          <w:szCs w:val="20"/>
        </w:rPr>
        <w:t>; OLIVEIRA, J. L. R.; SILVA, E. D. G.; BOTREL, R. T.; SILVA, L. L.; GUIMARAES, P. P</w:t>
      </w:r>
      <w:r w:rsidRPr="001A6AB0">
        <w:rPr>
          <w:sz w:val="20"/>
          <w:szCs w:val="20"/>
        </w:rPr>
        <w:t>. Análise técnica do corte semimecanizado do Angico (Anadenanthera colubrina (Vell.) Brenan).</w:t>
      </w:r>
      <w:r w:rsidR="00624A4D">
        <w:rPr>
          <w:sz w:val="20"/>
          <w:szCs w:val="20"/>
        </w:rPr>
        <w:t xml:space="preserve"> </w:t>
      </w:r>
      <w:r w:rsidRPr="001A6AB0">
        <w:rPr>
          <w:b/>
          <w:bCs/>
          <w:sz w:val="20"/>
          <w:szCs w:val="20"/>
        </w:rPr>
        <w:t>Agropecuária Científica No Semiárido</w:t>
      </w:r>
      <w:r w:rsidRPr="001A6AB0">
        <w:rPr>
          <w:sz w:val="20"/>
          <w:szCs w:val="20"/>
        </w:rPr>
        <w:t>, v. 15, n. 3, p. 201-204, 2019.</w:t>
      </w:r>
    </w:p>
    <w:p w14:paraId="0D7475C8" w14:textId="4D5E9151" w:rsidR="008A01AB" w:rsidRDefault="008A01AB" w:rsidP="00230E71">
      <w:pPr>
        <w:widowControl/>
        <w:spacing w:after="120"/>
        <w:jc w:val="both"/>
        <w:rPr>
          <w:sz w:val="20"/>
          <w:szCs w:val="20"/>
        </w:rPr>
      </w:pPr>
    </w:p>
    <w:sectPr w:rsidR="008A01AB">
      <w:headerReference w:type="default" r:id="rId10"/>
      <w:footerReference w:type="default" r:id="rId11"/>
      <w:pgSz w:w="11910" w:h="16840"/>
      <w:pgMar w:top="1701" w:right="1134" w:bottom="1134" w:left="1701" w:header="453" w:footer="1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8D15B" w14:textId="77777777" w:rsidR="001441E7" w:rsidRDefault="001441E7">
      <w:r>
        <w:separator/>
      </w:r>
    </w:p>
  </w:endnote>
  <w:endnote w:type="continuationSeparator" w:id="0">
    <w:p w14:paraId="31881A24" w14:textId="77777777" w:rsidR="001441E7" w:rsidRDefault="00144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9E3AF1E-A724-4981-A9BB-1B7146ACB30A}"/>
    <w:embedItalic r:id="rId2" w:fontKey="{3B260F3D-BDCE-4067-B082-29F024D86E72}"/>
  </w:font>
  <w:font w:name="Calibri">
    <w:panose1 w:val="020F0502020204030204"/>
    <w:charset w:val="00"/>
    <w:family w:val="swiss"/>
    <w:pitch w:val="variable"/>
    <w:sig w:usb0="E4002EFF" w:usb1="C200247B" w:usb2="00000009" w:usb3="00000000" w:csb0="000001FF" w:csb1="00000000"/>
    <w:embedRegular r:id="rId3" w:fontKey="{CE3455EB-D77E-4A85-8BA4-9AD9A997D895}"/>
    <w:embedBold r:id="rId4" w:fontKey="{AEF5C19F-F8FC-4FA8-819B-859C157F105B}"/>
    <w:embedItalic r:id="rId5" w:fontKey="{5CB4CA23-1D35-4CDD-AC31-C645343EFEEB}"/>
  </w:font>
  <w:font w:name="Cambria">
    <w:panose1 w:val="02040503050406030204"/>
    <w:charset w:val="00"/>
    <w:family w:val="roman"/>
    <w:pitch w:val="variable"/>
    <w:sig w:usb0="E00006FF" w:usb1="420024FF" w:usb2="02000000" w:usb3="00000000" w:csb0="0000019F" w:csb1="00000000"/>
    <w:embedRegular r:id="rId6" w:fontKey="{285ABA7F-0B05-407E-A2FE-3080B4AC853E}"/>
    <w:embedBold r:id="rId7" w:fontKey="{04D89D40-63D7-4E07-A858-98C7248D9819}"/>
  </w:font>
  <w:font w:name="Segoe UI">
    <w:panose1 w:val="020B0502040204020203"/>
    <w:charset w:val="00"/>
    <w:family w:val="swiss"/>
    <w:pitch w:val="variable"/>
    <w:sig w:usb0="E4002EFF" w:usb1="C000E47F" w:usb2="00000009" w:usb3="00000000" w:csb0="000001FF" w:csb1="00000000"/>
    <w:embedRegular r:id="rId8" w:fontKey="{1DCDD756-9F29-40E0-9BD6-F067E412FEBE}"/>
  </w:font>
  <w:font w:name="Oswald">
    <w:charset w:val="00"/>
    <w:family w:val="auto"/>
    <w:pitch w:val="variable"/>
    <w:sig w:usb0="2000020F" w:usb1="00000000" w:usb2="00000000" w:usb3="00000000" w:csb0="00000197" w:csb1="00000000"/>
    <w:embedRegular r:id="rId9" w:fontKey="{8B840E12-EE1E-490F-8D70-DF38C0EACB99}"/>
    <w:embedBold r:id="rId10" w:fontKey="{6CCD7B4C-17CA-40DC-803A-C07A462C57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F908" w14:textId="77777777" w:rsidR="00D17649" w:rsidRDefault="00D1764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08F67" w14:textId="77777777" w:rsidR="001441E7" w:rsidRDefault="001441E7">
      <w:r>
        <w:separator/>
      </w:r>
    </w:p>
  </w:footnote>
  <w:footnote w:type="continuationSeparator" w:id="0">
    <w:p w14:paraId="2A050A9D" w14:textId="77777777" w:rsidR="001441E7" w:rsidRDefault="00144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F84A" w14:textId="77777777" w:rsidR="00D17649" w:rsidRDefault="00C934B5">
    <w:pPr>
      <w:pBdr>
        <w:top w:val="nil"/>
        <w:left w:val="nil"/>
        <w:bottom w:val="nil"/>
        <w:right w:val="nil"/>
        <w:between w:val="nil"/>
      </w:pBdr>
      <w:spacing w:line="14" w:lineRule="auto"/>
      <w:jc w:val="center"/>
      <w:rPr>
        <w:sz w:val="20"/>
        <w:szCs w:val="20"/>
      </w:rPr>
    </w:pPr>
    <w:r>
      <w:rPr>
        <w:noProof/>
        <w:sz w:val="20"/>
        <w:szCs w:val="20"/>
        <w:lang w:bidi="ar-SA"/>
      </w:rPr>
      <w:drawing>
        <wp:inline distT="114300" distB="114300" distL="114300" distR="114300" wp14:anchorId="0AA6AB3C" wp14:editId="3703DC0A">
          <wp:extent cx="4479135" cy="169725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3383" r="23867"/>
                  <a:stretch>
                    <a:fillRect/>
                  </a:stretch>
                </pic:blipFill>
                <pic:spPr>
                  <a:xfrm>
                    <a:off x="0" y="0"/>
                    <a:ext cx="4479135" cy="1697251"/>
                  </a:xfrm>
                  <a:prstGeom prst="rect">
                    <a:avLst/>
                  </a:prstGeom>
                  <a:ln/>
                </pic:spPr>
              </pic:pic>
            </a:graphicData>
          </a:graphic>
        </wp:inline>
      </w:drawing>
    </w:r>
  </w:p>
  <w:p w14:paraId="1BF81D2E" w14:textId="77777777" w:rsidR="00D17649" w:rsidRDefault="00D17649">
    <w:pPr>
      <w:pBdr>
        <w:top w:val="nil"/>
        <w:left w:val="nil"/>
        <w:bottom w:val="nil"/>
        <w:right w:val="nil"/>
        <w:between w:val="nil"/>
      </w:pBdr>
      <w:spacing w:line="14" w:lineRule="auto"/>
      <w:rPr>
        <w:sz w:val="20"/>
        <w:szCs w:val="20"/>
      </w:rPr>
    </w:pPr>
  </w:p>
  <w:p w14:paraId="18843B0A" w14:textId="77777777" w:rsidR="00D17649" w:rsidRDefault="00D17649">
    <w:pPr>
      <w:pBdr>
        <w:top w:val="nil"/>
        <w:left w:val="nil"/>
        <w:bottom w:val="nil"/>
        <w:right w:val="nil"/>
        <w:between w:val="nil"/>
      </w:pBdr>
      <w:spacing w:line="14" w:lineRule="auto"/>
      <w:rPr>
        <w:sz w:val="20"/>
        <w:szCs w:val="20"/>
      </w:rPr>
    </w:pPr>
  </w:p>
  <w:p w14:paraId="23D9B37E" w14:textId="77777777" w:rsidR="00D17649" w:rsidRDefault="00D17649">
    <w:pPr>
      <w:pBdr>
        <w:top w:val="nil"/>
        <w:left w:val="nil"/>
        <w:bottom w:val="nil"/>
        <w:right w:val="nil"/>
        <w:between w:val="nil"/>
      </w:pBdr>
      <w:spacing w:line="14" w:lineRule="auto"/>
      <w:rPr>
        <w:sz w:val="20"/>
        <w:szCs w:val="20"/>
      </w:rPr>
    </w:pPr>
  </w:p>
  <w:p w14:paraId="71C7BFD6" w14:textId="77777777" w:rsidR="00D17649" w:rsidRDefault="00D17649">
    <w:pPr>
      <w:pBdr>
        <w:top w:val="nil"/>
        <w:left w:val="nil"/>
        <w:bottom w:val="nil"/>
        <w:right w:val="nil"/>
        <w:between w:val="nil"/>
      </w:pBdr>
      <w:spacing w:line="14" w:lineRule="auto"/>
      <w:rPr>
        <w:sz w:val="20"/>
        <w:szCs w:val="20"/>
      </w:rPr>
    </w:pPr>
  </w:p>
  <w:p w14:paraId="1717777F" w14:textId="77777777" w:rsidR="00D17649" w:rsidRDefault="00D17649">
    <w:pPr>
      <w:pBdr>
        <w:top w:val="nil"/>
        <w:left w:val="nil"/>
        <w:bottom w:val="nil"/>
        <w:right w:val="nil"/>
        <w:between w:val="nil"/>
      </w:pBdr>
      <w:spacing w:line="14" w:lineRule="auto"/>
      <w:jc w:val="center"/>
      <w:rPr>
        <w:rFonts w:ascii="Oswald" w:eastAsia="Oswald" w:hAnsi="Oswald" w:cs="Oswald"/>
        <w:b/>
        <w:color w:val="3D6D38"/>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D1D24"/>
    <w:multiLevelType w:val="multilevel"/>
    <w:tmpl w:val="3AFAD85E"/>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2002267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649"/>
    <w:rsid w:val="000A0855"/>
    <w:rsid w:val="000B021C"/>
    <w:rsid w:val="001441E7"/>
    <w:rsid w:val="0018757F"/>
    <w:rsid w:val="001A6AB0"/>
    <w:rsid w:val="0022450E"/>
    <w:rsid w:val="00230E71"/>
    <w:rsid w:val="00231EB8"/>
    <w:rsid w:val="0023355D"/>
    <w:rsid w:val="002C55C8"/>
    <w:rsid w:val="0033759C"/>
    <w:rsid w:val="00343944"/>
    <w:rsid w:val="00361B59"/>
    <w:rsid w:val="00443EF5"/>
    <w:rsid w:val="00450B06"/>
    <w:rsid w:val="00457661"/>
    <w:rsid w:val="00487393"/>
    <w:rsid w:val="004F7649"/>
    <w:rsid w:val="00504D81"/>
    <w:rsid w:val="00516B5F"/>
    <w:rsid w:val="00551BEF"/>
    <w:rsid w:val="00552534"/>
    <w:rsid w:val="00561498"/>
    <w:rsid w:val="0056154B"/>
    <w:rsid w:val="00600ADB"/>
    <w:rsid w:val="00624A4D"/>
    <w:rsid w:val="00625F48"/>
    <w:rsid w:val="00683E45"/>
    <w:rsid w:val="00704930"/>
    <w:rsid w:val="007879BE"/>
    <w:rsid w:val="00805A88"/>
    <w:rsid w:val="008A01AB"/>
    <w:rsid w:val="008B5AC9"/>
    <w:rsid w:val="008C3436"/>
    <w:rsid w:val="008C5CCB"/>
    <w:rsid w:val="00A7310C"/>
    <w:rsid w:val="00AB4B8C"/>
    <w:rsid w:val="00BA0355"/>
    <w:rsid w:val="00BC1CF4"/>
    <w:rsid w:val="00BC2CB1"/>
    <w:rsid w:val="00C934B5"/>
    <w:rsid w:val="00C95CF8"/>
    <w:rsid w:val="00D17649"/>
    <w:rsid w:val="00DD3BC4"/>
    <w:rsid w:val="00DD3EBD"/>
    <w:rsid w:val="00E30724"/>
    <w:rsid w:val="00E50437"/>
    <w:rsid w:val="00EA6400"/>
    <w:rsid w:val="00ED7B2D"/>
    <w:rsid w:val="00F46D26"/>
    <w:rsid w:val="00F91E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FB2AB"/>
  <w15:docId w15:val="{9FFFA62B-8184-47B6-A91B-ADE9828C2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Legenda">
    <w:name w:val="caption"/>
    <w:basedOn w:val="Normal"/>
    <w:next w:val="Normal"/>
    <w:uiPriority w:val="35"/>
    <w:semiHidden/>
    <w:unhideWhenUsed/>
    <w:qFormat/>
    <w:rsid w:val="00683E45"/>
    <w:pPr>
      <w:widowControl/>
      <w:spacing w:before="160" w:after="200"/>
    </w:pPr>
    <w:rPr>
      <w:rFonts w:asciiTheme="minorHAnsi" w:eastAsiaTheme="minorHAnsi" w:hAnsiTheme="minorHAnsi" w:cstheme="minorBidi"/>
      <w:i/>
      <w:iCs/>
      <w:color w:val="7F7F7F" w:themeColor="text1" w:themeTint="80"/>
      <w:sz w:val="20"/>
      <w:szCs w:val="18"/>
      <w:lang w:eastAsia="ja-JP" w:bidi="pt-PT"/>
    </w:rPr>
  </w:style>
  <w:style w:type="table" w:styleId="Tabelacomgrade">
    <w:name w:val="Table Grid"/>
    <w:basedOn w:val="Tabelanormal"/>
    <w:uiPriority w:val="59"/>
    <w:rsid w:val="00683E45"/>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dia1">
    <w:name w:val="Medium List 1"/>
    <w:basedOn w:val="Tabelanormal"/>
    <w:uiPriority w:val="65"/>
    <w:rsid w:val="0022450E"/>
    <w:pPr>
      <w:widowControl/>
    </w:pPr>
    <w:rPr>
      <w:rFonts w:asciiTheme="minorHAnsi" w:eastAsiaTheme="minorHAnsi" w:hAnsi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Padro">
    <w:name w:val="Padrão"/>
    <w:basedOn w:val="Tabelanormal"/>
    <w:uiPriority w:val="99"/>
    <w:rsid w:val="00DD3BC4"/>
    <w:pPr>
      <w:widowControl/>
    </w:pPr>
    <w:rPr>
      <w:rFonts w:asciiTheme="minorHAnsi" w:eastAsiaTheme="minorHAnsi" w:hAnsiTheme="minorHAnsi" w:cstheme="minorBidi"/>
      <w:lang w:eastAsia="en-US"/>
    </w:rPr>
    <w:tblPr/>
  </w:style>
  <w:style w:type="paragraph" w:styleId="Textodebalo">
    <w:name w:val="Balloon Text"/>
    <w:basedOn w:val="Normal"/>
    <w:link w:val="TextodebaloChar"/>
    <w:uiPriority w:val="99"/>
    <w:semiHidden/>
    <w:unhideWhenUsed/>
    <w:rsid w:val="00F91E8B"/>
    <w:rPr>
      <w:rFonts w:ascii="Segoe UI" w:hAnsi="Segoe UI" w:cs="Segoe UI"/>
      <w:sz w:val="18"/>
      <w:szCs w:val="18"/>
    </w:rPr>
  </w:style>
  <w:style w:type="character" w:customStyle="1" w:styleId="TextodebaloChar">
    <w:name w:val="Texto de balão Char"/>
    <w:basedOn w:val="Fontepargpadro"/>
    <w:link w:val="Textodebalo"/>
    <w:uiPriority w:val="99"/>
    <w:semiHidden/>
    <w:rsid w:val="00F91E8B"/>
    <w:rPr>
      <w:rFonts w:ascii="Segoe UI" w:hAnsi="Segoe UI" w:cs="Segoe UI"/>
      <w:sz w:val="18"/>
      <w:szCs w:val="18"/>
      <w:lang w:bidi="pt-BR"/>
    </w:rPr>
  </w:style>
  <w:style w:type="character" w:styleId="Refdecomentrio">
    <w:name w:val="annotation reference"/>
    <w:basedOn w:val="Fontepargpadro"/>
    <w:uiPriority w:val="99"/>
    <w:semiHidden/>
    <w:unhideWhenUsed/>
    <w:rsid w:val="00F91E8B"/>
    <w:rPr>
      <w:sz w:val="16"/>
      <w:szCs w:val="16"/>
    </w:rPr>
  </w:style>
  <w:style w:type="paragraph" w:styleId="Textodecomentrio">
    <w:name w:val="annotation text"/>
    <w:basedOn w:val="Normal"/>
    <w:link w:val="TextodecomentrioChar"/>
    <w:uiPriority w:val="99"/>
    <w:semiHidden/>
    <w:unhideWhenUsed/>
    <w:rsid w:val="00F91E8B"/>
    <w:rPr>
      <w:sz w:val="20"/>
      <w:szCs w:val="20"/>
    </w:rPr>
  </w:style>
  <w:style w:type="character" w:customStyle="1" w:styleId="TextodecomentrioChar">
    <w:name w:val="Texto de comentário Char"/>
    <w:basedOn w:val="Fontepargpadro"/>
    <w:link w:val="Textodecomentrio"/>
    <w:uiPriority w:val="99"/>
    <w:semiHidden/>
    <w:rsid w:val="00F91E8B"/>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F91E8B"/>
    <w:rPr>
      <w:b/>
      <w:bCs/>
    </w:rPr>
  </w:style>
  <w:style w:type="character" w:customStyle="1" w:styleId="AssuntodocomentrioChar">
    <w:name w:val="Assunto do comentário Char"/>
    <w:basedOn w:val="TextodecomentrioChar"/>
    <w:link w:val="Assuntodocomentrio"/>
    <w:uiPriority w:val="99"/>
    <w:semiHidden/>
    <w:rsid w:val="00F91E8B"/>
    <w:rPr>
      <w:b/>
      <w:bCs/>
      <w:sz w:val="20"/>
      <w:szCs w:val="20"/>
      <w:lang w:bidi="pt-BR"/>
    </w:rPr>
  </w:style>
  <w:style w:type="paragraph" w:styleId="Reviso">
    <w:name w:val="Revision"/>
    <w:hidden/>
    <w:uiPriority w:val="99"/>
    <w:semiHidden/>
    <w:rsid w:val="00443EF5"/>
    <w:pPr>
      <w:widowControl/>
    </w:pPr>
    <w:rPr>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887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1945</Words>
  <Characters>10503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usuario</cp:lastModifiedBy>
  <cp:revision>4</cp:revision>
  <dcterms:created xsi:type="dcterms:W3CDTF">2025-06-27T19:25:00Z</dcterms:created>
  <dcterms:modified xsi:type="dcterms:W3CDTF">2025-06-27T19:36:00Z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