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916F2" w14:textId="77777777" w:rsidR="00D87A14" w:rsidRDefault="0096682C">
      <w:pPr>
        <w:widowControl/>
        <w:jc w:val="center"/>
        <w:rPr>
          <w:b/>
          <w:sz w:val="24"/>
          <w:szCs w:val="24"/>
        </w:rPr>
      </w:pPr>
      <w:r>
        <w:rPr>
          <w:b/>
          <w:sz w:val="24"/>
          <w:szCs w:val="24"/>
        </w:rPr>
        <w:t xml:space="preserve">DINÂMICA POPULACIONAL DE </w:t>
      </w:r>
      <w:r>
        <w:rPr>
          <w:b/>
          <w:i/>
          <w:sz w:val="24"/>
          <w:szCs w:val="24"/>
        </w:rPr>
        <w:t xml:space="preserve">PARKIA PENDULA </w:t>
      </w:r>
      <w:r>
        <w:rPr>
          <w:b/>
          <w:sz w:val="24"/>
          <w:szCs w:val="24"/>
        </w:rPr>
        <w:t>EM ÁREA RECUPERADA NO BIOMA MATA ATLÂNTICA</w:t>
      </w:r>
    </w:p>
    <w:p w14:paraId="1290A6D9" w14:textId="77777777" w:rsidR="00D87A14" w:rsidRDefault="00D87A14">
      <w:pPr>
        <w:widowControl/>
        <w:jc w:val="center"/>
        <w:rPr>
          <w:b/>
          <w:sz w:val="24"/>
          <w:szCs w:val="24"/>
        </w:rPr>
      </w:pPr>
    </w:p>
    <w:p w14:paraId="5D41FAEF" w14:textId="77777777" w:rsidR="00D87A14" w:rsidRDefault="0096682C">
      <w:pPr>
        <w:spacing w:line="276" w:lineRule="auto"/>
        <w:ind w:left="221" w:right="214"/>
        <w:jc w:val="center"/>
        <w:rPr>
          <w:b/>
          <w:sz w:val="20"/>
          <w:szCs w:val="20"/>
        </w:rPr>
      </w:pPr>
      <w:r>
        <w:rPr>
          <w:b/>
          <w:sz w:val="20"/>
          <w:szCs w:val="20"/>
        </w:rPr>
        <w:t>Josias Divino Silva de Lucena</w:t>
      </w:r>
      <w:r>
        <w:rPr>
          <w:b/>
          <w:sz w:val="20"/>
          <w:szCs w:val="20"/>
          <w:vertAlign w:val="superscript"/>
        </w:rPr>
        <w:t>1*</w:t>
      </w:r>
      <w:r>
        <w:rPr>
          <w:b/>
          <w:sz w:val="20"/>
          <w:szCs w:val="20"/>
        </w:rPr>
        <w:t>, Everlane Conceição do Nascimento</w:t>
      </w:r>
      <w:r>
        <w:rPr>
          <w:b/>
          <w:sz w:val="20"/>
          <w:szCs w:val="20"/>
          <w:vertAlign w:val="superscript"/>
        </w:rPr>
        <w:t>1</w:t>
      </w:r>
      <w:r>
        <w:rPr>
          <w:b/>
          <w:sz w:val="20"/>
          <w:szCs w:val="20"/>
        </w:rPr>
        <w:t>, Jailson Medeiros Silva</w:t>
      </w:r>
      <w:r>
        <w:rPr>
          <w:b/>
          <w:sz w:val="20"/>
          <w:szCs w:val="20"/>
          <w:vertAlign w:val="superscript"/>
        </w:rPr>
        <w:t>2</w:t>
      </w:r>
      <w:r>
        <w:rPr>
          <w:b/>
          <w:sz w:val="20"/>
          <w:szCs w:val="20"/>
        </w:rPr>
        <w:t>, Maria Eduarda Camargo Lins Pereira</w:t>
      </w:r>
      <w:r>
        <w:rPr>
          <w:b/>
          <w:sz w:val="20"/>
          <w:szCs w:val="20"/>
          <w:vertAlign w:val="superscript"/>
        </w:rPr>
        <w:t>3</w:t>
      </w:r>
      <w:r>
        <w:rPr>
          <w:b/>
          <w:sz w:val="20"/>
          <w:szCs w:val="20"/>
        </w:rPr>
        <w:t>, Marília Freitas de Vasconcelos Melo</w:t>
      </w:r>
      <w:r>
        <w:rPr>
          <w:b/>
          <w:sz w:val="20"/>
          <w:szCs w:val="20"/>
          <w:vertAlign w:val="superscript"/>
        </w:rPr>
        <w:t>1</w:t>
      </w:r>
    </w:p>
    <w:p w14:paraId="4744856E" w14:textId="77777777" w:rsidR="00D87A14" w:rsidRDefault="0096682C">
      <w:pPr>
        <w:spacing w:line="276" w:lineRule="auto"/>
        <w:ind w:left="221" w:right="214"/>
        <w:jc w:val="center"/>
        <w:rPr>
          <w:sz w:val="20"/>
          <w:szCs w:val="20"/>
        </w:rPr>
      </w:pPr>
      <w:r>
        <w:rPr>
          <w:sz w:val="20"/>
          <w:szCs w:val="20"/>
        </w:rPr>
        <w:t>Universidade Federal de Alagoas</w:t>
      </w:r>
      <w:r>
        <w:rPr>
          <w:sz w:val="20"/>
          <w:szCs w:val="20"/>
          <w:vertAlign w:val="superscript"/>
        </w:rPr>
        <w:t>1</w:t>
      </w:r>
      <w:r>
        <w:rPr>
          <w:sz w:val="20"/>
          <w:szCs w:val="20"/>
        </w:rPr>
        <w:t>, Universidade Federal Rural de Pernambuco</w:t>
      </w:r>
      <w:r>
        <w:rPr>
          <w:sz w:val="20"/>
          <w:szCs w:val="20"/>
          <w:vertAlign w:val="superscript"/>
        </w:rPr>
        <w:t>2</w:t>
      </w:r>
      <w:r>
        <w:rPr>
          <w:sz w:val="20"/>
          <w:szCs w:val="20"/>
        </w:rPr>
        <w:t>, Universidade Federal de Campina Grande</w:t>
      </w:r>
      <w:r>
        <w:rPr>
          <w:sz w:val="20"/>
          <w:szCs w:val="20"/>
          <w:vertAlign w:val="superscript"/>
        </w:rPr>
        <w:t>3</w:t>
      </w:r>
      <w:r>
        <w:rPr>
          <w:sz w:val="20"/>
          <w:szCs w:val="20"/>
        </w:rPr>
        <w:t>.</w:t>
      </w:r>
    </w:p>
    <w:p w14:paraId="2ABFA84D" w14:textId="77777777" w:rsidR="00D87A14" w:rsidRDefault="0096682C">
      <w:pPr>
        <w:spacing w:line="276" w:lineRule="auto"/>
        <w:ind w:left="221" w:right="214"/>
        <w:jc w:val="center"/>
        <w:rPr>
          <w:sz w:val="20"/>
          <w:szCs w:val="20"/>
        </w:rPr>
      </w:pPr>
      <w:bookmarkStart w:id="0" w:name="_heading=h.yp96iwu2o7wg" w:colFirst="0" w:colLast="0"/>
      <w:bookmarkEnd w:id="0"/>
      <w:r>
        <w:rPr>
          <w:sz w:val="20"/>
          <w:szCs w:val="20"/>
        </w:rPr>
        <w:t>* josias.lucena@icbs.ufal.br</w:t>
      </w:r>
    </w:p>
    <w:p w14:paraId="15A85590" w14:textId="77777777" w:rsidR="00D87A14" w:rsidRDefault="0096682C">
      <w:pPr>
        <w:jc w:val="center"/>
        <w:rPr>
          <w:sz w:val="20"/>
          <w:szCs w:val="20"/>
        </w:rPr>
      </w:pPr>
      <w:r>
        <w:rPr>
          <w:sz w:val="20"/>
          <w:szCs w:val="20"/>
        </w:rPr>
        <w:t>__________________________________________________________________________________________</w:t>
      </w:r>
    </w:p>
    <w:p w14:paraId="75E722A4" w14:textId="77777777" w:rsidR="00D87A14" w:rsidRDefault="00D87A14">
      <w:pPr>
        <w:jc w:val="both"/>
        <w:rPr>
          <w:sz w:val="20"/>
          <w:szCs w:val="20"/>
        </w:rPr>
      </w:pPr>
    </w:p>
    <w:p w14:paraId="3F28E9A9" w14:textId="77777777" w:rsidR="00D87A14" w:rsidRDefault="0096682C">
      <w:pPr>
        <w:jc w:val="both"/>
        <w:rPr>
          <w:sz w:val="20"/>
          <w:szCs w:val="20"/>
        </w:rPr>
      </w:pPr>
      <w:r>
        <w:rPr>
          <w:b/>
          <w:sz w:val="20"/>
          <w:szCs w:val="20"/>
        </w:rPr>
        <w:t>RESUMO</w:t>
      </w:r>
    </w:p>
    <w:p w14:paraId="2682A5B7" w14:textId="504573C5" w:rsidR="00D87A14" w:rsidRDefault="0096682C">
      <w:pPr>
        <w:pStyle w:val="LO-normal"/>
        <w:widowControl/>
        <w:ind w:left="566" w:right="571"/>
        <w:jc w:val="both"/>
        <w:rPr>
          <w:sz w:val="20"/>
          <w:szCs w:val="20"/>
          <w:highlight w:val="white"/>
        </w:rPr>
      </w:pPr>
      <w:r>
        <w:rPr>
          <w:sz w:val="20"/>
          <w:szCs w:val="20"/>
          <w:highlight w:val="white"/>
        </w:rPr>
        <w:t>A avaliaçã</w:t>
      </w:r>
      <w:r>
        <w:rPr>
          <w:sz w:val="20"/>
          <w:szCs w:val="20"/>
          <w:highlight w:val="white"/>
        </w:rPr>
        <w:t xml:space="preserve">o da dinâmica de espécies arbóreas é um importante indicador para o monitoramento de áreas em recuperação florestal. Diante disso, este estudo objetivou analisar a dinâmica populacional de </w:t>
      </w:r>
      <w:r>
        <w:rPr>
          <w:i/>
          <w:sz w:val="20"/>
          <w:szCs w:val="20"/>
          <w:highlight w:val="white"/>
        </w:rPr>
        <w:t>Parkia pendula</w:t>
      </w:r>
      <w:r>
        <w:rPr>
          <w:sz w:val="20"/>
          <w:szCs w:val="20"/>
          <w:highlight w:val="white"/>
        </w:rPr>
        <w:t xml:space="preserve"> em uma área florestal recuperada mediante o plantio </w:t>
      </w:r>
      <w:r>
        <w:rPr>
          <w:sz w:val="20"/>
          <w:szCs w:val="20"/>
          <w:highlight w:val="white"/>
        </w:rPr>
        <w:t xml:space="preserve">de mudas há cerca de duas décadas. O estudo foi desenvolvido no </w:t>
      </w:r>
      <w:r>
        <w:rPr>
          <w:i/>
          <w:sz w:val="20"/>
          <w:szCs w:val="20"/>
          <w:highlight w:val="white"/>
        </w:rPr>
        <w:t>Arboretum</w:t>
      </w:r>
      <w:r>
        <w:rPr>
          <w:sz w:val="20"/>
          <w:szCs w:val="20"/>
          <w:highlight w:val="white"/>
        </w:rPr>
        <w:t xml:space="preserve"> de Alagoas, área urbana de Maceió-AL, com 4,2 hectares de floresta nativa implantada no ano de 2002, em uma área com histórico de uso agrícola (pasto) e de degradação pela disposição</w:t>
      </w:r>
      <w:r>
        <w:rPr>
          <w:sz w:val="20"/>
          <w:szCs w:val="20"/>
          <w:highlight w:val="white"/>
        </w:rPr>
        <w:t xml:space="preserve"> de resíduos sólidos. O monitoramento foi realizado nos anos de 2018 e 2025. A dinâmica demográfica foi avaliada pelas taxas de mortalidade e de recrutamento, enquanto a dinâmica da biomassa foi analisada por meio da área basal, calculando-se as taxas de p</w:t>
      </w:r>
      <w:r>
        <w:rPr>
          <w:sz w:val="20"/>
          <w:szCs w:val="20"/>
          <w:highlight w:val="white"/>
        </w:rPr>
        <w:t>erda (P) e ganho (G) relativas anuais. Entre 2018 e 2025, a taxa de recrutamento, de 0,71 %.ano</w:t>
      </w:r>
      <w:r>
        <w:rPr>
          <w:sz w:val="20"/>
          <w:szCs w:val="20"/>
          <w:highlight w:val="white"/>
          <w:vertAlign w:val="superscript"/>
        </w:rPr>
        <w:t>-1</w:t>
      </w:r>
      <w:r>
        <w:rPr>
          <w:sz w:val="20"/>
          <w:szCs w:val="20"/>
          <w:highlight w:val="white"/>
        </w:rPr>
        <w:t>, superou a de mortalidade, de 0,36 %.ano</w:t>
      </w:r>
      <w:r>
        <w:rPr>
          <w:sz w:val="20"/>
          <w:szCs w:val="20"/>
          <w:highlight w:val="white"/>
          <w:vertAlign w:val="superscript"/>
        </w:rPr>
        <w:t>-1</w:t>
      </w:r>
      <w:r>
        <w:rPr>
          <w:sz w:val="20"/>
          <w:szCs w:val="20"/>
          <w:highlight w:val="white"/>
        </w:rPr>
        <w:t>. A área basal da população passou de 0,3780 m², em 2018, para 0,8121 m², em 2025. A taxa de ganho em área basal foi</w:t>
      </w:r>
      <w:r>
        <w:rPr>
          <w:sz w:val="20"/>
          <w:szCs w:val="20"/>
          <w:highlight w:val="white"/>
        </w:rPr>
        <w:t xml:space="preserve"> de 10,65 %.ano</w:t>
      </w:r>
      <w:r>
        <w:rPr>
          <w:sz w:val="20"/>
          <w:szCs w:val="20"/>
          <w:highlight w:val="white"/>
          <w:vertAlign w:val="superscript"/>
        </w:rPr>
        <w:t>-1</w:t>
      </w:r>
      <w:r>
        <w:rPr>
          <w:sz w:val="20"/>
          <w:szCs w:val="20"/>
          <w:highlight w:val="white"/>
        </w:rPr>
        <w:t>, superior a de perda, de 0,33 %.ano</w:t>
      </w:r>
      <w:r>
        <w:rPr>
          <w:sz w:val="20"/>
          <w:szCs w:val="20"/>
          <w:highlight w:val="white"/>
          <w:vertAlign w:val="superscript"/>
        </w:rPr>
        <w:t>-1</w:t>
      </w:r>
      <w:r>
        <w:rPr>
          <w:sz w:val="20"/>
          <w:szCs w:val="20"/>
          <w:highlight w:val="white"/>
        </w:rPr>
        <w:t>, resultando em um acréscimo líquido substancial na biomassa populacional (11,54 %.ano</w:t>
      </w:r>
      <w:r>
        <w:rPr>
          <w:sz w:val="20"/>
          <w:szCs w:val="20"/>
          <w:highlight w:val="white"/>
          <w:vertAlign w:val="superscript"/>
        </w:rPr>
        <w:t>-1</w:t>
      </w:r>
      <w:r>
        <w:rPr>
          <w:sz w:val="20"/>
          <w:szCs w:val="20"/>
          <w:highlight w:val="white"/>
        </w:rPr>
        <w:t>). Portanto, a dinâmica populacional da espécie foi relativamente estável em termos demográficos, enquanto a dinâ</w:t>
      </w:r>
      <w:r>
        <w:rPr>
          <w:sz w:val="20"/>
          <w:szCs w:val="20"/>
          <w:highlight w:val="white"/>
        </w:rPr>
        <w:t>mica da área basal revelou um expressivo desenvolvimento dos indivíduos, reforçando o papel da es</w:t>
      </w:r>
      <w:r w:rsidR="0063467A">
        <w:rPr>
          <w:sz w:val="20"/>
          <w:szCs w:val="20"/>
          <w:highlight w:val="white"/>
        </w:rPr>
        <w:t>pécie na acumulação de biomassa.</w:t>
      </w:r>
    </w:p>
    <w:p w14:paraId="670C7B50" w14:textId="77777777" w:rsidR="00D87A14" w:rsidRDefault="0096682C">
      <w:pPr>
        <w:pStyle w:val="LO-normal"/>
        <w:widowControl/>
        <w:ind w:left="566" w:right="854"/>
        <w:rPr>
          <w:sz w:val="20"/>
          <w:szCs w:val="20"/>
        </w:rPr>
      </w:pPr>
      <w:r>
        <w:rPr>
          <w:i/>
          <w:sz w:val="20"/>
          <w:szCs w:val="20"/>
        </w:rPr>
        <w:t>Palavras-chave</w:t>
      </w:r>
      <w:r>
        <w:rPr>
          <w:sz w:val="20"/>
          <w:szCs w:val="20"/>
        </w:rPr>
        <w:t>: mortalidade, crescimento, área basal, restauração florestal</w:t>
      </w:r>
    </w:p>
    <w:p w14:paraId="18DBA1B0" w14:textId="77777777" w:rsidR="00D87A14" w:rsidRDefault="00D87A14">
      <w:pPr>
        <w:widowControl/>
        <w:jc w:val="both"/>
        <w:rPr>
          <w:b/>
          <w:sz w:val="20"/>
          <w:szCs w:val="20"/>
        </w:rPr>
      </w:pPr>
    </w:p>
    <w:p w14:paraId="3CD6974F" w14:textId="77777777" w:rsidR="00D87A14" w:rsidRDefault="0096682C">
      <w:pPr>
        <w:widowControl/>
        <w:jc w:val="both"/>
        <w:rPr>
          <w:sz w:val="20"/>
          <w:szCs w:val="20"/>
        </w:rPr>
      </w:pPr>
      <w:r>
        <w:rPr>
          <w:b/>
          <w:sz w:val="20"/>
          <w:szCs w:val="20"/>
        </w:rPr>
        <w:t>INTRO</w:t>
      </w:r>
      <w:r>
        <w:rPr>
          <w:b/>
          <w:sz w:val="20"/>
          <w:szCs w:val="20"/>
        </w:rPr>
        <w:t>DUÇÃO</w:t>
      </w:r>
    </w:p>
    <w:p w14:paraId="1075A708" w14:textId="77777777" w:rsidR="00D87A14" w:rsidRDefault="0096682C">
      <w:pPr>
        <w:widowControl/>
        <w:ind w:firstLine="709"/>
        <w:jc w:val="both"/>
        <w:rPr>
          <w:sz w:val="20"/>
          <w:szCs w:val="20"/>
        </w:rPr>
      </w:pPr>
      <w:r>
        <w:rPr>
          <w:sz w:val="20"/>
          <w:szCs w:val="20"/>
        </w:rPr>
        <w:t xml:space="preserve">A </w:t>
      </w:r>
      <w:r>
        <w:rPr>
          <w:i/>
          <w:sz w:val="20"/>
          <w:szCs w:val="20"/>
        </w:rPr>
        <w:t>Parkia pendula</w:t>
      </w:r>
      <w:r>
        <w:rPr>
          <w:sz w:val="20"/>
          <w:szCs w:val="20"/>
        </w:rPr>
        <w:t xml:space="preserve"> (Willd.) Benth. ex Walp., conhecida popularmente por visgueiro, é uma espécie arbórea nativa da Amazônia Ocidental brasileira (SALMAN </w:t>
      </w:r>
      <w:r>
        <w:rPr>
          <w:i/>
          <w:sz w:val="20"/>
          <w:szCs w:val="20"/>
        </w:rPr>
        <w:t>et al</w:t>
      </w:r>
      <w:r>
        <w:rPr>
          <w:sz w:val="20"/>
          <w:szCs w:val="20"/>
        </w:rPr>
        <w:t>., 2008), com ocorrência confirmada também no bioma Mata Atlântica, distribuindo-se do litoral da Paraíba até o Espírito Santo (CARVALHO, 2006). Suas folhas são grandes, bipinadas, com foliólulos muito pequenos (1-2 cm) e numerosos, com presença de glândul</w:t>
      </w:r>
      <w:r>
        <w:rPr>
          <w:sz w:val="20"/>
          <w:szCs w:val="20"/>
        </w:rPr>
        <w:t>as. A base do tronco pode ter raízes externas e a casca tem como característica marcante a cor avermelhada, se desprendendo em placas grandes. A densidade básica da madeira é de 0,69 g.cm-³. É uma espécie de sucessão secundária inicial, indicada para utili</w:t>
      </w:r>
      <w:r>
        <w:rPr>
          <w:sz w:val="20"/>
          <w:szCs w:val="20"/>
        </w:rPr>
        <w:t xml:space="preserve">zação na recuperação de áreas degradadas, produção de essências e de resina, além de fins medicinais e ornamentais (CARVALHO, 2006; ALEIXO </w:t>
      </w:r>
      <w:r>
        <w:rPr>
          <w:i/>
          <w:sz w:val="20"/>
          <w:szCs w:val="20"/>
        </w:rPr>
        <w:t>et al</w:t>
      </w:r>
      <w:r>
        <w:rPr>
          <w:sz w:val="20"/>
          <w:szCs w:val="20"/>
        </w:rPr>
        <w:t>., 2023).</w:t>
      </w:r>
    </w:p>
    <w:p w14:paraId="0C9587A5" w14:textId="77777777" w:rsidR="00D87A14" w:rsidRDefault="0096682C">
      <w:pPr>
        <w:widowControl/>
        <w:ind w:firstLine="709"/>
        <w:jc w:val="both"/>
        <w:rPr>
          <w:sz w:val="20"/>
          <w:szCs w:val="20"/>
        </w:rPr>
      </w:pPr>
      <w:r>
        <w:rPr>
          <w:sz w:val="20"/>
          <w:szCs w:val="20"/>
        </w:rPr>
        <w:t>Em uma floresta, os três principais processos demográficos de plantas são o recrutamento, o cresciment</w:t>
      </w:r>
      <w:r>
        <w:rPr>
          <w:sz w:val="20"/>
          <w:szCs w:val="20"/>
        </w:rPr>
        <w:t xml:space="preserve">o e a mortalidade, assim, a interação desses processos com as condições e perturbações ambientais conduzem a dinâmica florestal de biomassa, função e composição de espécies (MCDOWELL </w:t>
      </w:r>
      <w:r>
        <w:rPr>
          <w:i/>
          <w:sz w:val="20"/>
          <w:szCs w:val="20"/>
        </w:rPr>
        <w:t>et al.</w:t>
      </w:r>
      <w:r>
        <w:rPr>
          <w:sz w:val="20"/>
          <w:szCs w:val="20"/>
        </w:rPr>
        <w:t xml:space="preserve">, 2020). A dinâmica estrutural das árvores em florestas naturais é </w:t>
      </w:r>
      <w:r>
        <w:rPr>
          <w:sz w:val="20"/>
          <w:szCs w:val="20"/>
        </w:rPr>
        <w:t>resultado do alto número de respostas e de processos causados pelo regime de perturbação ao longo do tempo e do espaço. Por exemplo, a estrutura atual, representada por variáveis como o tamanho da árvore e a existência de clareiras, exerce um impacto diret</w:t>
      </w:r>
      <w:r>
        <w:rPr>
          <w:sz w:val="20"/>
          <w:szCs w:val="20"/>
        </w:rPr>
        <w:t xml:space="preserve">o nos processos de semeadura e de sucessão, os quais, por sua vez, influenciam na estrutura futura da floresta (GHALANDARAYESHI </w:t>
      </w:r>
      <w:r>
        <w:rPr>
          <w:i/>
          <w:sz w:val="20"/>
          <w:szCs w:val="20"/>
        </w:rPr>
        <w:t>et al.</w:t>
      </w:r>
      <w:r>
        <w:rPr>
          <w:sz w:val="20"/>
          <w:szCs w:val="20"/>
        </w:rPr>
        <w:t>, 2017).</w:t>
      </w:r>
    </w:p>
    <w:p w14:paraId="5F817F16" w14:textId="185655DF" w:rsidR="00D87A14" w:rsidRDefault="0096682C">
      <w:pPr>
        <w:widowControl/>
        <w:ind w:firstLine="709"/>
        <w:jc w:val="both"/>
        <w:rPr>
          <w:sz w:val="20"/>
          <w:szCs w:val="20"/>
        </w:rPr>
      </w:pPr>
      <w:r>
        <w:rPr>
          <w:sz w:val="20"/>
          <w:szCs w:val="20"/>
        </w:rPr>
        <w:t>Em áreas em recuperação florestal, a avaliação da dinâmica das espécies arbóreas é um importante indicador</w:t>
      </w:r>
      <w:r>
        <w:rPr>
          <w:sz w:val="20"/>
          <w:szCs w:val="20"/>
        </w:rPr>
        <w:t xml:space="preserve"> </w:t>
      </w:r>
      <w:r w:rsidRPr="009C5659">
        <w:rPr>
          <w:sz w:val="20"/>
          <w:szCs w:val="20"/>
        </w:rPr>
        <w:t>para o</w:t>
      </w:r>
      <w:r w:rsidRPr="009C5659">
        <w:rPr>
          <w:sz w:val="20"/>
          <w:szCs w:val="20"/>
        </w:rPr>
        <w:t xml:space="preserve"> </w:t>
      </w:r>
      <w:r w:rsidRPr="009C5659">
        <w:rPr>
          <w:sz w:val="20"/>
          <w:szCs w:val="20"/>
        </w:rPr>
        <w:t>monitoramento</w:t>
      </w:r>
      <w:r w:rsidRPr="009C5659">
        <w:rPr>
          <w:sz w:val="20"/>
          <w:szCs w:val="20"/>
        </w:rPr>
        <w:t xml:space="preserve">. </w:t>
      </w:r>
      <w:r>
        <w:rPr>
          <w:sz w:val="20"/>
          <w:szCs w:val="20"/>
        </w:rPr>
        <w:t>De acordo com Schneider et al. (2023</w:t>
      </w:r>
      <w:r w:rsidRPr="009C5659">
        <w:rPr>
          <w:sz w:val="20"/>
          <w:szCs w:val="20"/>
        </w:rPr>
        <w:t xml:space="preserve">), o </w:t>
      </w:r>
      <w:r w:rsidR="009C5659" w:rsidRPr="009C5659">
        <w:rPr>
          <w:sz w:val="20"/>
          <w:szCs w:val="20"/>
        </w:rPr>
        <w:t>acompanhamento</w:t>
      </w:r>
      <w:r w:rsidRPr="009C5659">
        <w:rPr>
          <w:sz w:val="20"/>
          <w:szCs w:val="20"/>
        </w:rPr>
        <w:t xml:space="preserve"> </w:t>
      </w:r>
      <w:r>
        <w:rPr>
          <w:sz w:val="20"/>
          <w:szCs w:val="20"/>
        </w:rPr>
        <w:t>de áreas submetidas à restauração ativa deve contemplar avaliações de desenvolvimento das espécies arbóreas plantadas, a fim de subsidiar novos projetos. Ademais, os autores enquadra</w:t>
      </w:r>
      <w:r>
        <w:rPr>
          <w:sz w:val="20"/>
          <w:szCs w:val="20"/>
        </w:rPr>
        <w:t>m as métricas dendrométricas, como diâmetro, altura, biomassa e teor de carbono das arbóreas plantadas, na categoria de indicadores adicionais ou alternativos</w:t>
      </w:r>
      <w:r w:rsidR="009C5659">
        <w:rPr>
          <w:sz w:val="20"/>
          <w:szCs w:val="20"/>
        </w:rPr>
        <w:t>.</w:t>
      </w:r>
    </w:p>
    <w:p w14:paraId="05F54709" w14:textId="77777777" w:rsidR="00D87A14" w:rsidRDefault="0096682C">
      <w:pPr>
        <w:widowControl/>
        <w:ind w:firstLine="709"/>
        <w:jc w:val="both"/>
        <w:rPr>
          <w:sz w:val="20"/>
          <w:szCs w:val="20"/>
        </w:rPr>
      </w:pPr>
      <w:r>
        <w:rPr>
          <w:sz w:val="20"/>
          <w:szCs w:val="20"/>
        </w:rPr>
        <w:t xml:space="preserve">Diante disso, este estudo objetivou analisar a dinâmica populacional de </w:t>
      </w:r>
      <w:r>
        <w:rPr>
          <w:i/>
          <w:sz w:val="20"/>
          <w:szCs w:val="20"/>
        </w:rPr>
        <w:t xml:space="preserve">Parkia </w:t>
      </w:r>
      <w:r>
        <w:rPr>
          <w:i/>
          <w:sz w:val="20"/>
          <w:szCs w:val="20"/>
        </w:rPr>
        <w:t>pendula</w:t>
      </w:r>
      <w:r>
        <w:rPr>
          <w:sz w:val="20"/>
          <w:szCs w:val="20"/>
        </w:rPr>
        <w:t xml:space="preserve"> em uma área florestal recuperada mediante o plantio de mudas há cerca de duas décadas, contribuindo com informações para subsidiar a tomada de futuras decisões quanto ao manejo e ao desenvolvimento da espécie em áreas em processo de recuperação na </w:t>
      </w:r>
      <w:r>
        <w:rPr>
          <w:sz w:val="20"/>
          <w:szCs w:val="20"/>
        </w:rPr>
        <w:t>Mata Atlântica.</w:t>
      </w:r>
    </w:p>
    <w:p w14:paraId="33A84130" w14:textId="77777777" w:rsidR="00D87A14" w:rsidRDefault="00D87A14">
      <w:pPr>
        <w:widowControl/>
        <w:jc w:val="both"/>
        <w:rPr>
          <w:b/>
          <w:sz w:val="20"/>
          <w:szCs w:val="20"/>
        </w:rPr>
      </w:pPr>
    </w:p>
    <w:p w14:paraId="58D98A87" w14:textId="77777777" w:rsidR="00D87A14" w:rsidRDefault="0096682C">
      <w:pPr>
        <w:widowControl/>
        <w:jc w:val="both"/>
        <w:rPr>
          <w:sz w:val="20"/>
          <w:szCs w:val="20"/>
        </w:rPr>
      </w:pPr>
      <w:r>
        <w:rPr>
          <w:b/>
          <w:sz w:val="20"/>
          <w:szCs w:val="20"/>
        </w:rPr>
        <w:t>MATERIAL E MÉTODOS</w:t>
      </w:r>
    </w:p>
    <w:p w14:paraId="30209348" w14:textId="77777777" w:rsidR="00D87A14" w:rsidRDefault="0096682C">
      <w:pPr>
        <w:widowControl/>
        <w:suppressAutoHyphens/>
        <w:ind w:firstLine="709"/>
        <w:jc w:val="both"/>
        <w:rPr>
          <w:rFonts w:eastAsia="NSimSun" w:cs="Arial"/>
          <w:sz w:val="20"/>
          <w:szCs w:val="20"/>
          <w:highlight w:val="white"/>
          <w:lang w:eastAsia="zh-CN" w:bidi="hi-IN"/>
        </w:rPr>
      </w:pPr>
      <w:r>
        <w:rPr>
          <w:rFonts w:eastAsia="NSimSun" w:cs="Arial"/>
          <w:sz w:val="20"/>
          <w:szCs w:val="20"/>
          <w:highlight w:val="white"/>
          <w:lang w:eastAsia="zh-CN" w:bidi="hi-IN"/>
        </w:rPr>
        <w:t xml:space="preserve">O estudo foi desenvolvido no </w:t>
      </w:r>
      <w:r>
        <w:rPr>
          <w:rFonts w:eastAsia="NSimSun" w:cs="Arial"/>
          <w:i/>
          <w:sz w:val="20"/>
          <w:szCs w:val="20"/>
          <w:highlight w:val="white"/>
          <w:lang w:eastAsia="zh-CN" w:bidi="hi-IN"/>
        </w:rPr>
        <w:t>Arboretum</w:t>
      </w:r>
      <w:r>
        <w:rPr>
          <w:rFonts w:eastAsia="NSimSun" w:cs="Arial"/>
          <w:sz w:val="20"/>
          <w:szCs w:val="20"/>
          <w:highlight w:val="white"/>
          <w:lang w:eastAsia="zh-CN" w:bidi="hi-IN"/>
        </w:rPr>
        <w:t xml:space="preserve"> de Alagoas, sob a coordenada central 09º33’13,80”S e 35º46’07,80”O, localizado no Campus A. C. Simões da Universidade Federal de Alagoas, área urbana de Maceió-AL. O </w:t>
      </w:r>
      <w:r>
        <w:rPr>
          <w:rFonts w:eastAsia="NSimSun" w:cs="Arial"/>
          <w:i/>
          <w:sz w:val="20"/>
          <w:szCs w:val="20"/>
          <w:highlight w:val="white"/>
          <w:lang w:eastAsia="zh-CN" w:bidi="hi-IN"/>
        </w:rPr>
        <w:t>Arboretum</w:t>
      </w:r>
      <w:r>
        <w:rPr>
          <w:rFonts w:eastAsia="NSimSun" w:cs="Arial"/>
          <w:sz w:val="20"/>
          <w:szCs w:val="20"/>
          <w:highlight w:val="white"/>
          <w:lang w:eastAsia="zh-CN" w:bidi="hi-IN"/>
        </w:rPr>
        <w:t xml:space="preserve"> possui 4,2 hectares de floresta implantada mediante o plantio de mudas no ano de 2002 em uma área com histórico de uso agrícola (pasto) e de degradação pela disposição de resíduos sólidos, notadamente resíduos de construção civil. </w:t>
      </w:r>
    </w:p>
    <w:p w14:paraId="6CBF05AC" w14:textId="77777777" w:rsidR="00D87A14" w:rsidRDefault="0096682C">
      <w:pPr>
        <w:widowControl/>
        <w:suppressAutoHyphens/>
        <w:ind w:firstLine="709"/>
        <w:jc w:val="both"/>
        <w:rPr>
          <w:rFonts w:eastAsia="NSimSun" w:cs="Arial"/>
          <w:sz w:val="20"/>
          <w:szCs w:val="20"/>
          <w:lang w:eastAsia="zh-CN" w:bidi="hi-IN"/>
        </w:rPr>
      </w:pPr>
      <w:r>
        <w:rPr>
          <w:rFonts w:eastAsia="NSimSun" w:cs="Arial"/>
          <w:sz w:val="20"/>
          <w:szCs w:val="20"/>
          <w:highlight w:val="white"/>
          <w:lang w:eastAsia="zh-CN" w:bidi="hi-IN"/>
        </w:rPr>
        <w:t xml:space="preserve">A implantação do </w:t>
      </w:r>
      <w:r>
        <w:rPr>
          <w:rFonts w:eastAsia="NSimSun" w:cs="Arial"/>
          <w:i/>
          <w:sz w:val="20"/>
          <w:szCs w:val="20"/>
          <w:highlight w:val="white"/>
          <w:lang w:eastAsia="zh-CN" w:bidi="hi-IN"/>
        </w:rPr>
        <w:t>Arbore</w:t>
      </w:r>
      <w:r>
        <w:rPr>
          <w:rFonts w:eastAsia="NSimSun" w:cs="Arial"/>
          <w:i/>
          <w:sz w:val="20"/>
          <w:szCs w:val="20"/>
          <w:highlight w:val="white"/>
          <w:lang w:eastAsia="zh-CN" w:bidi="hi-IN"/>
        </w:rPr>
        <w:t>tum</w:t>
      </w:r>
      <w:r>
        <w:rPr>
          <w:rFonts w:eastAsia="NSimSun" w:cs="Arial"/>
          <w:sz w:val="20"/>
          <w:szCs w:val="20"/>
          <w:highlight w:val="white"/>
          <w:lang w:eastAsia="zh-CN" w:bidi="hi-IN"/>
        </w:rPr>
        <w:t xml:space="preserve"> teve início no ano de 2002 por meio do plantio de 1.450 mudas de aproximadamente 60 espécies nativas brasileiras, sendo enriquecido gradualmente, diante disso, os estudos recentes apontam que </w:t>
      </w:r>
      <w:r>
        <w:rPr>
          <w:rFonts w:eastAsia="NSimSun" w:cs="Arial"/>
          <w:sz w:val="20"/>
          <w:szCs w:val="20"/>
          <w:lang w:eastAsia="zh-CN" w:bidi="hi-IN"/>
        </w:rPr>
        <w:t>a floresta está em processo natural de sucessão ecológica co</w:t>
      </w:r>
      <w:r>
        <w:rPr>
          <w:rFonts w:eastAsia="NSimSun" w:cs="Arial"/>
          <w:sz w:val="20"/>
          <w:szCs w:val="20"/>
          <w:lang w:eastAsia="zh-CN" w:bidi="hi-IN"/>
        </w:rPr>
        <w:t xml:space="preserve">m parâmetros semelhantes aos encontrados em Florestas Ombrófilas (SILVA </w:t>
      </w:r>
      <w:r>
        <w:rPr>
          <w:rFonts w:eastAsia="NSimSun" w:cs="Arial"/>
          <w:i/>
          <w:sz w:val="20"/>
          <w:szCs w:val="20"/>
          <w:lang w:eastAsia="zh-CN" w:bidi="hi-IN"/>
        </w:rPr>
        <w:t>et al</w:t>
      </w:r>
      <w:r>
        <w:rPr>
          <w:rFonts w:eastAsia="NSimSun" w:cs="Arial"/>
          <w:sz w:val="20"/>
          <w:szCs w:val="20"/>
          <w:lang w:eastAsia="zh-CN" w:bidi="hi-IN"/>
        </w:rPr>
        <w:t>., 2022).</w:t>
      </w:r>
    </w:p>
    <w:p w14:paraId="7749937D" w14:textId="77777777" w:rsidR="00D87A14" w:rsidRDefault="0096682C">
      <w:pPr>
        <w:widowControl/>
        <w:suppressAutoHyphens/>
        <w:ind w:firstLine="709"/>
        <w:jc w:val="both"/>
        <w:rPr>
          <w:rFonts w:eastAsia="NSimSun" w:cs="Arial"/>
          <w:sz w:val="20"/>
          <w:szCs w:val="20"/>
          <w:shd w:val="clear" w:color="auto" w:fill="B2B2B2"/>
          <w:lang w:eastAsia="zh-CN" w:bidi="hi-IN"/>
        </w:rPr>
      </w:pPr>
      <w:r>
        <w:rPr>
          <w:rFonts w:eastAsia="NSimSun" w:cs="Arial"/>
          <w:sz w:val="20"/>
          <w:szCs w:val="20"/>
          <w:highlight w:val="white"/>
          <w:lang w:eastAsia="zh-CN" w:bidi="hi-IN"/>
        </w:rPr>
        <w:t xml:space="preserve">O clima da região é o tropical litorâneo úmido (As), conforme classificação climática de Köppen, apresentando temperatura média anual de 25,6°C e precipitação anual de 1.713 mm (ALVARES </w:t>
      </w:r>
      <w:r>
        <w:rPr>
          <w:rFonts w:eastAsia="NSimSun" w:cs="Arial"/>
          <w:i/>
          <w:sz w:val="20"/>
          <w:szCs w:val="20"/>
          <w:highlight w:val="white"/>
          <w:lang w:eastAsia="zh-CN" w:bidi="hi-IN"/>
        </w:rPr>
        <w:t>et al</w:t>
      </w:r>
      <w:r>
        <w:rPr>
          <w:rFonts w:eastAsia="NSimSun" w:cs="Arial"/>
          <w:sz w:val="20"/>
          <w:szCs w:val="20"/>
          <w:highlight w:val="white"/>
          <w:lang w:eastAsia="zh-CN" w:bidi="hi-IN"/>
        </w:rPr>
        <w:t>., 2013).</w:t>
      </w:r>
      <w:r>
        <w:rPr>
          <w:rFonts w:eastAsia="NSimSun" w:cs="Arial"/>
          <w:sz w:val="20"/>
          <w:szCs w:val="20"/>
          <w:lang w:eastAsia="zh-CN" w:bidi="hi-IN"/>
        </w:rPr>
        <w:t xml:space="preserve"> </w:t>
      </w:r>
      <w:r>
        <w:rPr>
          <w:rFonts w:eastAsia="NSimSun" w:cs="Arial"/>
          <w:sz w:val="20"/>
          <w:szCs w:val="20"/>
          <w:highlight w:val="white"/>
          <w:lang w:eastAsia="zh-CN" w:bidi="hi-IN"/>
        </w:rPr>
        <w:t>A área de estudo está situada dentro dos limites do bio</w:t>
      </w:r>
      <w:r>
        <w:rPr>
          <w:rFonts w:eastAsia="NSimSun" w:cs="Arial"/>
          <w:sz w:val="20"/>
          <w:szCs w:val="20"/>
          <w:highlight w:val="white"/>
          <w:lang w:eastAsia="zh-CN" w:bidi="hi-IN"/>
        </w:rPr>
        <w:t>ma Mata Atlântica</w:t>
      </w:r>
      <w:r>
        <w:rPr>
          <w:rFonts w:eastAsia="NSimSun" w:cs="Arial"/>
          <w:sz w:val="20"/>
          <w:szCs w:val="20"/>
          <w:lang w:eastAsia="zh-CN" w:bidi="hi-IN"/>
        </w:rPr>
        <w:t>.</w:t>
      </w:r>
    </w:p>
    <w:p w14:paraId="5CAC13ED" w14:textId="77777777" w:rsidR="00D87A14" w:rsidRDefault="0096682C">
      <w:pPr>
        <w:widowControl/>
        <w:suppressAutoHyphens/>
        <w:ind w:firstLine="709"/>
        <w:jc w:val="both"/>
        <w:rPr>
          <w:rFonts w:eastAsia="NSimSun" w:cs="Arial"/>
          <w:sz w:val="20"/>
          <w:szCs w:val="20"/>
          <w:highlight w:val="white"/>
          <w:lang w:eastAsia="zh-CN" w:bidi="hi-IN"/>
        </w:rPr>
      </w:pPr>
      <w:r>
        <w:rPr>
          <w:rFonts w:eastAsia="NSimSun" w:cs="Arial"/>
          <w:sz w:val="20"/>
          <w:szCs w:val="20"/>
          <w:highlight w:val="white"/>
          <w:lang w:eastAsia="zh-CN" w:bidi="hi-IN"/>
        </w:rPr>
        <w:t>O histórico de estudo sobre o componente arbóreo iniciou no período de outubro de 2017 a maio de 2019 e compreendeu a instalação de 88 parcelas permanentes com dimensões de 20 m x 20 m, distribuídas de forma contínua</w:t>
      </w:r>
      <w:r>
        <w:rPr>
          <w:rFonts w:ascii="Gungsuh" w:eastAsia="Gungsuh" w:hAnsi="Gungsuh" w:cs="Gungsuh" w:hint="eastAsia"/>
          <w:sz w:val="20"/>
          <w:szCs w:val="20"/>
          <w:highlight w:val="white"/>
          <w:lang w:eastAsia="zh-CN" w:bidi="hi-IN"/>
        </w:rPr>
        <w:t xml:space="preserve"> </w:t>
      </w:r>
      <w:r>
        <w:rPr>
          <w:rFonts w:eastAsia="Gungsuh"/>
          <w:sz w:val="20"/>
          <w:szCs w:val="20"/>
          <w:highlight w:val="white"/>
          <w:lang w:eastAsia="zh-CN" w:bidi="hi-IN"/>
        </w:rPr>
        <w:t>em 8 faixas com 11 u</w:t>
      </w:r>
      <w:r>
        <w:rPr>
          <w:rFonts w:eastAsia="Gungsuh"/>
          <w:sz w:val="20"/>
          <w:szCs w:val="20"/>
          <w:highlight w:val="white"/>
          <w:lang w:eastAsia="zh-CN" w:bidi="hi-IN"/>
        </w:rPr>
        <w:t>nidades amostrais. Na instalação das parcelas, os indivíduos lenhosos com diâmetro à altura de 1,30 m do solo igual ou maior que 5 cm (DAP ≥ 5 cm) foram marcados com plaqueta de alumínio contendo um número identificador de forma sequencial.</w:t>
      </w:r>
    </w:p>
    <w:p w14:paraId="50854C21" w14:textId="77777777" w:rsidR="00D87A14" w:rsidRDefault="0096682C">
      <w:pPr>
        <w:widowControl/>
        <w:suppressAutoHyphens/>
        <w:ind w:firstLine="709"/>
        <w:jc w:val="both"/>
        <w:rPr>
          <w:rFonts w:eastAsia="NSimSun" w:cs="Arial"/>
          <w:sz w:val="20"/>
          <w:szCs w:val="20"/>
          <w:highlight w:val="white"/>
          <w:lang w:eastAsia="zh-CN" w:bidi="hi-IN"/>
        </w:rPr>
      </w:pPr>
      <w:r>
        <w:rPr>
          <w:rFonts w:eastAsia="NSimSun" w:cs="Arial"/>
          <w:sz w:val="20"/>
          <w:szCs w:val="20"/>
          <w:highlight w:val="white"/>
          <w:lang w:eastAsia="zh-CN" w:bidi="hi-IN"/>
        </w:rPr>
        <w:tab/>
        <w:t>As informaç</w:t>
      </w:r>
      <w:r>
        <w:rPr>
          <w:rFonts w:eastAsia="NSimSun" w:cs="Arial"/>
          <w:sz w:val="20"/>
          <w:szCs w:val="20"/>
          <w:highlight w:val="white"/>
          <w:lang w:eastAsia="zh-CN" w:bidi="hi-IN"/>
        </w:rPr>
        <w:t>ões coletadas em cada indivíduo foram: data da medição; nome da espécie; circunferência à altura de 1,30 m do solo (CAP), obtida com fita métrica de precisão de 1 mm, e; altura total, esta estimada visualmente com precisão de 0,5 m a partir de uma vara com</w:t>
      </w:r>
      <w:r>
        <w:rPr>
          <w:rFonts w:eastAsia="NSimSun" w:cs="Arial"/>
          <w:sz w:val="20"/>
          <w:szCs w:val="20"/>
          <w:highlight w:val="white"/>
          <w:lang w:eastAsia="zh-CN" w:bidi="hi-IN"/>
        </w:rPr>
        <w:t xml:space="preserve"> altura conhecida.</w:t>
      </w:r>
    </w:p>
    <w:p w14:paraId="24C67072" w14:textId="77777777" w:rsidR="00D87A14" w:rsidRDefault="0096682C">
      <w:pPr>
        <w:widowControl/>
        <w:suppressAutoHyphens/>
        <w:ind w:firstLine="709"/>
        <w:jc w:val="both"/>
        <w:rPr>
          <w:rFonts w:eastAsia="NSimSun" w:cs="Arial"/>
          <w:sz w:val="20"/>
          <w:szCs w:val="20"/>
          <w:highlight w:val="white"/>
          <w:lang w:eastAsia="zh-CN" w:bidi="hi-IN"/>
        </w:rPr>
      </w:pPr>
      <w:r>
        <w:rPr>
          <w:rFonts w:eastAsia="NSimSun" w:cs="Arial"/>
          <w:sz w:val="20"/>
          <w:szCs w:val="20"/>
          <w:highlight w:val="white"/>
          <w:lang w:eastAsia="zh-CN" w:bidi="hi-IN"/>
        </w:rPr>
        <w:tab/>
        <w:t xml:space="preserve">Para o presente estudo, as medições das circunferências e alturas foram refeitas nos indivíduos de </w:t>
      </w:r>
      <w:r>
        <w:rPr>
          <w:rFonts w:eastAsia="NSimSun" w:cs="Arial"/>
          <w:i/>
          <w:sz w:val="20"/>
          <w:szCs w:val="20"/>
          <w:highlight w:val="white"/>
          <w:lang w:eastAsia="zh-CN" w:bidi="hi-IN"/>
        </w:rPr>
        <w:t>Parkia pendula</w:t>
      </w:r>
      <w:r>
        <w:rPr>
          <w:rFonts w:eastAsia="NSimSun" w:cs="Arial"/>
          <w:sz w:val="20"/>
          <w:szCs w:val="20"/>
          <w:highlight w:val="white"/>
          <w:lang w:eastAsia="zh-CN" w:bidi="hi-IN"/>
        </w:rPr>
        <w:t xml:space="preserve"> no mês de março de 2025, ocasião em que se registrou, no banco de dados, os indivíduos que atingiram o DAP mínimo (recruta</w:t>
      </w:r>
      <w:r>
        <w:rPr>
          <w:rFonts w:eastAsia="NSimSun" w:cs="Arial"/>
          <w:sz w:val="20"/>
          <w:szCs w:val="20"/>
          <w:highlight w:val="white"/>
          <w:lang w:eastAsia="zh-CN" w:bidi="hi-IN"/>
        </w:rPr>
        <w:t xml:space="preserve">s) e, também, os mortos e caídos. </w:t>
      </w:r>
    </w:p>
    <w:p w14:paraId="6BD492D0" w14:textId="77777777" w:rsidR="00D87A14" w:rsidRDefault="0096682C">
      <w:pPr>
        <w:widowControl/>
        <w:suppressAutoHyphens/>
        <w:ind w:firstLine="709"/>
        <w:jc w:val="both"/>
        <w:rPr>
          <w:rFonts w:eastAsia="NSimSun" w:cs="Arial"/>
          <w:sz w:val="20"/>
          <w:szCs w:val="20"/>
          <w:lang w:eastAsia="zh-CN" w:bidi="hi-IN"/>
        </w:rPr>
      </w:pPr>
      <w:r>
        <w:rPr>
          <w:rFonts w:eastAsia="NSimSun" w:cs="Arial"/>
          <w:sz w:val="20"/>
          <w:szCs w:val="20"/>
          <w:highlight w:val="white"/>
          <w:lang w:eastAsia="zh-CN" w:bidi="hi-IN"/>
        </w:rPr>
        <w:tab/>
        <w:t>As taxas de mortalidade e de recrutamento foram utilizadas como descritores básicos da dinâmica demográfica e seus valores foram obtidos por meio de modelos algébricos, conforme as Equações a seguir:</w:t>
      </w:r>
    </w:p>
    <w:p w14:paraId="551127C1" w14:textId="77777777" w:rsidR="00D87A14" w:rsidRDefault="0096682C">
      <w:pPr>
        <w:widowControl/>
        <w:suppressAutoHyphens/>
        <w:jc w:val="both"/>
        <w:rPr>
          <w:rFonts w:eastAsia="NSimSun" w:cs="Arial"/>
          <w:sz w:val="20"/>
          <w:szCs w:val="20"/>
          <w:lang w:eastAsia="zh-CN" w:bidi="hi-IN"/>
        </w:rPr>
      </w:pPr>
      <m:oMathPara>
        <m:oMath>
          <m:r>
            <w:rPr>
              <w:rFonts w:ascii="Cambria Math" w:eastAsia="NSimSun" w:hAnsi="Cambria Math" w:cs="Arial"/>
              <w:sz w:val="20"/>
              <w:szCs w:val="20"/>
              <w:highlight w:val="white"/>
              <w:lang w:eastAsia="zh-CN" w:bidi="hi-IN"/>
            </w:rPr>
            <m:t>TM</m:t>
          </m:r>
          <m:r>
            <w:rPr>
              <w:rFonts w:ascii="Cambria Math" w:eastAsia="NSimSun" w:hAnsi="Cambria Math" w:cs="Arial"/>
              <w:sz w:val="20"/>
              <w:szCs w:val="20"/>
              <w:highlight w:val="white"/>
              <w:lang w:eastAsia="zh-CN" w:bidi="hi-IN"/>
            </w:rPr>
            <m:t>=</m:t>
          </m:r>
          <m:d>
            <m:dPr>
              <m:begChr m:val="{"/>
              <m:endChr m:val="}"/>
              <m:ctrlPr>
                <w:rPr>
                  <w:rFonts w:ascii="Cambria Math" w:eastAsia="NSimSun" w:hAnsi="Cambria Math" w:cs="Arial"/>
                  <w:i/>
                  <w:lang w:eastAsia="zh-CN" w:bidi="hi-IN"/>
                </w:rPr>
              </m:ctrlPr>
            </m:dPr>
            <m:e>
              <m:r>
                <w:rPr>
                  <w:rFonts w:ascii="Cambria Math" w:eastAsia="NSimSun" w:hAnsi="Cambria Math" w:cs="Arial"/>
                  <w:sz w:val="20"/>
                  <w:szCs w:val="20"/>
                  <w:lang w:eastAsia="zh-CN" w:bidi="hi-IN"/>
                </w:rPr>
                <m:t>1-</m:t>
              </m:r>
              <m:sSup>
                <m:sSupPr>
                  <m:ctrlPr>
                    <w:rPr>
                      <w:rFonts w:ascii="Cambria Math" w:eastAsia="NSimSun" w:hAnsi="Cambria Math" w:cs="Arial"/>
                      <w:i/>
                      <w:lang w:eastAsia="zh-CN" w:bidi="hi-IN"/>
                    </w:rPr>
                  </m:ctrlPr>
                </m:sSupPr>
                <m:e>
                  <m:d>
                    <m:dPr>
                      <m:begChr m:val="["/>
                      <m:endChr m:val="]"/>
                      <m:ctrlPr>
                        <w:rPr>
                          <w:rFonts w:ascii="Cambria Math" w:eastAsia="NSimSun" w:hAnsi="Cambria Math" w:cs="Arial"/>
                          <w:i/>
                          <w:lang w:eastAsia="zh-CN" w:bidi="hi-IN"/>
                        </w:rPr>
                      </m:ctrlPr>
                    </m:dPr>
                    <m:e>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N</m:t>
                          </m:r>
                        </m:e>
                        <m:sub>
                          <m:r>
                            <w:rPr>
                              <w:rFonts w:ascii="Cambria Math" w:eastAsia="NSimSun" w:hAnsi="Cambria Math" w:cs="Arial"/>
                              <w:sz w:val="20"/>
                              <w:szCs w:val="20"/>
                              <w:lang w:eastAsia="zh-CN" w:bidi="hi-IN"/>
                            </w:rPr>
                            <m:t>i</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N</m:t>
                          </m:r>
                        </m:e>
                        <m:sub>
                          <m:r>
                            <w:rPr>
                              <w:rFonts w:ascii="Cambria Math" w:eastAsia="NSimSun" w:hAnsi="Cambria Math" w:cs="Arial"/>
                              <w:sz w:val="20"/>
                              <w:szCs w:val="20"/>
                              <w:lang w:eastAsia="zh-CN" w:bidi="hi-IN"/>
                            </w:rPr>
                            <m:t>m</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N</m:t>
                          </m:r>
                        </m:e>
                        <m:sub>
                          <m:r>
                            <w:rPr>
                              <w:rFonts w:ascii="Cambria Math" w:eastAsia="NSimSun" w:hAnsi="Cambria Math" w:cs="Arial"/>
                              <w:sz w:val="20"/>
                              <w:szCs w:val="20"/>
                              <w:lang w:eastAsia="zh-CN" w:bidi="hi-IN"/>
                            </w:rPr>
                            <m:t>i</m:t>
                          </m:r>
                        </m:sub>
                      </m:sSub>
                    </m:e>
                  </m:d>
                </m:e>
                <m:sup>
                  <m:r>
                    <w:rPr>
                      <w:rFonts w:ascii="Cambria Math" w:eastAsia="NSimSun" w:hAnsi="Cambria Math" w:cs="Arial"/>
                      <w:sz w:val="20"/>
                      <w:szCs w:val="20"/>
                      <w:lang w:eastAsia="zh-CN" w:bidi="hi-IN"/>
                    </w:rPr>
                    <m:t>1/</m:t>
                  </m:r>
                  <m:r>
                    <w:rPr>
                      <w:rFonts w:ascii="Cambria Math" w:eastAsia="NSimSun" w:hAnsi="Cambria Math" w:cs="Arial"/>
                      <w:sz w:val="20"/>
                      <w:szCs w:val="20"/>
                      <w:lang w:eastAsia="zh-CN" w:bidi="hi-IN"/>
                    </w:rPr>
                    <m:t>t</m:t>
                  </m:r>
                </m:sup>
              </m:sSup>
            </m:e>
          </m:d>
          <m:r>
            <w:rPr>
              <w:rFonts w:ascii="Cambria Math" w:eastAsia="NSimSun" w:hAnsi="Cambria Math" w:cs="Arial"/>
              <w:sz w:val="20"/>
              <w:szCs w:val="20"/>
              <w:lang w:eastAsia="zh-CN" w:bidi="hi-IN"/>
            </w:rPr>
            <m:t>x</m:t>
          </m:r>
          <m:r>
            <w:rPr>
              <w:rFonts w:ascii="Cambria Math" w:eastAsia="NSimSun" w:hAnsi="Cambria Math" w:cs="Arial"/>
              <w:sz w:val="20"/>
              <w:szCs w:val="20"/>
              <w:lang w:eastAsia="zh-CN" w:bidi="hi-IN"/>
            </w:rPr>
            <m:t>100</m:t>
          </m:r>
        </m:oMath>
      </m:oMathPara>
    </w:p>
    <w:p w14:paraId="0E2EEA10" w14:textId="77777777" w:rsidR="00D87A14" w:rsidRDefault="0096682C">
      <w:pPr>
        <w:widowControl/>
        <w:suppressAutoHyphens/>
        <w:jc w:val="both"/>
        <w:rPr>
          <w:rFonts w:eastAsia="NSimSun" w:cs="Arial"/>
          <w:sz w:val="20"/>
          <w:szCs w:val="20"/>
          <w:shd w:val="clear" w:color="auto" w:fill="B2B2B2"/>
          <w:lang w:eastAsia="zh-CN" w:bidi="hi-IN"/>
        </w:rPr>
      </w:pPr>
      <m:oMathPara>
        <m:oMath>
          <m:r>
            <w:rPr>
              <w:rFonts w:ascii="Cambria Math" w:eastAsia="NSimSun" w:hAnsi="Cambria Math" w:cs="Arial"/>
              <w:sz w:val="20"/>
              <w:szCs w:val="20"/>
              <w:highlight w:val="white"/>
              <w:lang w:eastAsia="zh-CN" w:bidi="hi-IN"/>
            </w:rPr>
            <m:t>TR</m:t>
          </m:r>
          <m:r>
            <w:rPr>
              <w:rFonts w:ascii="Cambria Math" w:eastAsia="NSimSun" w:hAnsi="Cambria Math" w:cs="Arial"/>
              <w:sz w:val="20"/>
              <w:szCs w:val="20"/>
              <w:highlight w:val="white"/>
              <w:lang w:eastAsia="zh-CN" w:bidi="hi-IN"/>
            </w:rPr>
            <m:t>=</m:t>
          </m:r>
          <m:d>
            <m:dPr>
              <m:begChr m:val="{"/>
              <m:endChr m:val="}"/>
              <m:ctrlPr>
                <w:rPr>
                  <w:rFonts w:ascii="Cambria Math" w:eastAsia="NSimSun" w:hAnsi="Cambria Math" w:cs="Arial"/>
                  <w:i/>
                  <w:lang w:eastAsia="zh-CN" w:bidi="hi-IN"/>
                </w:rPr>
              </m:ctrlPr>
            </m:dPr>
            <m:e>
              <m:r>
                <w:rPr>
                  <w:rFonts w:ascii="Cambria Math" w:eastAsia="NSimSun" w:hAnsi="Cambria Math" w:cs="Arial"/>
                  <w:sz w:val="20"/>
                  <w:szCs w:val="20"/>
                  <w:lang w:eastAsia="zh-CN" w:bidi="hi-IN"/>
                </w:rPr>
                <m:t>1-</m:t>
              </m:r>
              <m:sSup>
                <m:sSupPr>
                  <m:ctrlPr>
                    <w:rPr>
                      <w:rFonts w:ascii="Cambria Math" w:eastAsia="NSimSun" w:hAnsi="Cambria Math" w:cs="Arial"/>
                      <w:i/>
                      <w:lang w:eastAsia="zh-CN" w:bidi="hi-IN"/>
                    </w:rPr>
                  </m:ctrlPr>
                </m:sSupPr>
                <m:e>
                  <m:d>
                    <m:dPr>
                      <m:begChr m:val="["/>
                      <m:endChr m:val="]"/>
                      <m:ctrlPr>
                        <w:rPr>
                          <w:rFonts w:ascii="Cambria Math" w:eastAsia="NSimSun" w:hAnsi="Cambria Math" w:cs="Arial"/>
                          <w:i/>
                          <w:lang w:eastAsia="zh-CN" w:bidi="hi-IN"/>
                        </w:rPr>
                      </m:ctrlPr>
                    </m:dPr>
                    <m:e>
                      <m:r>
                        <w:rPr>
                          <w:rFonts w:ascii="Cambria Math" w:eastAsia="NSimSun" w:hAnsi="Cambria Math" w:cs="Arial"/>
                          <w:sz w:val="20"/>
                          <w:szCs w:val="20"/>
                          <w:lang w:eastAsia="zh-CN" w:bidi="hi-IN"/>
                        </w:rPr>
                        <m:t>1-(</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N</m:t>
                          </m:r>
                        </m:e>
                        <m:sub>
                          <m:r>
                            <w:rPr>
                              <w:rFonts w:ascii="Cambria Math" w:eastAsia="NSimSun" w:hAnsi="Cambria Math" w:cs="Arial"/>
                              <w:sz w:val="20"/>
                              <w:szCs w:val="20"/>
                              <w:lang w:eastAsia="zh-CN" w:bidi="hi-IN"/>
                            </w:rPr>
                            <m:t>r</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N</m:t>
                          </m:r>
                        </m:e>
                        <m:sub>
                          <m:r>
                            <w:rPr>
                              <w:rFonts w:ascii="Cambria Math" w:eastAsia="NSimSun" w:hAnsi="Cambria Math" w:cs="Arial"/>
                              <w:sz w:val="20"/>
                              <w:szCs w:val="20"/>
                              <w:lang w:eastAsia="zh-CN" w:bidi="hi-IN"/>
                            </w:rPr>
                            <m:t>f</m:t>
                          </m:r>
                        </m:sub>
                      </m:sSub>
                    </m:e>
                  </m:d>
                </m:e>
                <m:sup>
                  <m:r>
                    <w:rPr>
                      <w:rFonts w:ascii="Cambria Math" w:eastAsia="NSimSun" w:hAnsi="Cambria Math" w:cs="Arial"/>
                      <w:sz w:val="20"/>
                      <w:szCs w:val="20"/>
                      <w:lang w:eastAsia="zh-CN" w:bidi="hi-IN"/>
                    </w:rPr>
                    <m:t>1/</m:t>
                  </m:r>
                  <m:r>
                    <w:rPr>
                      <w:rFonts w:ascii="Cambria Math" w:eastAsia="NSimSun" w:hAnsi="Cambria Math" w:cs="Arial"/>
                      <w:sz w:val="20"/>
                      <w:szCs w:val="20"/>
                      <w:lang w:eastAsia="zh-CN" w:bidi="hi-IN"/>
                    </w:rPr>
                    <m:t>t</m:t>
                  </m:r>
                </m:sup>
              </m:sSup>
            </m:e>
          </m:d>
          <m:r>
            <w:rPr>
              <w:rFonts w:ascii="Cambria Math" w:eastAsia="NSimSun" w:hAnsi="Cambria Math" w:cs="Arial"/>
              <w:sz w:val="20"/>
              <w:szCs w:val="20"/>
              <w:lang w:eastAsia="zh-CN" w:bidi="hi-IN"/>
            </w:rPr>
            <m:t>x</m:t>
          </m:r>
          <m:r>
            <w:rPr>
              <w:rFonts w:ascii="Cambria Math" w:eastAsia="NSimSun" w:hAnsi="Cambria Math" w:cs="Arial"/>
              <w:sz w:val="20"/>
              <w:szCs w:val="20"/>
              <w:lang w:eastAsia="zh-CN" w:bidi="hi-IN"/>
            </w:rPr>
            <m:t>100</m:t>
          </m:r>
        </m:oMath>
      </m:oMathPara>
    </w:p>
    <w:p w14:paraId="38D61E36"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highlight w:val="white"/>
          <w:lang w:eastAsia="zh-CN" w:bidi="hi-IN"/>
        </w:rPr>
        <w:t>Em que: TM – Taxa de mortalidade, em %.ano</w:t>
      </w:r>
      <w:r>
        <w:rPr>
          <w:rFonts w:eastAsia="NSimSun" w:cs="Arial"/>
          <w:sz w:val="20"/>
          <w:szCs w:val="20"/>
          <w:highlight w:val="white"/>
          <w:vertAlign w:val="superscript"/>
          <w:lang w:eastAsia="zh-CN" w:bidi="hi-IN"/>
        </w:rPr>
        <w:t>-1</w:t>
      </w:r>
      <w:r>
        <w:rPr>
          <w:rFonts w:eastAsia="NSimSun" w:cs="Arial"/>
          <w:sz w:val="20"/>
          <w:szCs w:val="20"/>
          <w:highlight w:val="white"/>
          <w:lang w:eastAsia="zh-CN" w:bidi="hi-IN"/>
        </w:rPr>
        <w:t>; TR – Taxa de recrutamento, em %.ano</w:t>
      </w:r>
      <w:r>
        <w:rPr>
          <w:rFonts w:eastAsia="NSimSun" w:cs="Arial"/>
          <w:sz w:val="20"/>
          <w:szCs w:val="20"/>
          <w:highlight w:val="white"/>
          <w:vertAlign w:val="superscript"/>
          <w:lang w:eastAsia="zh-CN" w:bidi="hi-IN"/>
        </w:rPr>
        <w:t>-1</w:t>
      </w:r>
      <w:r>
        <w:rPr>
          <w:rFonts w:eastAsia="NSimSun" w:cs="Arial"/>
          <w:sz w:val="20"/>
          <w:szCs w:val="20"/>
          <w:highlight w:val="white"/>
          <w:lang w:eastAsia="zh-CN" w:bidi="hi-IN"/>
        </w:rPr>
        <w:t>; N</w:t>
      </w:r>
      <w:r>
        <w:rPr>
          <w:rFonts w:eastAsia="NSimSun" w:cs="Arial"/>
          <w:sz w:val="20"/>
          <w:szCs w:val="20"/>
          <w:highlight w:val="white"/>
          <w:vertAlign w:val="subscript"/>
          <w:lang w:eastAsia="zh-CN" w:bidi="hi-IN"/>
        </w:rPr>
        <w:t>f</w:t>
      </w:r>
      <w:r>
        <w:rPr>
          <w:rFonts w:eastAsia="NSimSun" w:cs="Arial"/>
          <w:sz w:val="20"/>
          <w:szCs w:val="20"/>
          <w:highlight w:val="white"/>
          <w:lang w:eastAsia="zh-CN" w:bidi="hi-IN"/>
        </w:rPr>
        <w:t>– Número de indivíduos no final do intervalo de mensuração; N</w:t>
      </w:r>
      <w:r>
        <w:rPr>
          <w:rFonts w:eastAsia="NSimSun" w:cs="Arial"/>
          <w:sz w:val="20"/>
          <w:szCs w:val="20"/>
          <w:highlight w:val="white"/>
          <w:vertAlign w:val="subscript"/>
          <w:lang w:eastAsia="zh-CN" w:bidi="hi-IN"/>
        </w:rPr>
        <w:t>i</w:t>
      </w:r>
      <w:r>
        <w:rPr>
          <w:rFonts w:eastAsia="NSimSun" w:cs="Arial"/>
          <w:sz w:val="20"/>
          <w:szCs w:val="20"/>
          <w:highlight w:val="white"/>
          <w:lang w:eastAsia="zh-CN" w:bidi="hi-IN"/>
        </w:rPr>
        <w:t xml:space="preserve"> – Número de indivíduos no início do intervalo de mensuração; N</w:t>
      </w:r>
      <w:r>
        <w:rPr>
          <w:rFonts w:eastAsia="NSimSun" w:cs="Arial"/>
          <w:sz w:val="20"/>
          <w:szCs w:val="20"/>
          <w:highlight w:val="white"/>
          <w:vertAlign w:val="subscript"/>
          <w:lang w:eastAsia="zh-CN" w:bidi="hi-IN"/>
        </w:rPr>
        <w:t>m</w:t>
      </w:r>
      <w:r>
        <w:rPr>
          <w:rFonts w:eastAsia="NSimSun" w:cs="Arial"/>
          <w:sz w:val="20"/>
          <w:szCs w:val="20"/>
          <w:highlight w:val="white"/>
          <w:lang w:eastAsia="zh-CN" w:bidi="hi-IN"/>
        </w:rPr>
        <w:t xml:space="preserve"> – Número de indivíduos mortos; N</w:t>
      </w:r>
      <w:r>
        <w:rPr>
          <w:rFonts w:eastAsia="NSimSun" w:cs="Arial"/>
          <w:sz w:val="20"/>
          <w:szCs w:val="20"/>
          <w:highlight w:val="white"/>
          <w:vertAlign w:val="subscript"/>
          <w:lang w:eastAsia="zh-CN" w:bidi="hi-IN"/>
        </w:rPr>
        <w:t>r</w:t>
      </w:r>
      <w:r>
        <w:rPr>
          <w:rFonts w:eastAsia="NSimSun" w:cs="Arial"/>
          <w:sz w:val="20"/>
          <w:szCs w:val="20"/>
          <w:highlight w:val="white"/>
          <w:lang w:eastAsia="zh-CN" w:bidi="hi-IN"/>
        </w:rPr>
        <w:t xml:space="preserve"> – Número de indivíduos recrutas (ingressos); t – Intervalo de tempo entre </w:t>
      </w:r>
      <w:r>
        <w:rPr>
          <w:rFonts w:eastAsia="NSimSun" w:cs="Arial"/>
          <w:sz w:val="20"/>
          <w:szCs w:val="20"/>
          <w:lang w:eastAsia="zh-CN" w:bidi="hi-IN"/>
        </w:rPr>
        <w:t>as mensurações, em anos.</w:t>
      </w:r>
    </w:p>
    <w:p w14:paraId="0951D284" w14:textId="77777777" w:rsidR="00D87A14" w:rsidRDefault="0096682C">
      <w:pPr>
        <w:widowControl/>
        <w:suppressAutoHyphens/>
        <w:ind w:firstLine="709"/>
        <w:jc w:val="both"/>
        <w:rPr>
          <w:rFonts w:eastAsia="NSimSun" w:cs="Arial"/>
          <w:sz w:val="20"/>
          <w:szCs w:val="20"/>
          <w:lang w:eastAsia="zh-CN" w:bidi="hi-IN"/>
        </w:rPr>
      </w:pPr>
      <w:r>
        <w:rPr>
          <w:rFonts w:eastAsia="NSimSun" w:cs="Arial"/>
          <w:sz w:val="20"/>
          <w:szCs w:val="20"/>
          <w:lang w:eastAsia="zh-CN" w:bidi="hi-IN"/>
        </w:rPr>
        <w:t xml:space="preserve">Adotou-se o tempo de sete </w:t>
      </w:r>
      <w:r>
        <w:rPr>
          <w:rFonts w:eastAsia="NSimSun" w:cs="Arial"/>
          <w:sz w:val="20"/>
          <w:szCs w:val="20"/>
          <w:highlight w:val="white"/>
          <w:lang w:eastAsia="zh-CN" w:bidi="hi-IN"/>
        </w:rPr>
        <w:t>anos para o cálculo das taxas, visto que o intervalo de 2018-2025 foi predominante para a maiori</w:t>
      </w:r>
      <w:r>
        <w:rPr>
          <w:rFonts w:eastAsia="NSimSun" w:cs="Arial"/>
          <w:sz w:val="20"/>
          <w:szCs w:val="20"/>
          <w:highlight w:val="white"/>
          <w:lang w:eastAsia="zh-CN" w:bidi="hi-IN"/>
        </w:rPr>
        <w:t xml:space="preserve">a dos indivíduos medidos. </w:t>
      </w:r>
    </w:p>
    <w:p w14:paraId="2305BDB7" w14:textId="77777777" w:rsidR="00D87A14" w:rsidRDefault="0096682C">
      <w:pPr>
        <w:widowControl/>
        <w:suppressAutoHyphens/>
        <w:ind w:firstLine="709"/>
        <w:jc w:val="both"/>
        <w:rPr>
          <w:rFonts w:eastAsia="NSimSun" w:cs="Arial"/>
          <w:sz w:val="20"/>
          <w:szCs w:val="20"/>
          <w:highlight w:val="white"/>
          <w:lang w:eastAsia="zh-CN" w:bidi="hi-IN"/>
        </w:rPr>
      </w:pPr>
      <w:r>
        <w:rPr>
          <w:rFonts w:eastAsia="NSimSun" w:cs="Arial"/>
          <w:sz w:val="20"/>
          <w:szCs w:val="20"/>
          <w:highlight w:val="white"/>
          <w:lang w:eastAsia="zh-CN" w:bidi="hi-IN"/>
        </w:rPr>
        <w:t>Em outra análise, a variável utilizada para avaliar a dinâmica da biomassa foi a área basal, calculando-se as taxas de perda (P) e ganho (G) relativas anuais por meio das Equações abaixo:</w:t>
      </w:r>
    </w:p>
    <w:p w14:paraId="2E4BCBF4" w14:textId="77777777" w:rsidR="00D87A14" w:rsidRDefault="0096682C">
      <w:pPr>
        <w:widowControl/>
        <w:suppressAutoHyphens/>
        <w:ind w:firstLine="720"/>
        <w:jc w:val="center"/>
        <w:rPr>
          <w:rFonts w:eastAsia="NSimSun" w:cs="Arial"/>
          <w:sz w:val="20"/>
          <w:szCs w:val="20"/>
          <w:highlight w:val="white"/>
          <w:lang w:eastAsia="zh-CN" w:bidi="hi-IN"/>
        </w:rPr>
      </w:pPr>
      <m:oMathPara>
        <m:oMath>
          <m:r>
            <w:rPr>
              <w:rFonts w:ascii="Cambria Math" w:eastAsia="NSimSun" w:hAnsi="Cambria Math" w:cs="Arial"/>
              <w:sz w:val="20"/>
              <w:szCs w:val="20"/>
              <w:highlight w:val="white"/>
              <w:lang w:eastAsia="zh-CN" w:bidi="hi-IN"/>
            </w:rPr>
            <m:t>P</m:t>
          </m:r>
          <m:r>
            <w:rPr>
              <w:rFonts w:ascii="Cambria Math" w:eastAsia="NSimSun" w:hAnsi="Cambria Math" w:cs="Arial"/>
              <w:sz w:val="20"/>
              <w:szCs w:val="20"/>
              <w:highlight w:val="white"/>
              <w:lang w:eastAsia="zh-CN" w:bidi="hi-IN"/>
            </w:rPr>
            <m:t>=</m:t>
          </m:r>
          <m:d>
            <m:dPr>
              <m:begChr m:val="{"/>
              <m:endChr m:val="}"/>
              <m:ctrlPr>
                <w:rPr>
                  <w:rFonts w:ascii="Cambria Math" w:eastAsia="NSimSun" w:hAnsi="Cambria Math" w:cs="Arial"/>
                  <w:i/>
                  <w:lang w:eastAsia="zh-CN" w:bidi="hi-IN"/>
                </w:rPr>
              </m:ctrlPr>
            </m:dPr>
            <m:e>
              <m:r>
                <w:rPr>
                  <w:rFonts w:ascii="Cambria Math" w:eastAsia="NSimSun" w:hAnsi="Cambria Math" w:cs="Arial"/>
                  <w:sz w:val="20"/>
                  <w:szCs w:val="20"/>
                  <w:lang w:eastAsia="zh-CN" w:bidi="hi-IN"/>
                </w:rPr>
                <m:t>1-</m:t>
              </m:r>
              <m:sSup>
                <m:sSupPr>
                  <m:ctrlPr>
                    <w:rPr>
                      <w:rFonts w:ascii="Cambria Math" w:eastAsia="NSimSun" w:hAnsi="Cambria Math" w:cs="Arial"/>
                      <w:i/>
                      <w:lang w:eastAsia="zh-CN" w:bidi="hi-IN"/>
                    </w:rPr>
                  </m:ctrlPr>
                </m:sSupPr>
                <m:e>
                  <m:d>
                    <m:dPr>
                      <m:begChr m:val="["/>
                      <m:endChr m:val="]"/>
                      <m:ctrlPr>
                        <w:rPr>
                          <w:rFonts w:ascii="Cambria Math" w:eastAsia="NSimSun" w:hAnsi="Cambria Math" w:cs="Arial"/>
                          <w:i/>
                          <w:lang w:eastAsia="zh-CN" w:bidi="hi-IN"/>
                        </w:rPr>
                      </m:ctrlPr>
                    </m:dPr>
                    <m:e>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AB</m:t>
                          </m:r>
                        </m:e>
                        <m:sub>
                          <m:r>
                            <w:rPr>
                              <w:rFonts w:ascii="Cambria Math" w:eastAsia="NSimSun" w:hAnsi="Cambria Math" w:cs="Arial"/>
                              <w:sz w:val="20"/>
                              <w:szCs w:val="20"/>
                              <w:lang w:eastAsia="zh-CN" w:bidi="hi-IN"/>
                            </w:rPr>
                            <m:t>i</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AB</m:t>
                          </m:r>
                        </m:e>
                        <m:sub>
                          <m:r>
                            <w:rPr>
                              <w:rFonts w:ascii="Cambria Math" w:eastAsia="NSimSun" w:hAnsi="Cambria Math" w:cs="Arial"/>
                              <w:sz w:val="20"/>
                              <w:szCs w:val="20"/>
                              <w:lang w:eastAsia="zh-CN" w:bidi="hi-IN"/>
                            </w:rPr>
                            <m:t>m</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AB</m:t>
                          </m:r>
                        </m:e>
                        <m:sub>
                          <m:r>
                            <w:rPr>
                              <w:rFonts w:ascii="Cambria Math" w:eastAsia="NSimSun" w:hAnsi="Cambria Math" w:cs="Arial"/>
                              <w:sz w:val="20"/>
                              <w:szCs w:val="20"/>
                              <w:lang w:eastAsia="zh-CN" w:bidi="hi-IN"/>
                            </w:rPr>
                            <m:t>d</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AB</m:t>
                          </m:r>
                        </m:e>
                        <m:sub>
                          <m:r>
                            <w:rPr>
                              <w:rFonts w:ascii="Cambria Math" w:eastAsia="NSimSun" w:hAnsi="Cambria Math" w:cs="Arial"/>
                              <w:sz w:val="20"/>
                              <w:szCs w:val="20"/>
                              <w:lang w:eastAsia="zh-CN" w:bidi="hi-IN"/>
                            </w:rPr>
                            <m:t>i</m:t>
                          </m:r>
                        </m:sub>
                      </m:sSub>
                    </m:e>
                  </m:d>
                </m:e>
                <m:sup>
                  <m:r>
                    <w:rPr>
                      <w:rFonts w:ascii="Cambria Math" w:eastAsia="NSimSun" w:hAnsi="Cambria Math" w:cs="Arial"/>
                      <w:sz w:val="20"/>
                      <w:szCs w:val="20"/>
                      <w:lang w:eastAsia="zh-CN" w:bidi="hi-IN"/>
                    </w:rPr>
                    <m:t>1/</m:t>
                  </m:r>
                  <m:r>
                    <w:rPr>
                      <w:rFonts w:ascii="Cambria Math" w:eastAsia="NSimSun" w:hAnsi="Cambria Math" w:cs="Arial"/>
                      <w:sz w:val="20"/>
                      <w:szCs w:val="20"/>
                      <w:lang w:eastAsia="zh-CN" w:bidi="hi-IN"/>
                    </w:rPr>
                    <m:t>t</m:t>
                  </m:r>
                </m:sup>
              </m:sSup>
            </m:e>
          </m:d>
          <m:r>
            <w:rPr>
              <w:rFonts w:ascii="Cambria Math" w:eastAsia="NSimSun" w:hAnsi="Cambria Math" w:cs="Arial"/>
              <w:sz w:val="20"/>
              <w:szCs w:val="20"/>
              <w:lang w:eastAsia="zh-CN" w:bidi="hi-IN"/>
            </w:rPr>
            <m:t>x</m:t>
          </m:r>
          <m:r>
            <w:rPr>
              <w:rFonts w:ascii="Cambria Math" w:eastAsia="NSimSun" w:hAnsi="Cambria Math" w:cs="Arial"/>
              <w:sz w:val="20"/>
              <w:szCs w:val="20"/>
              <w:lang w:eastAsia="zh-CN" w:bidi="hi-IN"/>
            </w:rPr>
            <m:t>1</m:t>
          </m:r>
          <m:r>
            <w:rPr>
              <w:rFonts w:ascii="Cambria Math" w:eastAsia="NSimSun" w:hAnsi="Cambria Math" w:cs="Arial"/>
              <w:sz w:val="20"/>
              <w:szCs w:val="20"/>
              <w:lang w:eastAsia="zh-CN" w:bidi="hi-IN"/>
            </w:rPr>
            <m:t>00</m:t>
          </m:r>
        </m:oMath>
      </m:oMathPara>
    </w:p>
    <w:p w14:paraId="2CDC2B81" w14:textId="77777777" w:rsidR="00D87A14" w:rsidRDefault="0096682C">
      <w:pPr>
        <w:widowControl/>
        <w:suppressAutoHyphens/>
        <w:jc w:val="center"/>
        <w:rPr>
          <w:rFonts w:eastAsia="NSimSun"/>
          <w:color w:val="000000"/>
          <w:sz w:val="20"/>
          <w:szCs w:val="20"/>
          <w:shd w:val="clear" w:color="auto" w:fill="B2B2B2"/>
          <w:lang w:eastAsia="zh-CN" w:bidi="hi-IN"/>
        </w:rPr>
      </w:pPr>
      <m:oMathPara>
        <m:oMath>
          <m:r>
            <w:rPr>
              <w:rFonts w:ascii="Cambria Math" w:eastAsia="NSimSun" w:hAnsi="Cambria Math" w:cs="Arial"/>
              <w:sz w:val="20"/>
              <w:szCs w:val="20"/>
              <w:highlight w:val="white"/>
              <w:lang w:eastAsia="zh-CN" w:bidi="hi-IN"/>
            </w:rPr>
            <m:t>G</m:t>
          </m:r>
          <m:r>
            <w:rPr>
              <w:rFonts w:ascii="Cambria Math" w:eastAsia="NSimSun" w:hAnsi="Cambria Math" w:cs="Arial"/>
              <w:sz w:val="20"/>
              <w:szCs w:val="20"/>
              <w:highlight w:val="white"/>
              <w:lang w:eastAsia="zh-CN" w:bidi="hi-IN"/>
            </w:rPr>
            <m:t>=</m:t>
          </m:r>
          <m:d>
            <m:dPr>
              <m:begChr m:val="{"/>
              <m:endChr m:val="}"/>
              <m:ctrlPr>
                <w:rPr>
                  <w:rFonts w:ascii="Cambria Math" w:eastAsia="NSimSun" w:hAnsi="Cambria Math" w:cs="Arial"/>
                  <w:i/>
                  <w:lang w:eastAsia="zh-CN" w:bidi="hi-IN"/>
                </w:rPr>
              </m:ctrlPr>
            </m:dPr>
            <m:e>
              <m:r>
                <w:rPr>
                  <w:rFonts w:ascii="Cambria Math" w:eastAsia="NSimSun" w:hAnsi="Cambria Math" w:cs="Arial"/>
                  <w:sz w:val="20"/>
                  <w:szCs w:val="20"/>
                  <w:lang w:eastAsia="zh-CN" w:bidi="hi-IN"/>
                </w:rPr>
                <m:t>1-</m:t>
              </m:r>
              <m:sSup>
                <m:sSupPr>
                  <m:ctrlPr>
                    <w:rPr>
                      <w:rFonts w:ascii="Cambria Math" w:eastAsia="NSimSun" w:hAnsi="Cambria Math" w:cs="Arial"/>
                      <w:i/>
                      <w:lang w:eastAsia="zh-CN" w:bidi="hi-IN"/>
                    </w:rPr>
                  </m:ctrlPr>
                </m:sSupPr>
                <m:e>
                  <m:d>
                    <m:dPr>
                      <m:begChr m:val="["/>
                      <m:endChr m:val="]"/>
                      <m:ctrlPr>
                        <w:rPr>
                          <w:rFonts w:ascii="Cambria Math" w:eastAsia="NSimSun" w:hAnsi="Cambria Math" w:cs="Arial"/>
                          <w:i/>
                          <w:lang w:eastAsia="zh-CN" w:bidi="hi-IN"/>
                        </w:rPr>
                      </m:ctrlPr>
                    </m:dPr>
                    <m:e>
                      <m:r>
                        <w:rPr>
                          <w:rFonts w:ascii="Cambria Math" w:eastAsia="NSimSun" w:hAnsi="Cambria Math" w:cs="Arial"/>
                          <w:sz w:val="20"/>
                          <w:szCs w:val="20"/>
                          <w:lang w:eastAsia="zh-CN" w:bidi="hi-IN"/>
                        </w:rPr>
                        <m:t>1-(</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AB</m:t>
                          </m:r>
                        </m:e>
                        <m:sub>
                          <m:r>
                            <w:rPr>
                              <w:rFonts w:ascii="Cambria Math" w:eastAsia="NSimSun" w:hAnsi="Cambria Math" w:cs="Arial"/>
                              <w:sz w:val="20"/>
                              <w:szCs w:val="20"/>
                              <w:lang w:eastAsia="zh-CN" w:bidi="hi-IN"/>
                            </w:rPr>
                            <m:t>r</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AB</m:t>
                          </m:r>
                        </m:e>
                        <m:sub>
                          <m:r>
                            <w:rPr>
                              <w:rFonts w:ascii="Cambria Math" w:eastAsia="NSimSun" w:hAnsi="Cambria Math" w:cs="Arial"/>
                              <w:sz w:val="20"/>
                              <w:szCs w:val="20"/>
                              <w:lang w:eastAsia="zh-CN" w:bidi="hi-IN"/>
                            </w:rPr>
                            <m:t>g</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AB</m:t>
                          </m:r>
                        </m:e>
                        <m:sub>
                          <m:r>
                            <w:rPr>
                              <w:rFonts w:ascii="Cambria Math" w:eastAsia="NSimSun" w:hAnsi="Cambria Math" w:cs="Arial"/>
                              <w:sz w:val="20"/>
                              <w:szCs w:val="20"/>
                              <w:lang w:eastAsia="zh-CN" w:bidi="hi-IN"/>
                            </w:rPr>
                            <m:t>f</m:t>
                          </m:r>
                        </m:sub>
                      </m:sSub>
                    </m:e>
                  </m:d>
                </m:e>
                <m:sup>
                  <m:r>
                    <w:rPr>
                      <w:rFonts w:ascii="Cambria Math" w:eastAsia="NSimSun" w:hAnsi="Cambria Math" w:cs="Arial"/>
                      <w:sz w:val="20"/>
                      <w:szCs w:val="20"/>
                      <w:lang w:eastAsia="zh-CN" w:bidi="hi-IN"/>
                    </w:rPr>
                    <m:t>1/</m:t>
                  </m:r>
                  <m:r>
                    <w:rPr>
                      <w:rFonts w:ascii="Cambria Math" w:eastAsia="NSimSun" w:hAnsi="Cambria Math" w:cs="Arial"/>
                      <w:sz w:val="20"/>
                      <w:szCs w:val="20"/>
                      <w:lang w:eastAsia="zh-CN" w:bidi="hi-IN"/>
                    </w:rPr>
                    <m:t>t</m:t>
                  </m:r>
                </m:sup>
              </m:sSup>
            </m:e>
          </m:d>
          <m:r>
            <w:rPr>
              <w:rFonts w:ascii="Cambria Math" w:eastAsia="NSimSun" w:hAnsi="Cambria Math" w:cs="Arial"/>
              <w:sz w:val="20"/>
              <w:szCs w:val="20"/>
              <w:lang w:eastAsia="zh-CN" w:bidi="hi-IN"/>
            </w:rPr>
            <m:t>x</m:t>
          </m:r>
          <m:r>
            <w:rPr>
              <w:rFonts w:ascii="Cambria Math" w:eastAsia="NSimSun" w:hAnsi="Cambria Math" w:cs="Arial"/>
              <w:sz w:val="20"/>
              <w:szCs w:val="20"/>
              <w:lang w:eastAsia="zh-CN" w:bidi="hi-IN"/>
            </w:rPr>
            <m:t>100</m:t>
          </m:r>
        </m:oMath>
      </m:oMathPara>
    </w:p>
    <w:p w14:paraId="157DC1DE" w14:textId="77777777" w:rsidR="00D87A14" w:rsidRDefault="0096682C">
      <w:pPr>
        <w:widowControl/>
        <w:suppressAutoHyphens/>
        <w:jc w:val="both"/>
        <w:rPr>
          <w:rFonts w:eastAsia="NSimSun" w:cs="Arial"/>
          <w:sz w:val="20"/>
          <w:szCs w:val="20"/>
          <w:highlight w:val="white"/>
          <w:lang w:eastAsia="zh-CN" w:bidi="hi-IN"/>
        </w:rPr>
      </w:pPr>
      <w:r>
        <w:rPr>
          <w:rFonts w:eastAsia="NSimSun" w:cs="Arial"/>
          <w:sz w:val="20"/>
          <w:szCs w:val="20"/>
          <w:highlight w:val="white"/>
          <w:lang w:eastAsia="zh-CN" w:bidi="hi-IN"/>
        </w:rPr>
        <w:t>Em que: ABi – área basal dos indivíduos vivos iniciais (em m</w:t>
      </w:r>
      <w:r>
        <w:rPr>
          <w:rFonts w:eastAsia="NSimSun" w:cs="Arial"/>
          <w:sz w:val="20"/>
          <w:szCs w:val="20"/>
          <w:highlight w:val="white"/>
          <w:vertAlign w:val="superscript"/>
          <w:lang w:eastAsia="zh-CN" w:bidi="hi-IN"/>
        </w:rPr>
        <w:t>2</w:t>
      </w:r>
      <w:r>
        <w:rPr>
          <w:rFonts w:eastAsia="NSimSun" w:cs="Arial"/>
          <w:sz w:val="20"/>
          <w:szCs w:val="20"/>
          <w:highlight w:val="white"/>
          <w:lang w:eastAsia="zh-CN" w:bidi="hi-IN"/>
        </w:rPr>
        <w:t>); AB</w:t>
      </w:r>
      <w:r>
        <w:rPr>
          <w:rFonts w:eastAsia="NSimSun" w:cs="Arial"/>
          <w:sz w:val="20"/>
          <w:szCs w:val="20"/>
          <w:highlight w:val="white"/>
          <w:vertAlign w:val="subscript"/>
          <w:lang w:eastAsia="zh-CN" w:bidi="hi-IN"/>
        </w:rPr>
        <w:t>m</w:t>
      </w:r>
      <w:r>
        <w:rPr>
          <w:rFonts w:eastAsia="NSimSun" w:cs="Arial"/>
          <w:sz w:val="20"/>
          <w:szCs w:val="20"/>
          <w:highlight w:val="white"/>
          <w:lang w:eastAsia="zh-CN" w:bidi="hi-IN"/>
        </w:rPr>
        <w:t xml:space="preserve"> – área basal dos indivíduos mortos (em m</w:t>
      </w:r>
      <w:r>
        <w:rPr>
          <w:rFonts w:eastAsia="NSimSun" w:cs="Arial"/>
          <w:sz w:val="20"/>
          <w:szCs w:val="20"/>
          <w:highlight w:val="white"/>
          <w:vertAlign w:val="superscript"/>
          <w:lang w:eastAsia="zh-CN" w:bidi="hi-IN"/>
        </w:rPr>
        <w:t>2</w:t>
      </w:r>
      <w:r>
        <w:rPr>
          <w:rFonts w:eastAsia="NSimSun" w:cs="Arial"/>
          <w:sz w:val="20"/>
          <w:szCs w:val="20"/>
          <w:highlight w:val="white"/>
          <w:lang w:eastAsia="zh-CN" w:bidi="hi-IN"/>
        </w:rPr>
        <w:t>); AB</w:t>
      </w:r>
      <w:r>
        <w:rPr>
          <w:rFonts w:eastAsia="NSimSun" w:cs="Arial"/>
          <w:sz w:val="20"/>
          <w:szCs w:val="20"/>
          <w:highlight w:val="white"/>
          <w:vertAlign w:val="subscript"/>
          <w:lang w:eastAsia="zh-CN" w:bidi="hi-IN"/>
        </w:rPr>
        <w:t xml:space="preserve">f </w:t>
      </w:r>
      <w:r>
        <w:rPr>
          <w:rFonts w:eastAsia="NSimSun" w:cs="Arial"/>
          <w:sz w:val="20"/>
          <w:szCs w:val="20"/>
          <w:highlight w:val="white"/>
          <w:lang w:eastAsia="zh-CN" w:bidi="hi-IN"/>
        </w:rPr>
        <w:t>– área basal dos indivíduos vivos finais (em m</w:t>
      </w:r>
      <w:r>
        <w:rPr>
          <w:rFonts w:eastAsia="NSimSun" w:cs="Arial"/>
          <w:sz w:val="20"/>
          <w:szCs w:val="20"/>
          <w:highlight w:val="white"/>
          <w:vertAlign w:val="superscript"/>
          <w:lang w:eastAsia="zh-CN" w:bidi="hi-IN"/>
        </w:rPr>
        <w:t>2</w:t>
      </w:r>
      <w:r>
        <w:rPr>
          <w:rFonts w:eastAsia="NSimSun" w:cs="Arial"/>
          <w:sz w:val="20"/>
          <w:szCs w:val="20"/>
          <w:highlight w:val="white"/>
          <w:lang w:eastAsia="zh-CN" w:bidi="hi-IN"/>
        </w:rPr>
        <w:t>); AB</w:t>
      </w:r>
      <w:r>
        <w:rPr>
          <w:rFonts w:eastAsia="NSimSun" w:cs="Arial"/>
          <w:sz w:val="20"/>
          <w:szCs w:val="20"/>
          <w:highlight w:val="white"/>
          <w:vertAlign w:val="subscript"/>
          <w:lang w:eastAsia="zh-CN" w:bidi="hi-IN"/>
        </w:rPr>
        <w:t>d</w:t>
      </w:r>
      <w:r>
        <w:rPr>
          <w:rFonts w:eastAsia="NSimSun" w:cs="Arial"/>
          <w:sz w:val="20"/>
          <w:szCs w:val="20"/>
          <w:highlight w:val="white"/>
          <w:lang w:eastAsia="zh-CN" w:bidi="hi-IN"/>
        </w:rPr>
        <w:t xml:space="preserve"> – área basal perdida pelo decremento dos sobreviventes; AB</w:t>
      </w:r>
      <w:r>
        <w:rPr>
          <w:rFonts w:eastAsia="NSimSun" w:cs="Arial"/>
          <w:sz w:val="20"/>
          <w:szCs w:val="20"/>
          <w:highlight w:val="white"/>
          <w:vertAlign w:val="subscript"/>
          <w:lang w:eastAsia="zh-CN" w:bidi="hi-IN"/>
        </w:rPr>
        <w:t>r</w:t>
      </w:r>
      <w:r>
        <w:rPr>
          <w:rFonts w:eastAsia="NSimSun" w:cs="Arial"/>
          <w:sz w:val="20"/>
          <w:szCs w:val="20"/>
          <w:highlight w:val="white"/>
          <w:lang w:eastAsia="zh-CN" w:bidi="hi-IN"/>
        </w:rPr>
        <w:t xml:space="preserve"> – área basal dos recrutas (m</w:t>
      </w:r>
      <w:r>
        <w:rPr>
          <w:rFonts w:eastAsia="NSimSun" w:cs="Arial"/>
          <w:sz w:val="20"/>
          <w:szCs w:val="20"/>
          <w:highlight w:val="white"/>
          <w:vertAlign w:val="superscript"/>
          <w:lang w:eastAsia="zh-CN" w:bidi="hi-IN"/>
        </w:rPr>
        <w:t>2</w:t>
      </w:r>
      <w:r>
        <w:rPr>
          <w:rFonts w:eastAsia="NSimSun" w:cs="Arial"/>
          <w:sz w:val="20"/>
          <w:szCs w:val="20"/>
          <w:highlight w:val="white"/>
          <w:lang w:eastAsia="zh-CN" w:bidi="hi-IN"/>
        </w:rPr>
        <w:t>), e; AB</w:t>
      </w:r>
      <w:r>
        <w:rPr>
          <w:rFonts w:eastAsia="NSimSun" w:cs="Arial"/>
          <w:sz w:val="20"/>
          <w:szCs w:val="20"/>
          <w:highlight w:val="white"/>
          <w:vertAlign w:val="subscript"/>
          <w:lang w:eastAsia="zh-CN" w:bidi="hi-IN"/>
        </w:rPr>
        <w:t xml:space="preserve">g </w:t>
      </w:r>
      <w:r>
        <w:rPr>
          <w:rFonts w:eastAsia="NSimSun" w:cs="Arial"/>
          <w:sz w:val="20"/>
          <w:szCs w:val="20"/>
          <w:highlight w:val="white"/>
          <w:lang w:eastAsia="zh-CN" w:bidi="hi-IN"/>
        </w:rPr>
        <w:t>– área basal ganha pelo incremento dos sobreviventes.</w:t>
      </w:r>
    </w:p>
    <w:p w14:paraId="14831880" w14:textId="77777777" w:rsidR="00D87A14" w:rsidRDefault="0096682C">
      <w:pPr>
        <w:widowControl/>
        <w:suppressAutoHyphens/>
        <w:spacing w:before="120"/>
        <w:ind w:firstLine="709"/>
        <w:jc w:val="both"/>
        <w:rPr>
          <w:rFonts w:eastAsia="NSimSun" w:cs="Arial"/>
          <w:sz w:val="20"/>
          <w:szCs w:val="20"/>
          <w:lang w:eastAsia="zh-CN" w:bidi="hi-IN"/>
        </w:rPr>
      </w:pPr>
      <w:r>
        <w:rPr>
          <w:rFonts w:eastAsia="NSimSun" w:cs="Arial"/>
          <w:sz w:val="20"/>
          <w:szCs w:val="20"/>
          <w:highlight w:val="white"/>
          <w:lang w:eastAsia="zh-CN" w:bidi="hi-IN"/>
        </w:rPr>
        <w:tab/>
      </w:r>
      <w:r>
        <w:rPr>
          <w:rFonts w:eastAsia="NSimSun" w:cs="Arial"/>
          <w:sz w:val="20"/>
          <w:szCs w:val="20"/>
          <w:lang w:eastAsia="zh-CN" w:bidi="hi-IN"/>
        </w:rPr>
        <w:t>As taxas de mudança líquida foram obtidas para número de indivíduos (Ch</w:t>
      </w:r>
      <w:r>
        <w:rPr>
          <w:rFonts w:eastAsia="NSimSun" w:cs="Arial"/>
          <w:sz w:val="20"/>
          <w:szCs w:val="20"/>
          <w:vertAlign w:val="subscript"/>
          <w:lang w:eastAsia="zh-CN" w:bidi="hi-IN"/>
        </w:rPr>
        <w:t>I</w:t>
      </w:r>
      <w:r>
        <w:rPr>
          <w:rFonts w:eastAsia="NSimSun" w:cs="Arial"/>
          <w:sz w:val="20"/>
          <w:szCs w:val="20"/>
          <w:lang w:eastAsia="zh-CN" w:bidi="hi-IN"/>
        </w:rPr>
        <w:t>) e para área basal (Ch</w:t>
      </w:r>
      <w:r>
        <w:rPr>
          <w:rFonts w:eastAsia="NSimSun" w:cs="Arial"/>
          <w:sz w:val="20"/>
          <w:szCs w:val="20"/>
          <w:vertAlign w:val="subscript"/>
          <w:lang w:eastAsia="zh-CN" w:bidi="hi-IN"/>
        </w:rPr>
        <w:t>AB</w:t>
      </w:r>
      <w:r>
        <w:rPr>
          <w:rFonts w:eastAsia="NSimSun" w:cs="Arial"/>
          <w:sz w:val="20"/>
          <w:szCs w:val="20"/>
          <w:lang w:eastAsia="zh-CN" w:bidi="hi-IN"/>
        </w:rPr>
        <w:t>) de</w:t>
      </w:r>
      <w:r>
        <w:rPr>
          <w:rFonts w:eastAsia="NSimSun" w:cs="Arial"/>
          <w:sz w:val="20"/>
          <w:szCs w:val="20"/>
          <w:lang w:eastAsia="zh-CN" w:bidi="hi-IN"/>
        </w:rPr>
        <w:t xml:space="preserve"> acordo com as Equações seguintes:</w:t>
      </w:r>
    </w:p>
    <w:p w14:paraId="044F987B" w14:textId="77777777" w:rsidR="00D87A14" w:rsidRDefault="0096682C">
      <w:pPr>
        <w:widowControl/>
        <w:suppressAutoHyphens/>
        <w:jc w:val="center"/>
        <w:rPr>
          <w:rFonts w:eastAsia="NSimSun" w:cs="Arial"/>
          <w:sz w:val="20"/>
          <w:szCs w:val="20"/>
          <w:lang w:eastAsia="zh-CN" w:bidi="hi-IN"/>
        </w:rPr>
      </w:pPr>
      <m:oMathPara>
        <m:oMath>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CH</m:t>
              </m:r>
            </m:e>
            <m:sub>
              <m:r>
                <w:rPr>
                  <w:rFonts w:ascii="Cambria Math" w:eastAsia="NSimSun" w:hAnsi="Cambria Math" w:cs="Arial"/>
                  <w:sz w:val="20"/>
                  <w:szCs w:val="20"/>
                  <w:lang w:eastAsia="zh-CN" w:bidi="hi-IN"/>
                </w:rPr>
                <m:t>I</m:t>
              </m:r>
            </m:sub>
          </m:sSub>
          <m:r>
            <w:rPr>
              <w:rFonts w:ascii="Cambria Math" w:eastAsia="NSimSun" w:hAnsi="Cambria Math" w:cs="Arial"/>
              <w:sz w:val="20"/>
              <w:szCs w:val="20"/>
              <w:highlight w:val="white"/>
              <w:lang w:eastAsia="zh-CN" w:bidi="hi-IN"/>
            </w:rPr>
            <m:t>=</m:t>
          </m:r>
          <m:d>
            <m:dPr>
              <m:begChr m:val="["/>
              <m:endChr m:val="]"/>
              <m:ctrlPr>
                <w:rPr>
                  <w:rFonts w:ascii="Cambria Math" w:eastAsia="NSimSun" w:hAnsi="Cambria Math" w:cs="Arial"/>
                  <w:i/>
                  <w:lang w:eastAsia="zh-CN" w:bidi="hi-IN"/>
                </w:rPr>
              </m:ctrlPr>
            </m:dPr>
            <m:e>
              <m:sSup>
                <m:sSupPr>
                  <m:ctrlPr>
                    <w:rPr>
                      <w:rFonts w:ascii="Cambria Math" w:eastAsia="NSimSun" w:hAnsi="Cambria Math" w:cs="Arial"/>
                      <w:i/>
                      <w:lang w:eastAsia="zh-CN" w:bidi="hi-IN"/>
                    </w:rPr>
                  </m:ctrlPr>
                </m:sSupPr>
                <m:e>
                  <m:d>
                    <m:dPr>
                      <m:ctrlPr>
                        <w:rPr>
                          <w:rFonts w:ascii="Cambria Math" w:eastAsia="NSimSun" w:hAnsi="Cambria Math" w:cs="Arial"/>
                          <w:i/>
                          <w:lang w:eastAsia="zh-CN" w:bidi="hi-IN"/>
                        </w:rPr>
                      </m:ctrlPr>
                    </m:dPr>
                    <m:e>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N</m:t>
                          </m:r>
                        </m:e>
                        <m:sub>
                          <m:r>
                            <w:rPr>
                              <w:rFonts w:ascii="Cambria Math" w:eastAsia="NSimSun" w:hAnsi="Cambria Math" w:cs="Arial"/>
                              <w:sz w:val="20"/>
                              <w:szCs w:val="20"/>
                              <w:lang w:eastAsia="zh-CN" w:bidi="hi-IN"/>
                            </w:rPr>
                            <m:t>f</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N</m:t>
                          </m:r>
                        </m:e>
                        <m:sub>
                          <m:r>
                            <w:rPr>
                              <w:rFonts w:ascii="Cambria Math" w:eastAsia="NSimSun" w:hAnsi="Cambria Math" w:cs="Arial"/>
                              <w:sz w:val="20"/>
                              <w:szCs w:val="20"/>
                              <w:lang w:eastAsia="zh-CN" w:bidi="hi-IN"/>
                            </w:rPr>
                            <m:t>i</m:t>
                          </m:r>
                        </m:sub>
                      </m:sSub>
                    </m:e>
                  </m:d>
                </m:e>
                <m:sup>
                  <m:r>
                    <w:rPr>
                      <w:rFonts w:ascii="Cambria Math" w:eastAsia="NSimSun" w:hAnsi="Cambria Math" w:cs="Arial"/>
                      <w:sz w:val="20"/>
                      <w:szCs w:val="20"/>
                      <w:lang w:eastAsia="zh-CN" w:bidi="hi-IN"/>
                    </w:rPr>
                    <m:t>1/</m:t>
                  </m:r>
                  <m:r>
                    <w:rPr>
                      <w:rFonts w:ascii="Cambria Math" w:eastAsia="NSimSun" w:hAnsi="Cambria Math" w:cs="Arial"/>
                      <w:sz w:val="20"/>
                      <w:szCs w:val="20"/>
                      <w:lang w:eastAsia="zh-CN" w:bidi="hi-IN"/>
                    </w:rPr>
                    <m:t>t</m:t>
                  </m:r>
                </m:sup>
              </m:sSup>
              <m:r>
                <w:rPr>
                  <w:rFonts w:ascii="Cambria Math" w:eastAsia="NSimSun" w:hAnsi="Cambria Math" w:cs="Arial"/>
                  <w:sz w:val="20"/>
                  <w:szCs w:val="20"/>
                  <w:lang w:eastAsia="zh-CN" w:bidi="hi-IN"/>
                </w:rPr>
                <m:t>-</m:t>
              </m:r>
              <m:r>
                <w:rPr>
                  <w:rFonts w:ascii="Cambria Math" w:eastAsia="NSimSun" w:hAnsi="Cambria Math" w:cs="Arial"/>
                  <w:sz w:val="20"/>
                  <w:szCs w:val="20"/>
                  <w:lang w:eastAsia="zh-CN" w:bidi="hi-IN"/>
                </w:rPr>
                <m:t>1</m:t>
              </m:r>
            </m:e>
          </m:d>
          <m:r>
            <w:rPr>
              <w:rFonts w:ascii="Cambria Math" w:eastAsia="NSimSun" w:hAnsi="Cambria Math" w:cs="Arial"/>
              <w:sz w:val="20"/>
              <w:szCs w:val="20"/>
              <w:lang w:eastAsia="zh-CN" w:bidi="hi-IN"/>
            </w:rPr>
            <m:t>x</m:t>
          </m:r>
          <m:r>
            <w:rPr>
              <w:rFonts w:ascii="Cambria Math" w:eastAsia="NSimSun" w:hAnsi="Cambria Math" w:cs="Arial"/>
              <w:sz w:val="20"/>
              <w:szCs w:val="20"/>
              <w:lang w:eastAsia="zh-CN" w:bidi="hi-IN"/>
            </w:rPr>
            <m:t>100</m:t>
          </m:r>
        </m:oMath>
      </m:oMathPara>
    </w:p>
    <w:p w14:paraId="7C996013" w14:textId="77777777" w:rsidR="00D87A14" w:rsidRDefault="0096682C">
      <w:pPr>
        <w:widowControl/>
        <w:suppressAutoHyphens/>
        <w:jc w:val="center"/>
        <w:rPr>
          <w:rFonts w:eastAsia="NSimSun" w:cs="Arial"/>
          <w:sz w:val="20"/>
          <w:szCs w:val="20"/>
          <w:lang w:eastAsia="zh-CN" w:bidi="hi-IN"/>
        </w:rPr>
      </w:pPr>
      <m:oMathPara>
        <m:oMath>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CH</m:t>
              </m:r>
            </m:e>
            <m:sub>
              <m:r>
                <w:rPr>
                  <w:rFonts w:ascii="Cambria Math" w:eastAsia="NSimSun" w:hAnsi="Cambria Math" w:cs="Arial"/>
                  <w:sz w:val="20"/>
                  <w:szCs w:val="20"/>
                  <w:lang w:eastAsia="zh-CN" w:bidi="hi-IN"/>
                </w:rPr>
                <m:t>AB</m:t>
              </m:r>
            </m:sub>
          </m:sSub>
          <m:r>
            <w:rPr>
              <w:rFonts w:ascii="Cambria Math" w:eastAsia="NSimSun" w:hAnsi="Cambria Math" w:cs="Arial"/>
              <w:sz w:val="20"/>
              <w:szCs w:val="20"/>
              <w:highlight w:val="white"/>
              <w:lang w:eastAsia="zh-CN" w:bidi="hi-IN"/>
            </w:rPr>
            <m:t>=</m:t>
          </m:r>
          <m:d>
            <m:dPr>
              <m:begChr m:val="["/>
              <m:endChr m:val="]"/>
              <m:ctrlPr>
                <w:rPr>
                  <w:rFonts w:ascii="Cambria Math" w:eastAsia="NSimSun" w:hAnsi="Cambria Math" w:cs="Arial"/>
                  <w:i/>
                  <w:lang w:eastAsia="zh-CN" w:bidi="hi-IN"/>
                </w:rPr>
              </m:ctrlPr>
            </m:dPr>
            <m:e>
              <m:sSup>
                <m:sSupPr>
                  <m:ctrlPr>
                    <w:rPr>
                      <w:rFonts w:ascii="Cambria Math" w:eastAsia="NSimSun" w:hAnsi="Cambria Math" w:cs="Arial"/>
                      <w:i/>
                      <w:lang w:eastAsia="zh-CN" w:bidi="hi-IN"/>
                    </w:rPr>
                  </m:ctrlPr>
                </m:sSupPr>
                <m:e>
                  <m:d>
                    <m:dPr>
                      <m:ctrlPr>
                        <w:rPr>
                          <w:rFonts w:ascii="Cambria Math" w:eastAsia="NSimSun" w:hAnsi="Cambria Math" w:cs="Arial"/>
                          <w:i/>
                          <w:lang w:eastAsia="zh-CN" w:bidi="hi-IN"/>
                        </w:rPr>
                      </m:ctrlPr>
                    </m:dPr>
                    <m:e>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AB</m:t>
                          </m:r>
                        </m:e>
                        <m:sub>
                          <m:r>
                            <w:rPr>
                              <w:rFonts w:ascii="Cambria Math" w:eastAsia="NSimSun" w:hAnsi="Cambria Math" w:cs="Arial"/>
                              <w:sz w:val="20"/>
                              <w:szCs w:val="20"/>
                              <w:lang w:eastAsia="zh-CN" w:bidi="hi-IN"/>
                            </w:rPr>
                            <m:t>f</m:t>
                          </m:r>
                        </m:sub>
                      </m:sSub>
                      <m:r>
                        <w:rPr>
                          <w:rFonts w:ascii="Cambria Math" w:eastAsia="NSimSun" w:hAnsi="Cambria Math" w:cs="Arial"/>
                          <w:sz w:val="20"/>
                          <w:szCs w:val="20"/>
                          <w:lang w:eastAsia="zh-CN" w:bidi="hi-IN"/>
                        </w:rPr>
                        <m:t>/</m:t>
                      </m:r>
                      <m:sSub>
                        <m:sSubPr>
                          <m:ctrlPr>
                            <w:rPr>
                              <w:rFonts w:ascii="Cambria Math" w:eastAsia="NSimSun" w:hAnsi="Cambria Math" w:cs="Arial"/>
                              <w:i/>
                              <w:lang w:eastAsia="zh-CN" w:bidi="hi-IN"/>
                            </w:rPr>
                          </m:ctrlPr>
                        </m:sSubPr>
                        <m:e>
                          <m:r>
                            <w:rPr>
                              <w:rFonts w:ascii="Cambria Math" w:eastAsia="NSimSun" w:hAnsi="Cambria Math" w:cs="Arial"/>
                              <w:sz w:val="20"/>
                              <w:szCs w:val="20"/>
                              <w:lang w:eastAsia="zh-CN" w:bidi="hi-IN"/>
                            </w:rPr>
                            <m:t>AB</m:t>
                          </m:r>
                        </m:e>
                        <m:sub>
                          <m:r>
                            <w:rPr>
                              <w:rFonts w:ascii="Cambria Math" w:eastAsia="NSimSun" w:hAnsi="Cambria Math" w:cs="Arial"/>
                              <w:sz w:val="20"/>
                              <w:szCs w:val="20"/>
                              <w:lang w:eastAsia="zh-CN" w:bidi="hi-IN"/>
                            </w:rPr>
                            <m:t>i</m:t>
                          </m:r>
                        </m:sub>
                      </m:sSub>
                    </m:e>
                  </m:d>
                </m:e>
                <m:sup>
                  <m:r>
                    <w:rPr>
                      <w:rFonts w:ascii="Cambria Math" w:eastAsia="NSimSun" w:hAnsi="Cambria Math" w:cs="Arial"/>
                      <w:sz w:val="20"/>
                      <w:szCs w:val="20"/>
                      <w:lang w:eastAsia="zh-CN" w:bidi="hi-IN"/>
                    </w:rPr>
                    <m:t>1/</m:t>
                  </m:r>
                  <m:r>
                    <w:rPr>
                      <w:rFonts w:ascii="Cambria Math" w:eastAsia="NSimSun" w:hAnsi="Cambria Math" w:cs="Arial"/>
                      <w:sz w:val="20"/>
                      <w:szCs w:val="20"/>
                      <w:lang w:eastAsia="zh-CN" w:bidi="hi-IN"/>
                    </w:rPr>
                    <m:t>t</m:t>
                  </m:r>
                </m:sup>
              </m:sSup>
              <m:r>
                <w:rPr>
                  <w:rFonts w:ascii="Cambria Math" w:eastAsia="NSimSun" w:hAnsi="Cambria Math" w:cs="Arial"/>
                  <w:sz w:val="20"/>
                  <w:szCs w:val="20"/>
                  <w:lang w:eastAsia="zh-CN" w:bidi="hi-IN"/>
                </w:rPr>
                <m:t>-</m:t>
              </m:r>
              <m:r>
                <w:rPr>
                  <w:rFonts w:ascii="Cambria Math" w:eastAsia="NSimSun" w:hAnsi="Cambria Math" w:cs="Arial"/>
                  <w:sz w:val="20"/>
                  <w:szCs w:val="20"/>
                  <w:lang w:eastAsia="zh-CN" w:bidi="hi-IN"/>
                </w:rPr>
                <m:t>1</m:t>
              </m:r>
            </m:e>
          </m:d>
          <m:r>
            <w:rPr>
              <w:rFonts w:ascii="Cambria Math" w:eastAsia="NSimSun" w:hAnsi="Cambria Math" w:cs="Arial"/>
              <w:sz w:val="20"/>
              <w:szCs w:val="20"/>
              <w:lang w:eastAsia="zh-CN" w:bidi="hi-IN"/>
            </w:rPr>
            <m:t>x</m:t>
          </m:r>
          <m:r>
            <w:rPr>
              <w:rFonts w:ascii="Cambria Math" w:eastAsia="NSimSun" w:hAnsi="Cambria Math" w:cs="Arial"/>
              <w:sz w:val="20"/>
              <w:szCs w:val="20"/>
              <w:lang w:eastAsia="zh-CN" w:bidi="hi-IN"/>
            </w:rPr>
            <m:t>100</m:t>
          </m:r>
        </m:oMath>
      </m:oMathPara>
    </w:p>
    <w:p w14:paraId="2CA450CF" w14:textId="77777777" w:rsidR="00D87A14" w:rsidRDefault="0096682C">
      <w:pPr>
        <w:widowControl/>
        <w:spacing w:before="120"/>
        <w:ind w:firstLine="709"/>
        <w:jc w:val="both"/>
        <w:rPr>
          <w:sz w:val="20"/>
          <w:szCs w:val="20"/>
        </w:rPr>
      </w:pPr>
      <w:r>
        <w:rPr>
          <w:rFonts w:eastAsia="NSimSun" w:cs="Arial"/>
          <w:sz w:val="20"/>
          <w:szCs w:val="20"/>
          <w:highlight w:val="white"/>
          <w:lang w:eastAsia="zh-CN"/>
        </w:rPr>
        <w:t>Os dados foram tabulados e organizados em aplicativos de planilha eletrônica Excel® e LibreOffice Calc, onde também foram analisados.</w:t>
      </w:r>
    </w:p>
    <w:p w14:paraId="492BAD85" w14:textId="77777777" w:rsidR="00D87A14" w:rsidRDefault="00D87A14">
      <w:pPr>
        <w:widowControl/>
        <w:jc w:val="both"/>
        <w:rPr>
          <w:sz w:val="20"/>
          <w:szCs w:val="20"/>
        </w:rPr>
      </w:pPr>
    </w:p>
    <w:p w14:paraId="2BAC9FA9" w14:textId="77777777" w:rsidR="00D87A14" w:rsidRDefault="0096682C">
      <w:pPr>
        <w:widowControl/>
        <w:jc w:val="both"/>
        <w:rPr>
          <w:sz w:val="20"/>
          <w:szCs w:val="20"/>
        </w:rPr>
      </w:pPr>
      <w:r>
        <w:rPr>
          <w:b/>
          <w:sz w:val="20"/>
          <w:szCs w:val="20"/>
        </w:rPr>
        <w:t>RESULTADOS E DISCUSSÃO</w:t>
      </w:r>
    </w:p>
    <w:p w14:paraId="4A38C5A8" w14:textId="77777777" w:rsidR="00D87A14" w:rsidRDefault="0096682C">
      <w:pPr>
        <w:widowControl/>
        <w:suppressAutoHyphens/>
        <w:ind w:firstLine="709"/>
        <w:jc w:val="both"/>
        <w:rPr>
          <w:rFonts w:eastAsia="NSimSun" w:cs="Arial"/>
          <w:sz w:val="20"/>
          <w:szCs w:val="20"/>
          <w:highlight w:val="yellow"/>
          <w:lang w:eastAsia="zh-CN" w:bidi="hi-IN"/>
        </w:rPr>
      </w:pPr>
      <w:r>
        <w:rPr>
          <w:rFonts w:eastAsia="NSimSun" w:cs="Arial"/>
          <w:sz w:val="20"/>
          <w:szCs w:val="20"/>
          <w:highlight w:val="white"/>
          <w:lang w:eastAsia="zh-CN" w:bidi="hi-IN"/>
        </w:rPr>
        <w:t xml:space="preserve">Durante o período de sete anos, a população de </w:t>
      </w:r>
      <w:r>
        <w:rPr>
          <w:rFonts w:eastAsia="NSimSun" w:cs="Arial"/>
          <w:i/>
          <w:sz w:val="20"/>
          <w:szCs w:val="20"/>
          <w:highlight w:val="white"/>
          <w:lang w:eastAsia="zh-CN" w:bidi="hi-IN"/>
        </w:rPr>
        <w:t>Parkia pendula</w:t>
      </w:r>
      <w:r>
        <w:rPr>
          <w:rFonts w:eastAsia="NSimSun" w:cs="Arial"/>
          <w:sz w:val="20"/>
          <w:szCs w:val="20"/>
          <w:highlight w:val="white"/>
          <w:lang w:eastAsia="zh-CN" w:bidi="hi-IN"/>
        </w:rPr>
        <w:t xml:space="preserve"> variou de 40 para 41 indivíduos, equivalente a uma densidade aproximada de 11,5 ind.ha</w:t>
      </w:r>
      <w:r>
        <w:rPr>
          <w:rFonts w:eastAsia="NSimSun" w:cs="Arial"/>
          <w:sz w:val="20"/>
          <w:szCs w:val="20"/>
          <w:highlight w:val="white"/>
          <w:vertAlign w:val="superscript"/>
          <w:lang w:eastAsia="zh-CN" w:bidi="hi-IN"/>
        </w:rPr>
        <w:t>-1</w:t>
      </w:r>
      <w:r>
        <w:rPr>
          <w:rFonts w:eastAsia="NSimSun" w:cs="Arial"/>
          <w:sz w:val="20"/>
          <w:szCs w:val="20"/>
          <w:highlight w:val="white"/>
          <w:lang w:eastAsia="zh-CN" w:bidi="hi-IN"/>
        </w:rPr>
        <w:t>, com uma taxa de mortalidade de 0,36% ao ano, uma taxa de recrutamento de 0,71% ao ano e uma taxa de muda</w:t>
      </w:r>
      <w:r>
        <w:rPr>
          <w:rFonts w:eastAsia="NSimSun" w:cs="Arial"/>
          <w:sz w:val="20"/>
          <w:szCs w:val="20"/>
          <w:highlight w:val="white"/>
          <w:lang w:eastAsia="zh-CN" w:bidi="hi-IN"/>
        </w:rPr>
        <w:t xml:space="preserve">nça líquida positiva de 0,35% ao ano (Tabela 1). Esses </w:t>
      </w:r>
      <w:r>
        <w:rPr>
          <w:rFonts w:eastAsia="NSimSun" w:cs="Arial"/>
          <w:sz w:val="20"/>
          <w:szCs w:val="20"/>
          <w:highlight w:val="white"/>
          <w:lang w:eastAsia="zh-CN" w:bidi="hi-IN"/>
        </w:rPr>
        <w:lastRenderedPageBreak/>
        <w:t>resultados indicam uma relativa estabilidade na dinâmica populacional da espécie na área, duas décadas após o processo de recuperação.</w:t>
      </w:r>
    </w:p>
    <w:p w14:paraId="7F039325" w14:textId="77777777" w:rsidR="00D87A14" w:rsidRDefault="0096682C">
      <w:pPr>
        <w:widowControl/>
        <w:suppressAutoHyphens/>
        <w:ind w:firstLine="709"/>
        <w:jc w:val="both"/>
        <w:rPr>
          <w:rFonts w:eastAsia="NSimSun" w:cs="Arial"/>
          <w:sz w:val="20"/>
          <w:szCs w:val="20"/>
          <w:highlight w:val="white"/>
          <w:lang w:eastAsia="zh-CN" w:bidi="hi-IN"/>
        </w:rPr>
      </w:pPr>
      <w:r>
        <w:rPr>
          <w:rFonts w:eastAsia="NSimSun" w:cs="Arial"/>
          <w:sz w:val="20"/>
          <w:szCs w:val="20"/>
          <w:highlight w:val="white"/>
          <w:lang w:eastAsia="zh-CN" w:bidi="hi-IN"/>
        </w:rPr>
        <w:t xml:space="preserve">A taxa de recrutamento de adultos observada para </w:t>
      </w:r>
      <w:r>
        <w:rPr>
          <w:rFonts w:eastAsia="NSimSun" w:cs="Arial"/>
          <w:i/>
          <w:sz w:val="20"/>
          <w:szCs w:val="20"/>
          <w:highlight w:val="white"/>
          <w:lang w:eastAsia="zh-CN" w:bidi="hi-IN"/>
        </w:rPr>
        <w:t>Parkia pendula</w:t>
      </w:r>
      <w:r>
        <w:rPr>
          <w:rFonts w:eastAsia="NSimSun" w:cs="Arial"/>
          <w:sz w:val="20"/>
          <w:szCs w:val="20"/>
          <w:highlight w:val="white"/>
          <w:lang w:eastAsia="zh-CN" w:bidi="hi-IN"/>
        </w:rPr>
        <w:t xml:space="preserve"> po</w:t>
      </w:r>
      <w:r>
        <w:rPr>
          <w:rFonts w:eastAsia="NSimSun" w:cs="Arial"/>
          <w:sz w:val="20"/>
          <w:szCs w:val="20"/>
          <w:highlight w:val="white"/>
          <w:lang w:eastAsia="zh-CN" w:bidi="hi-IN"/>
        </w:rPr>
        <w:t xml:space="preserve">de ser reflexo de baixos índices de regeneração natural da espécie na área. Essa hipótese foi corroborada por um estudo prévio realizado no </w:t>
      </w:r>
      <w:r>
        <w:rPr>
          <w:rFonts w:eastAsia="NSimSun" w:cs="Arial"/>
          <w:i/>
          <w:sz w:val="20"/>
          <w:szCs w:val="20"/>
          <w:highlight w:val="white"/>
          <w:lang w:eastAsia="zh-CN" w:bidi="hi-IN"/>
        </w:rPr>
        <w:t>Arboretum</w:t>
      </w:r>
      <w:r>
        <w:rPr>
          <w:rFonts w:eastAsia="NSimSun" w:cs="Arial"/>
          <w:sz w:val="20"/>
          <w:szCs w:val="20"/>
          <w:highlight w:val="white"/>
          <w:lang w:eastAsia="zh-CN" w:bidi="hi-IN"/>
        </w:rPr>
        <w:t xml:space="preserve">, no qual a </w:t>
      </w:r>
      <w:r>
        <w:rPr>
          <w:rFonts w:eastAsia="NSimSun" w:cs="Arial"/>
          <w:i/>
          <w:sz w:val="20"/>
          <w:szCs w:val="20"/>
          <w:highlight w:val="white"/>
          <w:lang w:eastAsia="zh-CN" w:bidi="hi-IN"/>
        </w:rPr>
        <w:t>P. pendula</w:t>
      </w:r>
      <w:r>
        <w:rPr>
          <w:rFonts w:eastAsia="NSimSun" w:cs="Arial"/>
          <w:sz w:val="20"/>
          <w:szCs w:val="20"/>
          <w:highlight w:val="white"/>
          <w:lang w:eastAsia="zh-CN" w:bidi="hi-IN"/>
        </w:rPr>
        <w:t xml:space="preserve"> registrou uma das menores densidades absolutas entre os regenerantes (2,1 ind.ha</w:t>
      </w:r>
      <w:r>
        <w:rPr>
          <w:rFonts w:eastAsia="NSimSun" w:cs="Arial"/>
          <w:sz w:val="20"/>
          <w:szCs w:val="20"/>
          <w:highlight w:val="white"/>
          <w:vertAlign w:val="superscript"/>
          <w:lang w:eastAsia="zh-CN" w:bidi="hi-IN"/>
        </w:rPr>
        <w:t>-1</w:t>
      </w:r>
      <w:r>
        <w:rPr>
          <w:rFonts w:eastAsia="NSimSun" w:cs="Arial"/>
          <w:sz w:val="20"/>
          <w:szCs w:val="20"/>
          <w:highlight w:val="white"/>
          <w:lang w:eastAsia="zh-CN" w:bidi="hi-IN"/>
        </w:rPr>
        <w:t xml:space="preserve">) </w:t>
      </w:r>
      <w:r>
        <w:rPr>
          <w:rFonts w:eastAsia="NSimSun" w:cs="Arial"/>
          <w:sz w:val="20"/>
          <w:szCs w:val="20"/>
          <w:highlight w:val="white"/>
          <w:lang w:eastAsia="zh-CN" w:bidi="hi-IN"/>
        </w:rPr>
        <w:t>e uma contribuição muito reduzida para a regeneração natural total (0,2%), além de integrar um grupo de espécies que ocorreu exclusivamente em uma única classe de altura (SILVA et al., 2022). Assim, embora a população adulta da espécie se mantenha relativa</w:t>
      </w:r>
      <w:r>
        <w:rPr>
          <w:rFonts w:eastAsia="NSimSun" w:cs="Arial"/>
          <w:sz w:val="20"/>
          <w:szCs w:val="20"/>
          <w:highlight w:val="white"/>
          <w:lang w:eastAsia="zh-CN" w:bidi="hi-IN"/>
        </w:rPr>
        <w:t>mente estável no curto prazo, os resultados sugerem uma limitação em sua capacidade de expansão populacional, caso as condições atuais de regeneração persistam.</w:t>
      </w:r>
    </w:p>
    <w:p w14:paraId="4730FFD5" w14:textId="77777777" w:rsidR="00D87A14" w:rsidRDefault="00D87A14">
      <w:pPr>
        <w:widowControl/>
        <w:suppressAutoHyphens/>
        <w:ind w:left="851"/>
        <w:jc w:val="both"/>
        <w:rPr>
          <w:rFonts w:eastAsia="NSimSun" w:cs="Arial"/>
          <w:sz w:val="20"/>
          <w:szCs w:val="20"/>
          <w:shd w:val="clear" w:color="auto" w:fill="B2B2B2"/>
          <w:lang w:eastAsia="zh-CN" w:bidi="hi-IN"/>
        </w:rPr>
      </w:pPr>
    </w:p>
    <w:p w14:paraId="3DD35EED" w14:textId="77777777" w:rsidR="00D87A14" w:rsidRDefault="0096682C">
      <w:pPr>
        <w:widowControl/>
        <w:suppressAutoHyphens/>
        <w:ind w:left="851"/>
        <w:jc w:val="both"/>
        <w:rPr>
          <w:rFonts w:eastAsia="NSimSun" w:cs="Arial"/>
          <w:sz w:val="20"/>
          <w:szCs w:val="20"/>
          <w:highlight w:val="white"/>
          <w:lang w:eastAsia="zh-CN" w:bidi="hi-IN"/>
        </w:rPr>
      </w:pPr>
      <w:r>
        <w:rPr>
          <w:rFonts w:eastAsia="NSimSun" w:cs="Arial"/>
          <w:sz w:val="20"/>
          <w:szCs w:val="20"/>
          <w:highlight w:val="white"/>
          <w:lang w:eastAsia="zh-CN" w:bidi="hi-IN"/>
        </w:rPr>
        <w:t xml:space="preserve">Tabela 1. Dinâmica populacional de </w:t>
      </w:r>
      <w:r>
        <w:rPr>
          <w:rFonts w:eastAsia="NSimSun" w:cs="Arial"/>
          <w:i/>
          <w:sz w:val="20"/>
          <w:szCs w:val="20"/>
          <w:highlight w:val="white"/>
          <w:lang w:eastAsia="zh-CN" w:bidi="hi-IN"/>
        </w:rPr>
        <w:t>Parkia pendula</w:t>
      </w:r>
      <w:r>
        <w:rPr>
          <w:rFonts w:eastAsia="NSimSun" w:cs="Arial"/>
          <w:sz w:val="20"/>
          <w:szCs w:val="20"/>
          <w:highlight w:val="white"/>
          <w:lang w:eastAsia="zh-CN" w:bidi="hi-IN"/>
        </w:rPr>
        <w:t xml:space="preserve">, em número de indivíduos e área basal, em um fragmento de floresta nativa recuperada no </w:t>
      </w:r>
      <w:r>
        <w:rPr>
          <w:rFonts w:eastAsia="NSimSun" w:cs="Arial"/>
          <w:i/>
          <w:sz w:val="20"/>
          <w:szCs w:val="20"/>
          <w:highlight w:val="white"/>
          <w:lang w:eastAsia="zh-CN" w:bidi="hi-IN"/>
        </w:rPr>
        <w:t>Arboretum</w:t>
      </w:r>
      <w:r>
        <w:rPr>
          <w:rFonts w:eastAsia="NSimSun" w:cs="Arial"/>
          <w:sz w:val="20"/>
          <w:szCs w:val="20"/>
          <w:highlight w:val="white"/>
          <w:lang w:eastAsia="zh-CN" w:bidi="hi-IN"/>
        </w:rPr>
        <w:t xml:space="preserve"> de Alagoas, Maceió-AL.</w:t>
      </w:r>
    </w:p>
    <w:tbl>
      <w:tblPr>
        <w:tblW w:w="6435" w:type="dxa"/>
        <w:tblInd w:w="929" w:type="dxa"/>
        <w:tblLayout w:type="fixed"/>
        <w:tblLook w:val="04A0" w:firstRow="1" w:lastRow="0" w:firstColumn="1" w:lastColumn="0" w:noHBand="0" w:noVBand="1"/>
      </w:tblPr>
      <w:tblGrid>
        <w:gridCol w:w="4595"/>
        <w:gridCol w:w="1840"/>
      </w:tblGrid>
      <w:tr w:rsidR="00D87A14" w14:paraId="21EB2BA1" w14:textId="77777777">
        <w:trPr>
          <w:trHeight w:val="227"/>
        </w:trPr>
        <w:tc>
          <w:tcPr>
            <w:tcW w:w="4600" w:type="dxa"/>
            <w:tcBorders>
              <w:top w:val="single" w:sz="4" w:space="0" w:color="auto"/>
              <w:left w:val="nil"/>
              <w:bottom w:val="single" w:sz="4" w:space="0" w:color="auto"/>
              <w:right w:val="nil"/>
            </w:tcBorders>
            <w:vAlign w:val="center"/>
          </w:tcPr>
          <w:p w14:paraId="70ED8E0D" w14:textId="77777777" w:rsidR="00D87A14" w:rsidRDefault="0096682C">
            <w:pPr>
              <w:widowControl/>
              <w:suppressAutoHyphens/>
              <w:jc w:val="both"/>
              <w:rPr>
                <w:rFonts w:eastAsia="NSimSun" w:cs="Arial"/>
                <w:sz w:val="20"/>
                <w:szCs w:val="20"/>
                <w:lang w:eastAsia="zh-CN" w:bidi="hi-IN"/>
              </w:rPr>
            </w:pPr>
            <w:r>
              <w:rPr>
                <w:rFonts w:eastAsia="NSimSun" w:cs="Arial"/>
                <w:sz w:val="20"/>
                <w:szCs w:val="20"/>
                <w:lang w:eastAsia="zh-CN" w:bidi="hi-IN"/>
              </w:rPr>
              <w:t>Número de parcelas (N)</w:t>
            </w:r>
          </w:p>
        </w:tc>
        <w:tc>
          <w:tcPr>
            <w:tcW w:w="1842" w:type="dxa"/>
            <w:tcBorders>
              <w:top w:val="single" w:sz="4" w:space="0" w:color="auto"/>
              <w:left w:val="nil"/>
              <w:bottom w:val="single" w:sz="4" w:space="0" w:color="auto"/>
              <w:right w:val="nil"/>
            </w:tcBorders>
            <w:vAlign w:val="center"/>
          </w:tcPr>
          <w:p w14:paraId="646F6E66"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88</w:t>
            </w:r>
          </w:p>
        </w:tc>
      </w:tr>
      <w:tr w:rsidR="00D87A14" w14:paraId="247CF2C4" w14:textId="77777777">
        <w:trPr>
          <w:trHeight w:val="227"/>
        </w:trPr>
        <w:tc>
          <w:tcPr>
            <w:tcW w:w="4600" w:type="dxa"/>
            <w:vAlign w:val="center"/>
          </w:tcPr>
          <w:p w14:paraId="55F57A88" w14:textId="77777777" w:rsidR="00D87A14" w:rsidRDefault="0096682C">
            <w:pPr>
              <w:widowControl/>
              <w:suppressAutoHyphens/>
              <w:ind w:hanging="42"/>
              <w:jc w:val="both"/>
              <w:rPr>
                <w:rFonts w:eastAsia="NSimSun" w:cs="Arial"/>
                <w:sz w:val="20"/>
                <w:szCs w:val="20"/>
                <w:lang w:eastAsia="zh-CN" w:bidi="hi-IN"/>
              </w:rPr>
            </w:pPr>
            <w:r>
              <w:rPr>
                <w:rFonts w:eastAsia="NSimSun" w:cs="Arial"/>
                <w:sz w:val="20"/>
                <w:szCs w:val="20"/>
                <w:lang w:eastAsia="zh-CN" w:bidi="hi-IN"/>
              </w:rPr>
              <w:t xml:space="preserve">Nº de indivíduos </w:t>
            </w:r>
            <w:r>
              <w:rPr>
                <w:rFonts w:eastAsia="NSimSun" w:cs="Arial"/>
                <w:sz w:val="20"/>
                <w:szCs w:val="20"/>
                <w:highlight w:val="white"/>
                <w:lang w:eastAsia="zh-CN" w:bidi="hi-IN"/>
              </w:rPr>
              <w:t>—</w:t>
            </w:r>
            <w:r>
              <w:rPr>
                <w:rFonts w:eastAsia="NSimSun" w:cs="Arial"/>
                <w:sz w:val="20"/>
                <w:szCs w:val="20"/>
                <w:lang w:eastAsia="zh-CN" w:bidi="hi-IN"/>
              </w:rPr>
              <w:t xml:space="preserve"> 2018</w:t>
            </w:r>
          </w:p>
        </w:tc>
        <w:tc>
          <w:tcPr>
            <w:tcW w:w="1842" w:type="dxa"/>
            <w:vAlign w:val="center"/>
          </w:tcPr>
          <w:p w14:paraId="456A9257"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40</w:t>
            </w:r>
          </w:p>
        </w:tc>
      </w:tr>
      <w:tr w:rsidR="00D87A14" w14:paraId="1D3F2D3A" w14:textId="77777777">
        <w:trPr>
          <w:trHeight w:val="227"/>
        </w:trPr>
        <w:tc>
          <w:tcPr>
            <w:tcW w:w="4600" w:type="dxa"/>
            <w:vAlign w:val="center"/>
          </w:tcPr>
          <w:p w14:paraId="687A16E7" w14:textId="77777777" w:rsidR="00D87A14" w:rsidRDefault="0096682C">
            <w:pPr>
              <w:widowControl/>
              <w:suppressAutoHyphens/>
              <w:ind w:hanging="42"/>
              <w:jc w:val="both"/>
              <w:rPr>
                <w:rFonts w:eastAsia="NSimSun" w:cs="Arial"/>
                <w:sz w:val="20"/>
                <w:szCs w:val="20"/>
                <w:lang w:eastAsia="zh-CN" w:bidi="hi-IN"/>
              </w:rPr>
            </w:pPr>
            <w:r>
              <w:rPr>
                <w:rFonts w:eastAsia="NSimSun" w:cs="Arial"/>
                <w:sz w:val="20"/>
                <w:szCs w:val="20"/>
                <w:lang w:eastAsia="zh-CN" w:bidi="hi-IN"/>
              </w:rPr>
              <w:t xml:space="preserve">Nº de indivíduos </w:t>
            </w:r>
            <w:r>
              <w:rPr>
                <w:rFonts w:eastAsia="NSimSun" w:cs="Arial"/>
                <w:sz w:val="20"/>
                <w:szCs w:val="20"/>
                <w:highlight w:val="white"/>
                <w:lang w:eastAsia="zh-CN" w:bidi="hi-IN"/>
              </w:rPr>
              <w:t>—</w:t>
            </w:r>
            <w:r>
              <w:rPr>
                <w:rFonts w:eastAsia="NSimSun" w:cs="Arial"/>
                <w:sz w:val="20"/>
                <w:szCs w:val="20"/>
                <w:lang w:eastAsia="zh-CN" w:bidi="hi-IN"/>
              </w:rPr>
              <w:t xml:space="preserve"> 2025</w:t>
            </w:r>
          </w:p>
        </w:tc>
        <w:tc>
          <w:tcPr>
            <w:tcW w:w="1842" w:type="dxa"/>
            <w:vAlign w:val="center"/>
          </w:tcPr>
          <w:p w14:paraId="2ECD839F"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41</w:t>
            </w:r>
          </w:p>
        </w:tc>
      </w:tr>
      <w:tr w:rsidR="00D87A14" w14:paraId="13EE2359" w14:textId="77777777">
        <w:trPr>
          <w:trHeight w:val="227"/>
        </w:trPr>
        <w:tc>
          <w:tcPr>
            <w:tcW w:w="4600" w:type="dxa"/>
            <w:vAlign w:val="center"/>
          </w:tcPr>
          <w:p w14:paraId="1BB6C1F8" w14:textId="77777777" w:rsidR="00D87A14" w:rsidRDefault="0096682C">
            <w:pPr>
              <w:widowControl/>
              <w:suppressAutoHyphens/>
              <w:ind w:hanging="42"/>
              <w:jc w:val="both"/>
              <w:rPr>
                <w:rFonts w:eastAsia="NSimSun" w:cs="Arial"/>
                <w:sz w:val="20"/>
                <w:szCs w:val="20"/>
                <w:lang w:eastAsia="zh-CN" w:bidi="hi-IN"/>
              </w:rPr>
            </w:pPr>
            <w:r>
              <w:rPr>
                <w:rFonts w:eastAsia="NSimSun" w:cs="Arial"/>
                <w:sz w:val="20"/>
                <w:szCs w:val="20"/>
                <w:lang w:eastAsia="zh-CN" w:bidi="hi-IN"/>
              </w:rPr>
              <w:t>Indivíduos sobreviventes em 2025</w:t>
            </w:r>
          </w:p>
        </w:tc>
        <w:tc>
          <w:tcPr>
            <w:tcW w:w="1842" w:type="dxa"/>
            <w:vAlign w:val="center"/>
          </w:tcPr>
          <w:p w14:paraId="4D3C0DE7"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39</w:t>
            </w:r>
          </w:p>
        </w:tc>
      </w:tr>
      <w:tr w:rsidR="00D87A14" w14:paraId="4975AB18" w14:textId="77777777">
        <w:trPr>
          <w:trHeight w:val="227"/>
        </w:trPr>
        <w:tc>
          <w:tcPr>
            <w:tcW w:w="4600" w:type="dxa"/>
            <w:vAlign w:val="center"/>
          </w:tcPr>
          <w:p w14:paraId="31CECB4D" w14:textId="77777777" w:rsidR="00D87A14" w:rsidRDefault="0096682C">
            <w:pPr>
              <w:widowControl/>
              <w:suppressAutoHyphens/>
              <w:ind w:hanging="42"/>
              <w:jc w:val="both"/>
              <w:rPr>
                <w:rFonts w:eastAsia="NSimSun" w:cs="Arial"/>
                <w:sz w:val="20"/>
                <w:szCs w:val="20"/>
                <w:lang w:eastAsia="zh-CN" w:bidi="hi-IN"/>
              </w:rPr>
            </w:pPr>
            <w:r>
              <w:rPr>
                <w:rFonts w:eastAsia="NSimSun" w:cs="Arial"/>
                <w:sz w:val="20"/>
                <w:szCs w:val="20"/>
                <w:lang w:eastAsia="zh-CN" w:bidi="hi-IN"/>
              </w:rPr>
              <w:t xml:space="preserve">Indivíduos mortos </w:t>
            </w:r>
            <w:r>
              <w:rPr>
                <w:rFonts w:eastAsia="NSimSun" w:cs="Arial"/>
                <w:sz w:val="20"/>
                <w:szCs w:val="20"/>
                <w:highlight w:val="white"/>
                <w:lang w:eastAsia="zh-CN" w:bidi="hi-IN"/>
              </w:rPr>
              <w:t>—</w:t>
            </w:r>
            <w:r>
              <w:rPr>
                <w:rFonts w:eastAsia="NSimSun" w:cs="Arial"/>
                <w:sz w:val="20"/>
                <w:szCs w:val="20"/>
                <w:lang w:eastAsia="zh-CN" w:bidi="hi-IN"/>
              </w:rPr>
              <w:t xml:space="preserve"> 2025</w:t>
            </w:r>
          </w:p>
        </w:tc>
        <w:tc>
          <w:tcPr>
            <w:tcW w:w="1842" w:type="dxa"/>
            <w:vAlign w:val="center"/>
          </w:tcPr>
          <w:p w14:paraId="655A04C3"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1</w:t>
            </w:r>
          </w:p>
        </w:tc>
      </w:tr>
      <w:tr w:rsidR="00D87A14" w14:paraId="02FB0F8C" w14:textId="77777777">
        <w:trPr>
          <w:trHeight w:val="227"/>
        </w:trPr>
        <w:tc>
          <w:tcPr>
            <w:tcW w:w="4600" w:type="dxa"/>
            <w:vAlign w:val="center"/>
          </w:tcPr>
          <w:p w14:paraId="42319408" w14:textId="77777777" w:rsidR="00D87A14" w:rsidRDefault="0096682C">
            <w:pPr>
              <w:widowControl/>
              <w:suppressAutoHyphens/>
              <w:ind w:hanging="42"/>
              <w:jc w:val="both"/>
              <w:rPr>
                <w:rFonts w:eastAsia="NSimSun" w:cs="Arial"/>
                <w:sz w:val="20"/>
                <w:szCs w:val="20"/>
                <w:lang w:eastAsia="zh-CN" w:bidi="hi-IN"/>
              </w:rPr>
            </w:pPr>
            <w:r>
              <w:rPr>
                <w:rFonts w:eastAsia="NSimSun" w:cs="Arial"/>
                <w:sz w:val="20"/>
                <w:szCs w:val="20"/>
                <w:lang w:eastAsia="zh-CN" w:bidi="hi-IN"/>
              </w:rPr>
              <w:t xml:space="preserve">Indivíduos recrutas </w:t>
            </w:r>
            <w:r>
              <w:rPr>
                <w:rFonts w:eastAsia="NSimSun" w:cs="Arial"/>
                <w:sz w:val="20"/>
                <w:szCs w:val="20"/>
                <w:highlight w:val="white"/>
                <w:lang w:eastAsia="zh-CN" w:bidi="hi-IN"/>
              </w:rPr>
              <w:t>—</w:t>
            </w:r>
            <w:r>
              <w:rPr>
                <w:rFonts w:eastAsia="NSimSun" w:cs="Arial"/>
                <w:sz w:val="20"/>
                <w:szCs w:val="20"/>
                <w:lang w:eastAsia="zh-CN" w:bidi="hi-IN"/>
              </w:rPr>
              <w:t xml:space="preserve"> 2025</w:t>
            </w:r>
          </w:p>
        </w:tc>
        <w:tc>
          <w:tcPr>
            <w:tcW w:w="1842" w:type="dxa"/>
            <w:vAlign w:val="center"/>
          </w:tcPr>
          <w:p w14:paraId="0308C85B"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2</w:t>
            </w:r>
          </w:p>
        </w:tc>
      </w:tr>
      <w:tr w:rsidR="00D87A14" w14:paraId="22F7A4AC" w14:textId="77777777">
        <w:trPr>
          <w:trHeight w:val="227"/>
        </w:trPr>
        <w:tc>
          <w:tcPr>
            <w:tcW w:w="4600" w:type="dxa"/>
            <w:vAlign w:val="center"/>
          </w:tcPr>
          <w:p w14:paraId="74902215" w14:textId="77777777" w:rsidR="00D87A14" w:rsidRDefault="0096682C">
            <w:pPr>
              <w:widowControl/>
              <w:suppressAutoHyphens/>
              <w:ind w:hanging="42"/>
              <w:jc w:val="both"/>
              <w:rPr>
                <w:rFonts w:eastAsia="NSimSun" w:cs="Arial"/>
                <w:sz w:val="20"/>
                <w:szCs w:val="20"/>
                <w:lang w:eastAsia="zh-CN" w:bidi="hi-IN"/>
              </w:rPr>
            </w:pPr>
            <w:r>
              <w:rPr>
                <w:rFonts w:eastAsia="NSimSun" w:cs="Arial"/>
                <w:sz w:val="20"/>
                <w:szCs w:val="20"/>
                <w:lang w:eastAsia="zh-CN" w:bidi="hi-IN"/>
              </w:rPr>
              <w:t>Taxa de mortalidade 2018-2025 (%.ano</w:t>
            </w:r>
            <w:r>
              <w:rPr>
                <w:rFonts w:eastAsia="NSimSun" w:cs="Arial"/>
                <w:sz w:val="20"/>
                <w:szCs w:val="20"/>
                <w:vertAlign w:val="superscript"/>
                <w:lang w:eastAsia="zh-CN" w:bidi="hi-IN"/>
              </w:rPr>
              <w:t>-1</w:t>
            </w:r>
            <w:r>
              <w:rPr>
                <w:rFonts w:eastAsia="NSimSun" w:cs="Arial"/>
                <w:sz w:val="20"/>
                <w:szCs w:val="20"/>
                <w:lang w:eastAsia="zh-CN" w:bidi="hi-IN"/>
              </w:rPr>
              <w:t>)</w:t>
            </w:r>
          </w:p>
        </w:tc>
        <w:tc>
          <w:tcPr>
            <w:tcW w:w="1842" w:type="dxa"/>
            <w:vAlign w:val="center"/>
          </w:tcPr>
          <w:p w14:paraId="5878879E"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0,36</w:t>
            </w:r>
          </w:p>
        </w:tc>
      </w:tr>
      <w:tr w:rsidR="00D87A14" w14:paraId="7EDED0AB" w14:textId="77777777">
        <w:trPr>
          <w:trHeight w:val="227"/>
        </w:trPr>
        <w:tc>
          <w:tcPr>
            <w:tcW w:w="4600" w:type="dxa"/>
            <w:vAlign w:val="center"/>
          </w:tcPr>
          <w:p w14:paraId="11752005" w14:textId="77777777" w:rsidR="00D87A14" w:rsidRDefault="0096682C">
            <w:pPr>
              <w:widowControl/>
              <w:suppressAutoHyphens/>
              <w:ind w:hanging="42"/>
              <w:jc w:val="both"/>
              <w:rPr>
                <w:rFonts w:eastAsia="NSimSun" w:cs="Arial"/>
                <w:sz w:val="20"/>
                <w:szCs w:val="20"/>
                <w:lang w:eastAsia="zh-CN" w:bidi="hi-IN"/>
              </w:rPr>
            </w:pPr>
            <w:r>
              <w:rPr>
                <w:rFonts w:eastAsia="NSimSun" w:cs="Arial"/>
                <w:sz w:val="20"/>
                <w:szCs w:val="20"/>
                <w:lang w:eastAsia="zh-CN" w:bidi="hi-IN"/>
              </w:rPr>
              <w:t>Taxa de recrutamento 2018-2025 (%.ano</w:t>
            </w:r>
            <w:r>
              <w:rPr>
                <w:rFonts w:eastAsia="NSimSun" w:cs="Arial"/>
                <w:sz w:val="20"/>
                <w:szCs w:val="20"/>
                <w:vertAlign w:val="superscript"/>
                <w:lang w:eastAsia="zh-CN" w:bidi="hi-IN"/>
              </w:rPr>
              <w:t>-1</w:t>
            </w:r>
            <w:r>
              <w:rPr>
                <w:rFonts w:eastAsia="NSimSun" w:cs="Arial"/>
                <w:sz w:val="20"/>
                <w:szCs w:val="20"/>
                <w:lang w:eastAsia="zh-CN" w:bidi="hi-IN"/>
              </w:rPr>
              <w:t>)</w:t>
            </w:r>
          </w:p>
        </w:tc>
        <w:tc>
          <w:tcPr>
            <w:tcW w:w="1842" w:type="dxa"/>
            <w:vAlign w:val="center"/>
          </w:tcPr>
          <w:p w14:paraId="555A28DF"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0,71</w:t>
            </w:r>
          </w:p>
        </w:tc>
      </w:tr>
      <w:tr w:rsidR="00D87A14" w14:paraId="18766613" w14:textId="77777777">
        <w:trPr>
          <w:trHeight w:val="227"/>
        </w:trPr>
        <w:tc>
          <w:tcPr>
            <w:tcW w:w="4600" w:type="dxa"/>
            <w:vAlign w:val="center"/>
          </w:tcPr>
          <w:p w14:paraId="44F83246" w14:textId="77777777" w:rsidR="00D87A14" w:rsidRDefault="0096682C">
            <w:pPr>
              <w:widowControl/>
              <w:suppressAutoHyphens/>
              <w:ind w:hanging="42"/>
              <w:jc w:val="both"/>
              <w:rPr>
                <w:rFonts w:eastAsia="NSimSun" w:cs="Arial"/>
                <w:sz w:val="20"/>
                <w:szCs w:val="20"/>
                <w:lang w:eastAsia="zh-CN" w:bidi="hi-IN"/>
              </w:rPr>
            </w:pPr>
            <w:r>
              <w:rPr>
                <w:rFonts w:eastAsia="NSimSun" w:cs="Arial"/>
                <w:sz w:val="20"/>
                <w:szCs w:val="20"/>
                <w:lang w:eastAsia="zh-CN" w:bidi="hi-IN"/>
              </w:rPr>
              <w:t>Taxa de rotatividade 2018-2025 (%.ano</w:t>
            </w:r>
            <w:r>
              <w:rPr>
                <w:rFonts w:eastAsia="NSimSun" w:cs="Arial"/>
                <w:sz w:val="20"/>
                <w:szCs w:val="20"/>
                <w:vertAlign w:val="superscript"/>
                <w:lang w:eastAsia="zh-CN" w:bidi="hi-IN"/>
              </w:rPr>
              <w:t>-1</w:t>
            </w:r>
            <w:r>
              <w:rPr>
                <w:rFonts w:eastAsia="NSimSun" w:cs="Arial"/>
                <w:sz w:val="20"/>
                <w:szCs w:val="20"/>
                <w:lang w:eastAsia="zh-CN" w:bidi="hi-IN"/>
              </w:rPr>
              <w:t>)</w:t>
            </w:r>
          </w:p>
        </w:tc>
        <w:tc>
          <w:tcPr>
            <w:tcW w:w="1842" w:type="dxa"/>
            <w:vAlign w:val="center"/>
          </w:tcPr>
          <w:p w14:paraId="00AD6E8A"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0,54</w:t>
            </w:r>
          </w:p>
        </w:tc>
      </w:tr>
      <w:tr w:rsidR="00D87A14" w14:paraId="48C484EE" w14:textId="77777777">
        <w:trPr>
          <w:trHeight w:val="227"/>
        </w:trPr>
        <w:tc>
          <w:tcPr>
            <w:tcW w:w="4600" w:type="dxa"/>
            <w:vAlign w:val="center"/>
          </w:tcPr>
          <w:p w14:paraId="11369463" w14:textId="77777777" w:rsidR="00D87A14" w:rsidRDefault="0096682C">
            <w:pPr>
              <w:widowControl/>
              <w:suppressAutoHyphens/>
              <w:ind w:hanging="42"/>
              <w:jc w:val="both"/>
              <w:rPr>
                <w:rFonts w:eastAsia="NSimSun" w:cs="Arial"/>
                <w:sz w:val="20"/>
                <w:szCs w:val="20"/>
                <w:lang w:eastAsia="zh-CN" w:bidi="hi-IN"/>
              </w:rPr>
            </w:pPr>
            <w:r>
              <w:rPr>
                <w:rFonts w:eastAsia="NSimSun" w:cs="Arial"/>
                <w:sz w:val="20"/>
                <w:szCs w:val="20"/>
                <w:lang w:eastAsia="zh-CN" w:bidi="hi-IN"/>
              </w:rPr>
              <w:t>Taxa de mudança 2018-2025 (%.ano</w:t>
            </w:r>
            <w:r>
              <w:rPr>
                <w:rFonts w:eastAsia="NSimSun" w:cs="Arial"/>
                <w:sz w:val="20"/>
                <w:szCs w:val="20"/>
                <w:vertAlign w:val="superscript"/>
                <w:lang w:eastAsia="zh-CN" w:bidi="hi-IN"/>
              </w:rPr>
              <w:t>-1</w:t>
            </w:r>
            <w:r>
              <w:rPr>
                <w:rFonts w:eastAsia="NSimSun" w:cs="Arial"/>
                <w:sz w:val="20"/>
                <w:szCs w:val="20"/>
                <w:lang w:eastAsia="zh-CN" w:bidi="hi-IN"/>
              </w:rPr>
              <w:t>)</w:t>
            </w:r>
          </w:p>
        </w:tc>
        <w:tc>
          <w:tcPr>
            <w:tcW w:w="1842" w:type="dxa"/>
            <w:vAlign w:val="center"/>
          </w:tcPr>
          <w:p w14:paraId="75E762C1"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0,35</w:t>
            </w:r>
          </w:p>
        </w:tc>
      </w:tr>
      <w:tr w:rsidR="00D87A14" w14:paraId="62A8784C" w14:textId="77777777">
        <w:trPr>
          <w:trHeight w:val="227"/>
        </w:trPr>
        <w:tc>
          <w:tcPr>
            <w:tcW w:w="6442" w:type="dxa"/>
            <w:gridSpan w:val="2"/>
            <w:tcBorders>
              <w:top w:val="single" w:sz="4" w:space="0" w:color="auto"/>
              <w:left w:val="nil"/>
              <w:bottom w:val="nil"/>
              <w:right w:val="nil"/>
            </w:tcBorders>
            <w:vAlign w:val="center"/>
          </w:tcPr>
          <w:p w14:paraId="362C759A" w14:textId="77777777" w:rsidR="00D87A14" w:rsidRDefault="0096682C">
            <w:pPr>
              <w:widowControl/>
              <w:suppressAutoHyphens/>
              <w:ind w:left="-42"/>
              <w:jc w:val="both"/>
              <w:rPr>
                <w:rFonts w:eastAsia="NSimSun" w:cs="Arial"/>
                <w:sz w:val="20"/>
                <w:szCs w:val="20"/>
                <w:shd w:val="clear" w:color="auto" w:fill="B2B2B2"/>
                <w:lang w:eastAsia="zh-CN" w:bidi="hi-IN"/>
              </w:rPr>
            </w:pPr>
            <w:r>
              <w:rPr>
                <w:rFonts w:eastAsia="NSimSun" w:cs="Arial"/>
                <w:sz w:val="20"/>
                <w:szCs w:val="20"/>
                <w:highlight w:val="white"/>
                <w:lang w:eastAsia="zh-CN" w:bidi="hi-IN"/>
              </w:rPr>
              <w:t>Área basal:</w:t>
            </w:r>
          </w:p>
        </w:tc>
      </w:tr>
      <w:tr w:rsidR="00D87A14" w14:paraId="388B3747" w14:textId="77777777">
        <w:trPr>
          <w:trHeight w:val="227"/>
        </w:trPr>
        <w:tc>
          <w:tcPr>
            <w:tcW w:w="4600" w:type="dxa"/>
            <w:vAlign w:val="center"/>
          </w:tcPr>
          <w:p w14:paraId="741BF644"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Inventário de 2018 (m</w:t>
            </w:r>
            <w:r>
              <w:rPr>
                <w:rFonts w:eastAsia="NSimSun" w:cs="Arial"/>
                <w:sz w:val="20"/>
                <w:szCs w:val="20"/>
                <w:vertAlign w:val="superscript"/>
                <w:lang w:eastAsia="zh-CN" w:bidi="hi-IN"/>
              </w:rPr>
              <w:t>2</w:t>
            </w:r>
            <w:r>
              <w:rPr>
                <w:rFonts w:eastAsia="NSimSun" w:cs="Arial"/>
                <w:sz w:val="20"/>
                <w:szCs w:val="20"/>
                <w:lang w:eastAsia="zh-CN" w:bidi="hi-IN"/>
              </w:rPr>
              <w:t>)</w:t>
            </w:r>
          </w:p>
        </w:tc>
        <w:tc>
          <w:tcPr>
            <w:tcW w:w="1842" w:type="dxa"/>
            <w:vAlign w:val="center"/>
          </w:tcPr>
          <w:p w14:paraId="6FC375CD"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0,3780</w:t>
            </w:r>
          </w:p>
        </w:tc>
      </w:tr>
      <w:tr w:rsidR="00D87A14" w14:paraId="6047E761" w14:textId="77777777">
        <w:trPr>
          <w:trHeight w:val="227"/>
        </w:trPr>
        <w:tc>
          <w:tcPr>
            <w:tcW w:w="4600" w:type="dxa"/>
            <w:vAlign w:val="center"/>
          </w:tcPr>
          <w:p w14:paraId="4FD477BB"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Inventário de 2025 (m</w:t>
            </w:r>
            <w:r>
              <w:rPr>
                <w:rFonts w:eastAsia="NSimSun" w:cs="Arial"/>
                <w:sz w:val="20"/>
                <w:szCs w:val="20"/>
                <w:vertAlign w:val="superscript"/>
                <w:lang w:eastAsia="zh-CN" w:bidi="hi-IN"/>
              </w:rPr>
              <w:t>2</w:t>
            </w:r>
            <w:r>
              <w:rPr>
                <w:rFonts w:eastAsia="NSimSun" w:cs="Arial"/>
                <w:sz w:val="20"/>
                <w:szCs w:val="20"/>
                <w:lang w:eastAsia="zh-CN" w:bidi="hi-IN"/>
              </w:rPr>
              <w:t>)</w:t>
            </w:r>
          </w:p>
        </w:tc>
        <w:tc>
          <w:tcPr>
            <w:tcW w:w="1842" w:type="dxa"/>
            <w:vAlign w:val="center"/>
          </w:tcPr>
          <w:p w14:paraId="25023214"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0,8121</w:t>
            </w:r>
          </w:p>
        </w:tc>
      </w:tr>
      <w:tr w:rsidR="00D87A14" w14:paraId="08F7781C" w14:textId="77777777">
        <w:trPr>
          <w:trHeight w:val="227"/>
        </w:trPr>
        <w:tc>
          <w:tcPr>
            <w:tcW w:w="4600" w:type="dxa"/>
            <w:vAlign w:val="center"/>
          </w:tcPr>
          <w:p w14:paraId="41846455"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Mortas em 2025 (m</w:t>
            </w:r>
            <w:r>
              <w:rPr>
                <w:rFonts w:eastAsia="NSimSun" w:cs="Arial"/>
                <w:sz w:val="20"/>
                <w:szCs w:val="20"/>
                <w:vertAlign w:val="superscript"/>
                <w:lang w:eastAsia="zh-CN" w:bidi="hi-IN"/>
              </w:rPr>
              <w:t>2</w:t>
            </w:r>
            <w:r>
              <w:rPr>
                <w:rFonts w:eastAsia="NSimSun" w:cs="Arial"/>
                <w:sz w:val="20"/>
                <w:szCs w:val="20"/>
                <w:lang w:eastAsia="zh-CN" w:bidi="hi-IN"/>
              </w:rPr>
              <w:t>)</w:t>
            </w:r>
          </w:p>
        </w:tc>
        <w:tc>
          <w:tcPr>
            <w:tcW w:w="1842" w:type="dxa"/>
            <w:vAlign w:val="center"/>
          </w:tcPr>
          <w:p w14:paraId="0F09E088"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0,0087</w:t>
            </w:r>
          </w:p>
        </w:tc>
      </w:tr>
      <w:tr w:rsidR="00D87A14" w14:paraId="526A8CBB" w14:textId="77777777">
        <w:trPr>
          <w:trHeight w:val="227"/>
        </w:trPr>
        <w:tc>
          <w:tcPr>
            <w:tcW w:w="4600" w:type="dxa"/>
            <w:vAlign w:val="center"/>
          </w:tcPr>
          <w:p w14:paraId="18C76E37"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Decremento dos sobreviventes em 2025 (m</w:t>
            </w:r>
            <w:r>
              <w:rPr>
                <w:rFonts w:eastAsia="NSimSun" w:cs="Arial"/>
                <w:sz w:val="20"/>
                <w:szCs w:val="20"/>
                <w:vertAlign w:val="superscript"/>
                <w:lang w:eastAsia="zh-CN" w:bidi="hi-IN"/>
              </w:rPr>
              <w:t>2</w:t>
            </w:r>
            <w:r>
              <w:rPr>
                <w:rFonts w:eastAsia="NSimSun" w:cs="Arial"/>
                <w:sz w:val="20"/>
                <w:szCs w:val="20"/>
                <w:lang w:eastAsia="zh-CN" w:bidi="hi-IN"/>
              </w:rPr>
              <w:t>)</w:t>
            </w:r>
          </w:p>
        </w:tc>
        <w:tc>
          <w:tcPr>
            <w:tcW w:w="1842" w:type="dxa"/>
            <w:vAlign w:val="center"/>
          </w:tcPr>
          <w:p w14:paraId="35DBF59E"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0,0000</w:t>
            </w:r>
          </w:p>
        </w:tc>
      </w:tr>
      <w:tr w:rsidR="00D87A14" w14:paraId="18DB58F6" w14:textId="77777777">
        <w:trPr>
          <w:trHeight w:val="227"/>
        </w:trPr>
        <w:tc>
          <w:tcPr>
            <w:tcW w:w="4600" w:type="dxa"/>
            <w:vAlign w:val="center"/>
          </w:tcPr>
          <w:p w14:paraId="5CA5D612"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Recrutas em 2025 (m</w:t>
            </w:r>
            <w:r>
              <w:rPr>
                <w:rFonts w:eastAsia="NSimSun" w:cs="Arial"/>
                <w:sz w:val="20"/>
                <w:szCs w:val="20"/>
                <w:vertAlign w:val="superscript"/>
                <w:lang w:eastAsia="zh-CN" w:bidi="hi-IN"/>
              </w:rPr>
              <w:t>2</w:t>
            </w:r>
            <w:r>
              <w:rPr>
                <w:rFonts w:eastAsia="NSimSun" w:cs="Arial"/>
                <w:sz w:val="20"/>
                <w:szCs w:val="20"/>
                <w:lang w:eastAsia="zh-CN" w:bidi="hi-IN"/>
              </w:rPr>
              <w:t>)</w:t>
            </w:r>
          </w:p>
        </w:tc>
        <w:tc>
          <w:tcPr>
            <w:tcW w:w="1842" w:type="dxa"/>
            <w:vAlign w:val="center"/>
          </w:tcPr>
          <w:p w14:paraId="61125F35"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0,0079</w:t>
            </w:r>
          </w:p>
        </w:tc>
      </w:tr>
      <w:tr w:rsidR="00D87A14" w14:paraId="0379EF79" w14:textId="77777777">
        <w:trPr>
          <w:trHeight w:val="214"/>
        </w:trPr>
        <w:tc>
          <w:tcPr>
            <w:tcW w:w="4600" w:type="dxa"/>
            <w:vAlign w:val="center"/>
          </w:tcPr>
          <w:p w14:paraId="31F08DA4"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Incremento dos sobreviventes em 2025 (m</w:t>
            </w:r>
            <w:r>
              <w:rPr>
                <w:rFonts w:eastAsia="NSimSun" w:cs="Arial"/>
                <w:sz w:val="20"/>
                <w:szCs w:val="20"/>
                <w:vertAlign w:val="superscript"/>
                <w:lang w:eastAsia="zh-CN" w:bidi="hi-IN"/>
              </w:rPr>
              <w:t>2</w:t>
            </w:r>
            <w:r>
              <w:rPr>
                <w:rFonts w:eastAsia="NSimSun" w:cs="Arial"/>
                <w:sz w:val="20"/>
                <w:szCs w:val="20"/>
                <w:lang w:eastAsia="zh-CN" w:bidi="hi-IN"/>
              </w:rPr>
              <w:t>)</w:t>
            </w:r>
          </w:p>
        </w:tc>
        <w:tc>
          <w:tcPr>
            <w:tcW w:w="1842" w:type="dxa"/>
            <w:vAlign w:val="center"/>
          </w:tcPr>
          <w:p w14:paraId="74768FDC"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0,4349</w:t>
            </w:r>
          </w:p>
        </w:tc>
      </w:tr>
      <w:tr w:rsidR="00D87A14" w14:paraId="203068E1" w14:textId="77777777">
        <w:trPr>
          <w:trHeight w:val="227"/>
        </w:trPr>
        <w:tc>
          <w:tcPr>
            <w:tcW w:w="4600" w:type="dxa"/>
            <w:vAlign w:val="center"/>
          </w:tcPr>
          <w:p w14:paraId="77E4B4DE"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Taxa de perda 2018-2025 (%.ano</w:t>
            </w:r>
            <w:r>
              <w:rPr>
                <w:rFonts w:eastAsia="NSimSun" w:cs="Arial"/>
                <w:sz w:val="20"/>
                <w:szCs w:val="20"/>
                <w:vertAlign w:val="superscript"/>
                <w:lang w:eastAsia="zh-CN" w:bidi="hi-IN"/>
              </w:rPr>
              <w:t>-1</w:t>
            </w:r>
            <w:r>
              <w:rPr>
                <w:rFonts w:eastAsia="NSimSun" w:cs="Arial"/>
                <w:sz w:val="20"/>
                <w:szCs w:val="20"/>
                <w:lang w:eastAsia="zh-CN" w:bidi="hi-IN"/>
              </w:rPr>
              <w:t>)</w:t>
            </w:r>
          </w:p>
        </w:tc>
        <w:tc>
          <w:tcPr>
            <w:tcW w:w="1842" w:type="dxa"/>
            <w:vAlign w:val="center"/>
          </w:tcPr>
          <w:p w14:paraId="1BFBA688"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0,33</w:t>
            </w:r>
          </w:p>
        </w:tc>
      </w:tr>
      <w:tr w:rsidR="00D87A14" w14:paraId="647ECA4F" w14:textId="77777777">
        <w:trPr>
          <w:trHeight w:val="227"/>
        </w:trPr>
        <w:tc>
          <w:tcPr>
            <w:tcW w:w="4600" w:type="dxa"/>
            <w:vAlign w:val="center"/>
          </w:tcPr>
          <w:p w14:paraId="7C343F6D"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Taxa de ganho 2018-2025 (%.ano</w:t>
            </w:r>
            <w:r>
              <w:rPr>
                <w:rFonts w:eastAsia="NSimSun" w:cs="Arial"/>
                <w:sz w:val="20"/>
                <w:szCs w:val="20"/>
                <w:vertAlign w:val="superscript"/>
                <w:lang w:eastAsia="zh-CN" w:bidi="hi-IN"/>
              </w:rPr>
              <w:t>-1</w:t>
            </w:r>
            <w:r>
              <w:rPr>
                <w:rFonts w:eastAsia="NSimSun" w:cs="Arial"/>
                <w:sz w:val="20"/>
                <w:szCs w:val="20"/>
                <w:lang w:eastAsia="zh-CN" w:bidi="hi-IN"/>
              </w:rPr>
              <w:t>)</w:t>
            </w:r>
          </w:p>
        </w:tc>
        <w:tc>
          <w:tcPr>
            <w:tcW w:w="1842" w:type="dxa"/>
            <w:vAlign w:val="center"/>
          </w:tcPr>
          <w:p w14:paraId="7B722192"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10,65</w:t>
            </w:r>
          </w:p>
        </w:tc>
      </w:tr>
      <w:tr w:rsidR="00D87A14" w14:paraId="005D16C5" w14:textId="77777777">
        <w:trPr>
          <w:trHeight w:val="227"/>
        </w:trPr>
        <w:tc>
          <w:tcPr>
            <w:tcW w:w="4600" w:type="dxa"/>
            <w:vAlign w:val="center"/>
          </w:tcPr>
          <w:p w14:paraId="6F2424AB"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Taxa de rotatividade 2018-2025 (%.ano</w:t>
            </w:r>
            <w:r>
              <w:rPr>
                <w:rFonts w:eastAsia="NSimSun" w:cs="Arial"/>
                <w:sz w:val="20"/>
                <w:szCs w:val="20"/>
                <w:vertAlign w:val="superscript"/>
                <w:lang w:eastAsia="zh-CN" w:bidi="hi-IN"/>
              </w:rPr>
              <w:t>-1</w:t>
            </w:r>
            <w:r>
              <w:rPr>
                <w:rFonts w:eastAsia="NSimSun" w:cs="Arial"/>
                <w:sz w:val="20"/>
                <w:szCs w:val="20"/>
                <w:lang w:eastAsia="zh-CN" w:bidi="hi-IN"/>
              </w:rPr>
              <w:t>)</w:t>
            </w:r>
          </w:p>
        </w:tc>
        <w:tc>
          <w:tcPr>
            <w:tcW w:w="1842" w:type="dxa"/>
            <w:vAlign w:val="center"/>
          </w:tcPr>
          <w:p w14:paraId="589FAA82"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5,49</w:t>
            </w:r>
          </w:p>
        </w:tc>
      </w:tr>
      <w:tr w:rsidR="00D87A14" w14:paraId="53D5C47D" w14:textId="77777777">
        <w:trPr>
          <w:trHeight w:val="227"/>
        </w:trPr>
        <w:tc>
          <w:tcPr>
            <w:tcW w:w="4600" w:type="dxa"/>
            <w:tcBorders>
              <w:top w:val="nil"/>
              <w:left w:val="nil"/>
              <w:bottom w:val="single" w:sz="4" w:space="0" w:color="auto"/>
              <w:right w:val="nil"/>
            </w:tcBorders>
            <w:vAlign w:val="center"/>
          </w:tcPr>
          <w:p w14:paraId="0E3F395E" w14:textId="77777777" w:rsidR="00D87A14" w:rsidRDefault="0096682C">
            <w:pPr>
              <w:widowControl/>
              <w:suppressAutoHyphens/>
              <w:ind w:left="525" w:hanging="567"/>
              <w:jc w:val="both"/>
              <w:rPr>
                <w:rFonts w:eastAsia="NSimSun" w:cs="Arial"/>
                <w:sz w:val="20"/>
                <w:szCs w:val="20"/>
                <w:lang w:eastAsia="zh-CN" w:bidi="hi-IN"/>
              </w:rPr>
            </w:pPr>
            <w:r>
              <w:rPr>
                <w:rFonts w:eastAsia="NSimSun" w:cs="Arial"/>
                <w:sz w:val="20"/>
                <w:szCs w:val="20"/>
                <w:lang w:eastAsia="zh-CN" w:bidi="hi-IN"/>
              </w:rPr>
              <w:t>Taxa de mudança 2018-2025 (%.ano</w:t>
            </w:r>
            <w:r>
              <w:rPr>
                <w:rFonts w:eastAsia="NSimSun" w:cs="Arial"/>
                <w:sz w:val="20"/>
                <w:szCs w:val="20"/>
                <w:vertAlign w:val="superscript"/>
                <w:lang w:eastAsia="zh-CN" w:bidi="hi-IN"/>
              </w:rPr>
              <w:t>-1</w:t>
            </w:r>
            <w:r>
              <w:rPr>
                <w:rFonts w:eastAsia="NSimSun" w:cs="Arial"/>
                <w:sz w:val="20"/>
                <w:szCs w:val="20"/>
                <w:lang w:eastAsia="zh-CN" w:bidi="hi-IN"/>
              </w:rPr>
              <w:t>)</w:t>
            </w:r>
          </w:p>
        </w:tc>
        <w:tc>
          <w:tcPr>
            <w:tcW w:w="1842" w:type="dxa"/>
            <w:tcBorders>
              <w:top w:val="nil"/>
              <w:left w:val="nil"/>
              <w:bottom w:val="single" w:sz="4" w:space="0" w:color="auto"/>
              <w:right w:val="nil"/>
            </w:tcBorders>
            <w:vAlign w:val="center"/>
          </w:tcPr>
          <w:p w14:paraId="2A888EA9" w14:textId="77777777" w:rsidR="00D87A14" w:rsidRDefault="0096682C">
            <w:pPr>
              <w:suppressAutoHyphens/>
              <w:ind w:left="851"/>
              <w:jc w:val="center"/>
              <w:rPr>
                <w:rFonts w:eastAsia="NSimSun" w:cs="Arial"/>
                <w:sz w:val="20"/>
                <w:szCs w:val="20"/>
                <w:lang w:eastAsia="zh-CN" w:bidi="hi-IN"/>
              </w:rPr>
            </w:pPr>
            <w:r>
              <w:rPr>
                <w:rFonts w:eastAsia="NSimSun" w:cs="Arial"/>
                <w:sz w:val="20"/>
                <w:szCs w:val="20"/>
                <w:lang w:eastAsia="zh-CN" w:bidi="hi-IN"/>
              </w:rPr>
              <w:t>11,54</w:t>
            </w:r>
          </w:p>
        </w:tc>
      </w:tr>
    </w:tbl>
    <w:p w14:paraId="4ADFCC52" w14:textId="77777777" w:rsidR="00D87A14" w:rsidRDefault="00D87A14">
      <w:pPr>
        <w:widowControl/>
        <w:suppressAutoHyphens/>
        <w:ind w:firstLine="720"/>
        <w:jc w:val="both"/>
        <w:rPr>
          <w:rFonts w:eastAsia="NSimSun" w:cs="Arial"/>
          <w:sz w:val="20"/>
          <w:szCs w:val="20"/>
          <w:highlight w:val="yellow"/>
          <w:lang w:eastAsia="zh-CN" w:bidi="hi-IN"/>
        </w:rPr>
      </w:pPr>
    </w:p>
    <w:p w14:paraId="06AE48A0" w14:textId="77777777" w:rsidR="00D87A14" w:rsidRDefault="0096682C">
      <w:pPr>
        <w:widowControl/>
        <w:suppressAutoHyphens/>
        <w:ind w:firstLine="720"/>
        <w:jc w:val="both"/>
        <w:rPr>
          <w:rFonts w:eastAsia="NSimSun" w:cs="Arial"/>
          <w:sz w:val="20"/>
          <w:szCs w:val="20"/>
          <w:highlight w:val="white"/>
          <w:lang w:eastAsia="zh-CN" w:bidi="hi-IN"/>
        </w:rPr>
      </w:pPr>
      <w:r>
        <w:rPr>
          <w:rFonts w:eastAsia="NSimSun" w:cs="Arial"/>
          <w:sz w:val="20"/>
          <w:szCs w:val="20"/>
          <w:highlight w:val="white"/>
          <w:lang w:eastAsia="zh-CN" w:bidi="hi-IN"/>
        </w:rPr>
        <w:t>Em relação à dinâmica da biomassa (Tabela 1), observou-se um expressivo aumento da área basal da população, que passou</w:t>
      </w:r>
      <w:r>
        <w:rPr>
          <w:rFonts w:eastAsia="NSimSun" w:cs="Arial"/>
          <w:sz w:val="20"/>
          <w:szCs w:val="20"/>
          <w:highlight w:val="white"/>
          <w:lang w:eastAsia="zh-CN" w:bidi="hi-IN"/>
        </w:rPr>
        <w:t xml:space="preserve"> de 0,3780 m² em 2018 para 0,8121 m² em 2025 — um acréscimo de aproximadamente 115% em relação ao valor inicial. Esse crescimento foi impulsionado principalmente pelo incremento das árvores sobreviventes (0,4349 m</w:t>
      </w:r>
      <w:r>
        <w:rPr>
          <w:rFonts w:eastAsia="NSimSun" w:cs="Arial"/>
          <w:sz w:val="20"/>
          <w:szCs w:val="20"/>
          <w:highlight w:val="white"/>
          <w:vertAlign w:val="superscript"/>
          <w:lang w:eastAsia="zh-CN" w:bidi="hi-IN"/>
        </w:rPr>
        <w:t>2</w:t>
      </w:r>
      <w:r>
        <w:rPr>
          <w:rFonts w:eastAsia="NSimSun" w:cs="Arial"/>
          <w:sz w:val="20"/>
          <w:szCs w:val="20"/>
          <w:highlight w:val="white"/>
          <w:lang w:eastAsia="zh-CN" w:bidi="hi-IN"/>
        </w:rPr>
        <w:t>), uma vez que não houve perda por decreme</w:t>
      </w:r>
      <w:r>
        <w:rPr>
          <w:rFonts w:eastAsia="NSimSun" w:cs="Arial"/>
          <w:sz w:val="20"/>
          <w:szCs w:val="20"/>
          <w:highlight w:val="white"/>
          <w:lang w:eastAsia="zh-CN" w:bidi="hi-IN"/>
        </w:rPr>
        <w:t>nto entre essas e a perda por mortalidade foi baixa (0,0087 m</w:t>
      </w:r>
      <w:r>
        <w:rPr>
          <w:rFonts w:eastAsia="NSimSun" w:cs="Arial"/>
          <w:sz w:val="20"/>
          <w:szCs w:val="20"/>
          <w:highlight w:val="white"/>
          <w:vertAlign w:val="superscript"/>
          <w:lang w:eastAsia="zh-CN" w:bidi="hi-IN"/>
        </w:rPr>
        <w:t>2</w:t>
      </w:r>
      <w:r>
        <w:rPr>
          <w:rFonts w:eastAsia="NSimSun" w:cs="Arial"/>
          <w:sz w:val="20"/>
          <w:szCs w:val="20"/>
          <w:highlight w:val="white"/>
          <w:lang w:eastAsia="zh-CN" w:bidi="hi-IN"/>
        </w:rPr>
        <w:t xml:space="preserve">). Com isso, os valores absolutos da dinâmica em área basal evidenciam uma predominância das taxas de ganho (10,65 </w:t>
      </w:r>
      <w:r>
        <w:rPr>
          <w:rFonts w:eastAsia="NSimSun" w:cs="Arial"/>
          <w:sz w:val="20"/>
          <w:szCs w:val="20"/>
          <w:lang w:eastAsia="zh-CN" w:bidi="hi-IN"/>
        </w:rPr>
        <w:t>%.ano</w:t>
      </w:r>
      <w:r>
        <w:rPr>
          <w:rFonts w:eastAsia="NSimSun" w:cs="Arial"/>
          <w:sz w:val="20"/>
          <w:szCs w:val="20"/>
          <w:vertAlign w:val="superscript"/>
          <w:lang w:eastAsia="zh-CN" w:bidi="hi-IN"/>
        </w:rPr>
        <w:t>-1</w:t>
      </w:r>
      <w:r>
        <w:rPr>
          <w:rFonts w:eastAsia="NSimSun" w:cs="Arial"/>
          <w:sz w:val="20"/>
          <w:szCs w:val="20"/>
          <w:highlight w:val="white"/>
          <w:lang w:eastAsia="zh-CN" w:bidi="hi-IN"/>
        </w:rPr>
        <w:t>) sobre as de perda (0,33</w:t>
      </w:r>
      <w:r>
        <w:rPr>
          <w:rFonts w:eastAsia="NSimSun" w:cs="Arial"/>
          <w:sz w:val="20"/>
          <w:szCs w:val="20"/>
          <w:lang w:eastAsia="zh-CN" w:bidi="hi-IN"/>
        </w:rPr>
        <w:t xml:space="preserve"> %.ano</w:t>
      </w:r>
      <w:r>
        <w:rPr>
          <w:rFonts w:eastAsia="NSimSun" w:cs="Arial"/>
          <w:sz w:val="20"/>
          <w:szCs w:val="20"/>
          <w:vertAlign w:val="superscript"/>
          <w:lang w:eastAsia="zh-CN" w:bidi="hi-IN"/>
        </w:rPr>
        <w:t>-1</w:t>
      </w:r>
      <w:r>
        <w:rPr>
          <w:rFonts w:eastAsia="NSimSun" w:cs="Arial"/>
          <w:sz w:val="20"/>
          <w:szCs w:val="20"/>
          <w:highlight w:val="white"/>
          <w:lang w:eastAsia="zh-CN" w:bidi="hi-IN"/>
        </w:rPr>
        <w:t>), resultando em um acréscimo líquido s</w:t>
      </w:r>
      <w:r>
        <w:rPr>
          <w:rFonts w:eastAsia="NSimSun" w:cs="Arial"/>
          <w:sz w:val="20"/>
          <w:szCs w:val="20"/>
          <w:highlight w:val="white"/>
          <w:lang w:eastAsia="zh-CN" w:bidi="hi-IN"/>
        </w:rPr>
        <w:t>ubstancial na biomassa populacional (11,54</w:t>
      </w:r>
      <w:r>
        <w:rPr>
          <w:rFonts w:eastAsia="NSimSun" w:cs="Arial"/>
          <w:sz w:val="20"/>
          <w:szCs w:val="20"/>
          <w:lang w:eastAsia="zh-CN" w:bidi="hi-IN"/>
        </w:rPr>
        <w:t xml:space="preserve"> %.ano</w:t>
      </w:r>
      <w:r>
        <w:rPr>
          <w:rFonts w:eastAsia="NSimSun" w:cs="Arial"/>
          <w:sz w:val="20"/>
          <w:szCs w:val="20"/>
          <w:vertAlign w:val="superscript"/>
          <w:lang w:eastAsia="zh-CN" w:bidi="hi-IN"/>
        </w:rPr>
        <w:t>-1</w:t>
      </w:r>
      <w:r>
        <w:rPr>
          <w:rFonts w:eastAsia="NSimSun" w:cs="Arial"/>
          <w:sz w:val="20"/>
          <w:szCs w:val="20"/>
          <w:highlight w:val="white"/>
          <w:lang w:eastAsia="zh-CN" w:bidi="hi-IN"/>
        </w:rPr>
        <w:t>).</w:t>
      </w:r>
    </w:p>
    <w:p w14:paraId="6724C5A4" w14:textId="77777777" w:rsidR="00D87A14" w:rsidRDefault="0096682C">
      <w:pPr>
        <w:widowControl/>
        <w:suppressAutoHyphens/>
        <w:ind w:firstLine="720"/>
        <w:jc w:val="both"/>
        <w:rPr>
          <w:rFonts w:eastAsia="NSimSun" w:cs="Arial"/>
          <w:sz w:val="20"/>
          <w:szCs w:val="20"/>
          <w:highlight w:val="white"/>
          <w:lang w:eastAsia="zh-CN" w:bidi="hi-IN"/>
        </w:rPr>
      </w:pPr>
      <w:r>
        <w:rPr>
          <w:rFonts w:eastAsia="NSimSun" w:cs="Arial"/>
          <w:sz w:val="20"/>
          <w:szCs w:val="20"/>
          <w:highlight w:val="white"/>
          <w:lang w:eastAsia="zh-CN" w:bidi="hi-IN"/>
        </w:rPr>
        <w:t>Esse crescimento está em consonância com padrões observados em florestas tropicais úmidas em regeneração, nas quais os primeiros 30 anos de sucessão natural foram marcados por um rápido aumento no tamanh</w:t>
      </w:r>
      <w:r>
        <w:rPr>
          <w:rFonts w:eastAsia="NSimSun" w:cs="Arial"/>
          <w:sz w:val="20"/>
          <w:szCs w:val="20"/>
          <w:highlight w:val="white"/>
          <w:lang w:eastAsia="zh-CN" w:bidi="hi-IN"/>
        </w:rPr>
        <w:t>o estrutural do povoamento, evidenciado pelo incremento da área basal e da área e comprimento da copa (MATSUO et al., 2021).</w:t>
      </w:r>
    </w:p>
    <w:p w14:paraId="08BF022B" w14:textId="77777777" w:rsidR="00D87A14" w:rsidRDefault="0096682C">
      <w:pPr>
        <w:widowControl/>
        <w:tabs>
          <w:tab w:val="left" w:pos="142"/>
        </w:tabs>
        <w:suppressAutoHyphens/>
        <w:ind w:firstLine="708"/>
        <w:jc w:val="both"/>
        <w:rPr>
          <w:rFonts w:eastAsia="NSimSun" w:cs="Arial"/>
          <w:sz w:val="20"/>
          <w:szCs w:val="20"/>
          <w:highlight w:val="white"/>
          <w:lang w:eastAsia="zh-CN" w:bidi="hi-IN"/>
        </w:rPr>
      </w:pPr>
      <w:r>
        <w:rPr>
          <w:rFonts w:eastAsia="NSimSun" w:cs="Arial"/>
          <w:sz w:val="20"/>
          <w:szCs w:val="20"/>
          <w:highlight w:val="white"/>
          <w:lang w:eastAsia="zh-CN" w:bidi="hi-IN"/>
        </w:rPr>
        <w:t>Em área de restauração via plantio de enriquecimento com três anos de idade na Mata Atlântica do sul da Bahia, a espécie</w:t>
      </w:r>
      <w:r>
        <w:rPr>
          <w:rFonts w:eastAsia="NSimSun" w:cs="Arial"/>
          <w:color w:val="222222"/>
          <w:sz w:val="20"/>
          <w:szCs w:val="20"/>
          <w:highlight w:val="white"/>
          <w:lang w:eastAsia="zh-CN" w:bidi="hi-IN"/>
        </w:rPr>
        <w:t xml:space="preserve"> </w:t>
      </w:r>
      <w:r>
        <w:rPr>
          <w:rFonts w:eastAsia="NSimSun" w:cs="Arial"/>
          <w:i/>
          <w:sz w:val="20"/>
          <w:szCs w:val="20"/>
          <w:highlight w:val="white"/>
          <w:lang w:eastAsia="zh-CN" w:bidi="hi-IN"/>
        </w:rPr>
        <w:t>P. pendula</w:t>
      </w:r>
      <w:r>
        <w:rPr>
          <w:rFonts w:eastAsia="NSimSun" w:cs="Arial"/>
          <w:sz w:val="20"/>
          <w:szCs w:val="20"/>
          <w:highlight w:val="white"/>
          <w:lang w:eastAsia="zh-CN" w:bidi="hi-IN"/>
        </w:rPr>
        <w:t xml:space="preserve"> se destacou pelo seu crescimento bem-sucedido, apresentando os maiores valores médios para os três parâmetros de crescimento avaliados entre as 21 espécies estudadas (RAPPAPORT; MONTAGNINI, 2014). Os autores sugerem que a espécie também pode ser potencial</w:t>
      </w:r>
      <w:r>
        <w:rPr>
          <w:rFonts w:eastAsia="NSimSun" w:cs="Arial"/>
          <w:sz w:val="20"/>
          <w:szCs w:val="20"/>
          <w:highlight w:val="white"/>
          <w:lang w:eastAsia="zh-CN" w:bidi="hi-IN"/>
        </w:rPr>
        <w:t>mente usada para enriquecimento em terras degradadas recentemente abandonadas, onde a copa das árvores ainda não se formou.</w:t>
      </w:r>
    </w:p>
    <w:p w14:paraId="22C2DA14" w14:textId="77777777" w:rsidR="00D87A14" w:rsidRDefault="0096682C">
      <w:pPr>
        <w:widowControl/>
        <w:suppressAutoHyphens/>
        <w:ind w:firstLine="720"/>
        <w:jc w:val="both"/>
        <w:rPr>
          <w:rFonts w:eastAsia="NSimSun" w:cs="Arial"/>
          <w:sz w:val="20"/>
          <w:szCs w:val="20"/>
          <w:highlight w:val="white"/>
          <w:lang w:eastAsia="zh-CN" w:bidi="hi-IN"/>
        </w:rPr>
      </w:pPr>
      <w:r>
        <w:rPr>
          <w:rFonts w:eastAsia="NSimSun" w:cs="Arial"/>
          <w:sz w:val="20"/>
          <w:szCs w:val="20"/>
          <w:highlight w:val="white"/>
          <w:lang w:eastAsia="zh-CN" w:bidi="hi-IN"/>
        </w:rPr>
        <w:t>O crescimento expressivo em área basal indica que os indivíduos existentes estão em desenvolvimento, ou seja, expandindo sua copa, t</w:t>
      </w:r>
      <w:r>
        <w:rPr>
          <w:rFonts w:eastAsia="NSimSun" w:cs="Arial"/>
          <w:sz w:val="20"/>
          <w:szCs w:val="20"/>
          <w:highlight w:val="white"/>
          <w:lang w:eastAsia="zh-CN" w:bidi="hi-IN"/>
        </w:rPr>
        <w:t>ronco e raízes. Ademais, constitui um indicador positivo de sucesso da recuperação, pois o aumento da biomassa está diretamente relacionado a serviços ecossistêmicos como fixação de carbono, sombreamento e formação de microclima.</w:t>
      </w:r>
    </w:p>
    <w:p w14:paraId="47A4127B" w14:textId="5B7F672B" w:rsidR="00D87A14" w:rsidRDefault="00D87A14">
      <w:pPr>
        <w:widowControl/>
        <w:suppressAutoHyphens/>
        <w:jc w:val="both"/>
        <w:rPr>
          <w:rFonts w:eastAsia="NSimSun" w:cs="Arial"/>
          <w:b/>
          <w:sz w:val="20"/>
          <w:szCs w:val="20"/>
          <w:lang w:eastAsia="zh-CN" w:bidi="hi-IN"/>
        </w:rPr>
      </w:pPr>
    </w:p>
    <w:p w14:paraId="13C475D5" w14:textId="77777777" w:rsidR="00D87A14" w:rsidRDefault="0096682C">
      <w:pPr>
        <w:widowControl/>
        <w:suppressAutoHyphens/>
        <w:jc w:val="both"/>
        <w:rPr>
          <w:rFonts w:eastAsia="NSimSun" w:cs="Arial"/>
          <w:sz w:val="20"/>
          <w:szCs w:val="20"/>
          <w:lang w:eastAsia="zh-CN" w:bidi="hi-IN"/>
        </w:rPr>
      </w:pPr>
      <w:r>
        <w:rPr>
          <w:rFonts w:eastAsia="NSimSun" w:cs="Arial"/>
          <w:b/>
          <w:sz w:val="20"/>
          <w:szCs w:val="20"/>
          <w:lang w:eastAsia="zh-CN" w:bidi="hi-IN"/>
        </w:rPr>
        <w:t>CONCLUSÕES</w:t>
      </w:r>
    </w:p>
    <w:p w14:paraId="72E92180" w14:textId="77777777" w:rsidR="00D87A14" w:rsidRDefault="0096682C">
      <w:pPr>
        <w:widowControl/>
        <w:numPr>
          <w:ilvl w:val="0"/>
          <w:numId w:val="1"/>
        </w:numPr>
        <w:suppressAutoHyphens/>
        <w:ind w:left="357"/>
        <w:jc w:val="both"/>
        <w:rPr>
          <w:rFonts w:ascii="Noto Sans Symbols" w:eastAsia="Noto Sans Symbols" w:hAnsi="Noto Sans Symbols" w:cs="Noto Sans Symbols"/>
          <w:sz w:val="20"/>
          <w:szCs w:val="20"/>
          <w:lang w:eastAsia="zh-CN" w:bidi="hi-IN"/>
        </w:rPr>
      </w:pPr>
      <w:bookmarkStart w:id="1" w:name="_GoBack"/>
      <w:bookmarkEnd w:id="1"/>
      <w:r>
        <w:rPr>
          <w:rFonts w:eastAsia="NSimSun" w:cs="Arial"/>
          <w:sz w:val="20"/>
          <w:szCs w:val="20"/>
          <w:lang w:eastAsia="zh-CN" w:bidi="hi-IN"/>
        </w:rPr>
        <w:t xml:space="preserve">A população </w:t>
      </w:r>
      <w:r>
        <w:rPr>
          <w:rFonts w:eastAsia="NSimSun" w:cs="Arial"/>
          <w:sz w:val="20"/>
          <w:szCs w:val="20"/>
          <w:lang w:eastAsia="zh-CN" w:bidi="hi-IN"/>
        </w:rPr>
        <w:t xml:space="preserve">de </w:t>
      </w:r>
      <w:r>
        <w:rPr>
          <w:rFonts w:eastAsia="NSimSun" w:cs="Arial"/>
          <w:i/>
          <w:sz w:val="20"/>
          <w:szCs w:val="20"/>
          <w:lang w:eastAsia="zh-CN" w:bidi="hi-IN"/>
        </w:rPr>
        <w:t>Parkia pendula</w:t>
      </w:r>
      <w:r>
        <w:rPr>
          <w:rFonts w:eastAsia="NSimSun" w:cs="Arial"/>
          <w:sz w:val="20"/>
          <w:szCs w:val="20"/>
          <w:lang w:eastAsia="zh-CN" w:bidi="hi-IN"/>
        </w:rPr>
        <w:t xml:space="preserve"> apresentou uma dinâmica populacional relativamente estável em termos demográficos, com baixas taxas de mortalidade e recrutamento e uma pequena mudança líquida positiva.</w:t>
      </w:r>
    </w:p>
    <w:p w14:paraId="74B72362" w14:textId="53311A0E" w:rsidR="00D87A14" w:rsidRDefault="0096682C">
      <w:pPr>
        <w:widowControl/>
        <w:numPr>
          <w:ilvl w:val="0"/>
          <w:numId w:val="1"/>
        </w:numPr>
        <w:suppressAutoHyphens/>
        <w:ind w:left="357"/>
        <w:jc w:val="both"/>
        <w:rPr>
          <w:rFonts w:ascii="Noto Sans Symbols" w:eastAsia="Noto Sans Symbols" w:hAnsi="Noto Sans Symbols" w:cs="Noto Sans Symbols"/>
          <w:sz w:val="20"/>
          <w:szCs w:val="20"/>
          <w:lang w:eastAsia="zh-CN" w:bidi="hi-IN"/>
        </w:rPr>
      </w:pPr>
      <w:r>
        <w:rPr>
          <w:rFonts w:eastAsia="NSimSun" w:cs="Arial"/>
          <w:sz w:val="20"/>
          <w:szCs w:val="20"/>
          <w:lang w:eastAsia="zh-CN" w:bidi="hi-IN"/>
        </w:rPr>
        <w:lastRenderedPageBreak/>
        <w:t>Em outra análise, a dinâmica da área basal revelou um rápido desenvo</w:t>
      </w:r>
      <w:r>
        <w:rPr>
          <w:rFonts w:eastAsia="NSimSun" w:cs="Arial"/>
          <w:sz w:val="20"/>
          <w:szCs w:val="20"/>
          <w:lang w:eastAsia="zh-CN" w:bidi="hi-IN"/>
        </w:rPr>
        <w:t>lvimento dos indivíduos, reforçando o papel da es</w:t>
      </w:r>
      <w:r w:rsidR="0063467A">
        <w:rPr>
          <w:rFonts w:eastAsia="NSimSun" w:cs="Arial"/>
          <w:sz w:val="20"/>
          <w:szCs w:val="20"/>
          <w:lang w:eastAsia="zh-CN" w:bidi="hi-IN"/>
        </w:rPr>
        <w:t>pécie na acumulação de biomassa.</w:t>
      </w:r>
    </w:p>
    <w:p w14:paraId="30D5586B" w14:textId="77777777" w:rsidR="00D87A14" w:rsidRDefault="0096682C">
      <w:pPr>
        <w:widowControl/>
        <w:numPr>
          <w:ilvl w:val="0"/>
          <w:numId w:val="1"/>
        </w:numPr>
        <w:suppressAutoHyphens/>
        <w:ind w:left="357"/>
        <w:jc w:val="both"/>
        <w:rPr>
          <w:rFonts w:ascii="Noto Sans Symbols" w:eastAsia="Noto Sans Symbols" w:hAnsi="Noto Sans Symbols" w:cs="Noto Sans Symbols"/>
          <w:sz w:val="20"/>
          <w:szCs w:val="20"/>
          <w:lang w:eastAsia="zh-CN" w:bidi="hi-IN"/>
        </w:rPr>
      </w:pPr>
      <w:r>
        <w:rPr>
          <w:rFonts w:eastAsia="NSimSun" w:cs="Arial"/>
          <w:sz w:val="20"/>
          <w:szCs w:val="20"/>
          <w:lang w:eastAsia="zh-CN" w:bidi="hi-IN"/>
        </w:rPr>
        <w:t>Portanto, a espécie registrou um desempenho positivo no processo de recuperação da área e pode ser potencialmente usada em projet</w:t>
      </w:r>
      <w:r>
        <w:rPr>
          <w:rFonts w:eastAsia="NSimSun" w:cs="Arial"/>
          <w:sz w:val="20"/>
          <w:szCs w:val="20"/>
          <w:lang w:eastAsia="zh-CN" w:bidi="hi-IN"/>
        </w:rPr>
        <w:t>os de recuperação florestal na Mata Atlântica.</w:t>
      </w:r>
    </w:p>
    <w:p w14:paraId="03ADD76B" w14:textId="77777777" w:rsidR="00D87A14" w:rsidRDefault="00D87A14">
      <w:pPr>
        <w:widowControl/>
        <w:suppressAutoHyphens/>
        <w:jc w:val="both"/>
        <w:rPr>
          <w:rFonts w:eastAsia="NSimSun" w:cs="Arial"/>
          <w:sz w:val="20"/>
          <w:szCs w:val="20"/>
          <w:lang w:eastAsia="zh-CN" w:bidi="hi-IN"/>
        </w:rPr>
      </w:pPr>
    </w:p>
    <w:p w14:paraId="5B7D7095" w14:textId="77777777" w:rsidR="00D87A14" w:rsidRDefault="0096682C">
      <w:pPr>
        <w:widowControl/>
        <w:suppressAutoHyphens/>
        <w:jc w:val="both"/>
        <w:rPr>
          <w:rFonts w:eastAsia="NSimSun" w:cs="Arial"/>
          <w:sz w:val="20"/>
          <w:szCs w:val="20"/>
          <w:lang w:eastAsia="zh-CN" w:bidi="hi-IN"/>
        </w:rPr>
      </w:pPr>
      <w:r>
        <w:rPr>
          <w:rFonts w:eastAsia="NSimSun" w:cs="Arial"/>
          <w:b/>
          <w:sz w:val="20"/>
          <w:szCs w:val="20"/>
          <w:lang w:eastAsia="zh-CN" w:bidi="hi-IN"/>
        </w:rPr>
        <w:t>REFERÊNCIAS</w:t>
      </w:r>
    </w:p>
    <w:p w14:paraId="7654E83B"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lang w:eastAsia="zh-CN" w:bidi="hi-IN"/>
        </w:rPr>
        <w:t xml:space="preserve">ALEIXO, I. F.; MACIEL, J. M.; REIS, L. Q.; NASCIMENTO, T.; CALVI, G. P.; NORRIS, D.; BARBOSA, A. P. </w:t>
      </w:r>
      <w:r>
        <w:rPr>
          <w:rFonts w:eastAsia="NSimSun" w:cs="Arial"/>
          <w:b/>
          <w:sz w:val="20"/>
          <w:szCs w:val="20"/>
          <w:lang w:eastAsia="zh-CN" w:bidi="hi-IN"/>
        </w:rPr>
        <w:t>Fenologia: árvores da Amazônia.</w:t>
      </w:r>
      <w:r>
        <w:rPr>
          <w:rFonts w:eastAsia="NSimSun" w:cs="Arial"/>
          <w:sz w:val="20"/>
          <w:szCs w:val="20"/>
          <w:lang w:eastAsia="zh-CN" w:bidi="hi-IN"/>
        </w:rPr>
        <w:t xml:space="preserve"> Manaus: Editora INPA, 2023. 53 p.</w:t>
      </w:r>
    </w:p>
    <w:p w14:paraId="325E130D"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lang w:eastAsia="zh-CN" w:bidi="hi-IN"/>
        </w:rPr>
        <w:t xml:space="preserve">ALVARES C. A.; STAPE, J. L., SENTELHAS, P. C.; GONÇALVES, J. L. M., SPAROVEK, G. Köppen’s climate classification map for Brazil. </w:t>
      </w:r>
      <w:r>
        <w:rPr>
          <w:rFonts w:eastAsia="NSimSun" w:cs="Arial"/>
          <w:b/>
          <w:sz w:val="20"/>
          <w:szCs w:val="20"/>
          <w:lang w:eastAsia="zh-CN" w:bidi="hi-IN"/>
        </w:rPr>
        <w:t>Meteorologische Zeitschrift</w:t>
      </w:r>
      <w:r>
        <w:rPr>
          <w:rFonts w:eastAsia="NSimSun" w:cs="Arial"/>
          <w:sz w:val="20"/>
          <w:szCs w:val="20"/>
          <w:lang w:eastAsia="zh-CN" w:bidi="hi-IN"/>
        </w:rPr>
        <w:t>, v. 22, n. 6, p. 711-728, 2013.</w:t>
      </w:r>
    </w:p>
    <w:p w14:paraId="5E0D97B0"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lang w:eastAsia="zh-CN" w:bidi="hi-IN"/>
        </w:rPr>
        <w:t xml:space="preserve">CARVALHO, P. E. R. </w:t>
      </w:r>
      <w:r>
        <w:rPr>
          <w:rFonts w:eastAsia="NSimSun" w:cs="Arial"/>
          <w:b/>
          <w:sz w:val="20"/>
          <w:szCs w:val="20"/>
          <w:lang w:eastAsia="zh-CN" w:bidi="hi-IN"/>
        </w:rPr>
        <w:t>Espécies Arbóreas Brasileiras.</w:t>
      </w:r>
      <w:r>
        <w:rPr>
          <w:rFonts w:eastAsia="NSimSun" w:cs="Arial"/>
          <w:sz w:val="20"/>
          <w:szCs w:val="20"/>
          <w:lang w:eastAsia="zh-CN" w:bidi="hi-IN"/>
        </w:rPr>
        <w:t xml:space="preserve"> Brasília, DF: Emb</w:t>
      </w:r>
      <w:r>
        <w:rPr>
          <w:rFonts w:eastAsia="NSimSun" w:cs="Arial"/>
          <w:sz w:val="20"/>
          <w:szCs w:val="20"/>
          <w:lang w:eastAsia="zh-CN" w:bidi="hi-IN"/>
        </w:rPr>
        <w:t>rapa, v. 2, 2006. 627 p.</w:t>
      </w:r>
    </w:p>
    <w:p w14:paraId="4A811D18" w14:textId="77777777" w:rsidR="00D87A14" w:rsidRDefault="0096682C">
      <w:pPr>
        <w:widowControl/>
        <w:suppressAutoHyphens/>
        <w:spacing w:after="120"/>
        <w:jc w:val="both"/>
        <w:rPr>
          <w:rFonts w:eastAsia="NSimSun" w:cs="Arial"/>
          <w:sz w:val="20"/>
          <w:szCs w:val="20"/>
          <w:shd w:val="clear" w:color="auto" w:fill="B2B2B2"/>
          <w:lang w:eastAsia="zh-CN" w:bidi="hi-IN"/>
        </w:rPr>
      </w:pPr>
      <w:r>
        <w:rPr>
          <w:rFonts w:eastAsia="NSimSun" w:cs="Arial"/>
          <w:sz w:val="20"/>
          <w:szCs w:val="20"/>
          <w:highlight w:val="white"/>
          <w:lang w:eastAsia="zh-CN" w:bidi="hi-IN"/>
        </w:rPr>
        <w:t xml:space="preserve">GHALANDARAYESHI, S.; NORD-LARSEN, T.; JOHANNSEN, V. K.; LARSEN, K. B. Spatial patterns of </w:t>
      </w:r>
      <w:r>
        <w:rPr>
          <w:rFonts w:eastAsia="NSimSun" w:cs="Arial"/>
          <w:sz w:val="20"/>
          <w:szCs w:val="20"/>
          <w:lang w:eastAsia="zh-CN" w:bidi="hi-IN"/>
        </w:rPr>
        <w:t>tree</w:t>
      </w:r>
      <w:r>
        <w:rPr>
          <w:rFonts w:eastAsia="NSimSun" w:cs="Arial"/>
          <w:sz w:val="20"/>
          <w:szCs w:val="20"/>
          <w:highlight w:val="white"/>
          <w:lang w:eastAsia="zh-CN" w:bidi="hi-IN"/>
        </w:rPr>
        <w:t xml:space="preserve"> species in Suserup Skov – a semi-natural forest in Denmark. </w:t>
      </w:r>
      <w:r>
        <w:rPr>
          <w:rFonts w:eastAsia="NSimSun" w:cs="Arial"/>
          <w:b/>
          <w:sz w:val="20"/>
          <w:szCs w:val="20"/>
          <w:highlight w:val="white"/>
          <w:lang w:eastAsia="zh-CN" w:bidi="hi-IN"/>
        </w:rPr>
        <w:t>Forest Ecology and Management</w:t>
      </w:r>
      <w:r>
        <w:rPr>
          <w:rFonts w:eastAsia="NSimSun" w:cs="Arial"/>
          <w:sz w:val="20"/>
          <w:szCs w:val="20"/>
          <w:highlight w:val="white"/>
          <w:lang w:eastAsia="zh-CN" w:bidi="hi-IN"/>
        </w:rPr>
        <w:t>, v. 406, p. 391-401, 2017.</w:t>
      </w:r>
    </w:p>
    <w:p w14:paraId="5645F99C"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lang w:eastAsia="zh-CN" w:bidi="hi-IN"/>
        </w:rPr>
        <w:t>MATSUO, T.; MARTÍNE</w:t>
      </w:r>
      <w:r>
        <w:rPr>
          <w:rFonts w:eastAsia="NSimSun" w:cs="Arial"/>
          <w:sz w:val="20"/>
          <w:szCs w:val="20"/>
          <w:lang w:eastAsia="zh-CN" w:bidi="hi-IN"/>
        </w:rPr>
        <w:t xml:space="preserve">Z-RAMOS, M.; BONGERS, F.; VAN DER SANDE, M. T.; POORTER, L. Forest structure drives changes in light heterogeneity during tropical secondary forest succession. </w:t>
      </w:r>
      <w:r>
        <w:rPr>
          <w:rFonts w:eastAsia="NSimSun" w:cs="Arial"/>
          <w:b/>
          <w:sz w:val="20"/>
          <w:szCs w:val="20"/>
          <w:lang w:eastAsia="zh-CN" w:bidi="hi-IN"/>
        </w:rPr>
        <w:t>Journal of Ecology</w:t>
      </w:r>
      <w:r>
        <w:rPr>
          <w:rFonts w:eastAsia="NSimSun" w:cs="Arial"/>
          <w:sz w:val="20"/>
          <w:szCs w:val="20"/>
          <w:lang w:eastAsia="zh-CN" w:bidi="hi-IN"/>
        </w:rPr>
        <w:t xml:space="preserve">, v. 109, p. 2871–2884, 2021. </w:t>
      </w:r>
    </w:p>
    <w:p w14:paraId="5585B1FC"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lang w:eastAsia="zh-CN" w:bidi="hi-IN"/>
        </w:rPr>
        <w:t>MCDOWELL, N. G; ALLEN, C. D.; ANDERSON-TEIXEIRA</w:t>
      </w:r>
      <w:r>
        <w:rPr>
          <w:rFonts w:eastAsia="NSimSun" w:cs="Arial"/>
          <w:sz w:val="20"/>
          <w:szCs w:val="20"/>
          <w:lang w:eastAsia="zh-CN" w:bidi="hi-IN"/>
        </w:rPr>
        <w:t>, K.; AUKEMA, B. H.; BOND-LAMBERTY, B.; CHINI, L.; CLARK, J. S.; DIETZE, M.; GROSSIORD, C.; HANBURY-BROWN, A.; HURTT, G.C.; JACKSON, R. B.; JOHNSON, D. J.; KUEPPERS, L.; LICHSTEIN, J. W; OGLE, K., POULTER, B.; PUGH, T. A. M.; SEIDL, R.; TURNER, M. G.; URIA</w:t>
      </w:r>
      <w:r>
        <w:rPr>
          <w:rFonts w:eastAsia="NSimSun" w:cs="Arial"/>
          <w:sz w:val="20"/>
          <w:szCs w:val="20"/>
          <w:lang w:eastAsia="zh-CN" w:bidi="hi-IN"/>
        </w:rPr>
        <w:t xml:space="preserve">RTE, M.; WALKER, A. P.; XU, C. Pervasive shifts in forest dynamics in a changing world. </w:t>
      </w:r>
      <w:r>
        <w:rPr>
          <w:rFonts w:eastAsia="NSimSun" w:cs="Arial"/>
          <w:b/>
          <w:sz w:val="20"/>
          <w:szCs w:val="20"/>
          <w:lang w:eastAsia="zh-CN" w:bidi="hi-IN"/>
        </w:rPr>
        <w:t>Science</w:t>
      </w:r>
      <w:r>
        <w:rPr>
          <w:rFonts w:eastAsia="NSimSun" w:cs="Arial"/>
          <w:sz w:val="20"/>
          <w:szCs w:val="20"/>
          <w:lang w:eastAsia="zh-CN" w:bidi="hi-IN"/>
        </w:rPr>
        <w:t>, v. 368, nº 964, 2020.</w:t>
      </w:r>
    </w:p>
    <w:p w14:paraId="0509E1FF"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lang w:eastAsia="zh-CN" w:bidi="hi-IN"/>
        </w:rPr>
        <w:t>RAPPAPORT, D.; MONTAGNINI, R. Tree species growth under a rubber (Hevea brasiliensis) plantation: native restoration via enrichment plant</w:t>
      </w:r>
      <w:r>
        <w:rPr>
          <w:rFonts w:eastAsia="NSimSun" w:cs="Arial"/>
          <w:sz w:val="20"/>
          <w:szCs w:val="20"/>
          <w:lang w:eastAsia="zh-CN" w:bidi="hi-IN"/>
        </w:rPr>
        <w:t xml:space="preserve">ing in southern Bahia, Brazil. </w:t>
      </w:r>
      <w:r>
        <w:rPr>
          <w:rFonts w:eastAsia="NSimSun" w:cs="Arial"/>
          <w:b/>
          <w:sz w:val="20"/>
          <w:szCs w:val="20"/>
          <w:lang w:eastAsia="zh-CN" w:bidi="hi-IN"/>
        </w:rPr>
        <w:t>New Forests</w:t>
      </w:r>
      <w:r>
        <w:rPr>
          <w:rFonts w:eastAsia="NSimSun" w:cs="Arial"/>
          <w:sz w:val="20"/>
          <w:szCs w:val="20"/>
          <w:lang w:eastAsia="zh-CN" w:bidi="hi-IN"/>
        </w:rPr>
        <w:t>, v. 45, p. 715-732, 2014.</w:t>
      </w:r>
    </w:p>
    <w:p w14:paraId="672FB81E"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lang w:eastAsia="zh-CN" w:bidi="hi-IN"/>
        </w:rPr>
        <w:t xml:space="preserve">SALMAN, A. K. D.; LÓPEZ, G. F. Z.; BENTES-GAMA, M. M.; ANDRADE, C. M. S. </w:t>
      </w:r>
      <w:r>
        <w:rPr>
          <w:rFonts w:eastAsia="NSimSun" w:cs="Arial"/>
          <w:b/>
          <w:sz w:val="20"/>
          <w:szCs w:val="20"/>
          <w:lang w:eastAsia="zh-CN" w:bidi="hi-IN"/>
        </w:rPr>
        <w:t>Espécies arbóreas nativas da Amazônia Ocidental Brasileira com potencial para arborização de pastagens</w:t>
      </w:r>
      <w:r>
        <w:rPr>
          <w:rFonts w:eastAsia="NSimSun" w:cs="Arial"/>
          <w:sz w:val="20"/>
          <w:szCs w:val="20"/>
          <w:lang w:eastAsia="zh-CN" w:bidi="hi-IN"/>
        </w:rPr>
        <w:t>. Porto Velh</w:t>
      </w:r>
      <w:r>
        <w:rPr>
          <w:rFonts w:eastAsia="NSimSun" w:cs="Arial"/>
          <w:sz w:val="20"/>
          <w:szCs w:val="20"/>
          <w:lang w:eastAsia="zh-CN" w:bidi="hi-IN"/>
        </w:rPr>
        <w:t>o, RO: Embrapa Rondônia, 1 ed. 2008. 20 p.</w:t>
      </w:r>
    </w:p>
    <w:p w14:paraId="2CB757DA"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lang w:eastAsia="zh-CN" w:bidi="hi-IN"/>
        </w:rPr>
        <w:t>SCHNEIDER, C. R.; ANGELO, D. H.; ANGELO. A. C.; BEHLING, A.; RÍOS, R. C.; BLUM, C. T. Espécies, práticas silviculturais e monitoramento: estratégias para restauração ecológica de áreas protegidas da Mata Atlântica</w:t>
      </w:r>
      <w:r>
        <w:rPr>
          <w:rFonts w:eastAsia="NSimSun" w:cs="Arial"/>
          <w:sz w:val="20"/>
          <w:szCs w:val="20"/>
          <w:lang w:eastAsia="zh-CN" w:bidi="hi-IN"/>
        </w:rPr>
        <w:t xml:space="preserve">. </w:t>
      </w:r>
      <w:r>
        <w:rPr>
          <w:rFonts w:eastAsia="NSimSun" w:cs="Arial"/>
          <w:b/>
          <w:sz w:val="20"/>
          <w:szCs w:val="20"/>
          <w:lang w:eastAsia="zh-CN" w:bidi="hi-IN"/>
        </w:rPr>
        <w:t>Ciência Florestal</w:t>
      </w:r>
      <w:r>
        <w:rPr>
          <w:rFonts w:eastAsia="NSimSun" w:cs="Arial"/>
          <w:sz w:val="20"/>
          <w:szCs w:val="20"/>
          <w:lang w:eastAsia="zh-CN" w:bidi="hi-IN"/>
        </w:rPr>
        <w:t>, Santa Maria, v. 33, n. 4, p. 1-22, 2023.</w:t>
      </w:r>
    </w:p>
    <w:p w14:paraId="1875CFCB" w14:textId="77777777" w:rsidR="00D87A14" w:rsidRDefault="0096682C">
      <w:pPr>
        <w:widowControl/>
        <w:suppressAutoHyphens/>
        <w:spacing w:after="120"/>
        <w:jc w:val="both"/>
        <w:rPr>
          <w:rFonts w:eastAsia="NSimSun" w:cs="Arial"/>
          <w:sz w:val="20"/>
          <w:szCs w:val="20"/>
          <w:lang w:eastAsia="zh-CN" w:bidi="hi-IN"/>
        </w:rPr>
      </w:pPr>
      <w:r>
        <w:rPr>
          <w:rFonts w:eastAsia="NSimSun" w:cs="Arial"/>
          <w:sz w:val="20"/>
          <w:szCs w:val="20"/>
          <w:lang w:eastAsia="zh-CN" w:bidi="hi-IN"/>
        </w:rPr>
        <w:t>SILVA, N. L.; SANTOS, A. A. L.; SILVA, L. G. SILVA, C. R.; BRANDÃO, C. F. L. S.; LONGHI, R. V. Estrutura e diversidade da regeneração arbórea em uma área recuperada na região metropolitana de Ma</w:t>
      </w:r>
      <w:r>
        <w:rPr>
          <w:rFonts w:eastAsia="NSimSun" w:cs="Arial"/>
          <w:sz w:val="20"/>
          <w:szCs w:val="20"/>
          <w:lang w:eastAsia="zh-CN" w:bidi="hi-IN"/>
        </w:rPr>
        <w:t xml:space="preserve">ceió-Alagoas, Brasil. </w:t>
      </w:r>
      <w:r>
        <w:rPr>
          <w:rFonts w:eastAsia="NSimSun" w:cs="Arial"/>
          <w:b/>
          <w:sz w:val="20"/>
          <w:szCs w:val="20"/>
          <w:lang w:eastAsia="zh-CN" w:bidi="hi-IN"/>
        </w:rPr>
        <w:t>Advances in Forestry Science</w:t>
      </w:r>
      <w:r>
        <w:rPr>
          <w:rFonts w:eastAsia="NSimSun" w:cs="Arial"/>
          <w:sz w:val="20"/>
          <w:szCs w:val="20"/>
          <w:lang w:eastAsia="zh-CN" w:bidi="hi-IN"/>
        </w:rPr>
        <w:t>, Cuiabá, v. 9, n. 1, p. 1661-1673, 2022.</w:t>
      </w:r>
    </w:p>
    <w:sectPr w:rsidR="00D87A14">
      <w:headerReference w:type="even" r:id="rId8"/>
      <w:headerReference w:type="default" r:id="rId9"/>
      <w:footerReference w:type="even" r:id="rId10"/>
      <w:footerReference w:type="default" r:id="rId11"/>
      <w:headerReference w:type="first" r:id="rId12"/>
      <w:footerReference w:type="first" r:id="rId13"/>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5A675" w14:textId="77777777" w:rsidR="0096682C" w:rsidRDefault="0096682C">
      <w:r>
        <w:separator/>
      </w:r>
    </w:p>
  </w:endnote>
  <w:endnote w:type="continuationSeparator" w:id="0">
    <w:p w14:paraId="21AC0530" w14:textId="77777777" w:rsidR="0096682C" w:rsidRDefault="00966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93A4B94-E3F4-46A3-AC8A-1D56FF1F6758}"/>
    <w:embedItalic r:id="rId2" w:fontKey="{BCBC7995-DB64-4D2B-99AA-7EA457204473}"/>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7B380A19-32C9-4F13-8443-7CE46F88F7C3}"/>
  </w:font>
  <w:font w:name="Gungsuh">
    <w:charset w:val="81"/>
    <w:family w:val="roman"/>
    <w:pitch w:val="default"/>
    <w:sig w:usb0="B00002AF" w:usb1="69D77CFB" w:usb2="00000030" w:usb3="00000000" w:csb0="4008009F" w:csb1="DFD70000"/>
    <w:embedRegular r:id="rId4" w:fontKey="{F64B8B45-3DF2-4AAB-94DE-AB640E379516}"/>
  </w:font>
  <w:font w:name="Cambria Math">
    <w:panose1 w:val="02040503050406030204"/>
    <w:charset w:val="00"/>
    <w:family w:val="roman"/>
    <w:pitch w:val="variable"/>
    <w:sig w:usb0="E00006FF" w:usb1="420024FF" w:usb2="02000000" w:usb3="00000000" w:csb0="0000019F" w:csb1="00000000"/>
    <w:embedItalic r:id="rId5" w:fontKey="{4F4EC40D-E38F-4B9E-918A-D1DE9F6F9D25}"/>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86B49066-8D23-442E-B65D-EF80A5870275}"/>
  </w:font>
  <w:font w:name="Calibri">
    <w:panose1 w:val="020F0502020204030204"/>
    <w:charset w:val="00"/>
    <w:family w:val="swiss"/>
    <w:pitch w:val="variable"/>
    <w:sig w:usb0="E4002EFF" w:usb1="C000247B" w:usb2="00000009" w:usb3="00000000" w:csb0="000001FF" w:csb1="00000000"/>
    <w:embedRegular r:id="rId7" w:fontKey="{0DC37C5E-D824-423C-9A02-E5BAD42C5F8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5F28" w14:textId="77777777" w:rsidR="00D87A14" w:rsidRDefault="00D87A14">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48DE7" w14:textId="77777777" w:rsidR="00D87A14" w:rsidRDefault="00D87A14">
    <w:pP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9AC21" w14:textId="77777777" w:rsidR="00D87A14" w:rsidRDefault="00D87A1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2B188" w14:textId="77777777" w:rsidR="0096682C" w:rsidRDefault="0096682C">
      <w:r>
        <w:separator/>
      </w:r>
    </w:p>
  </w:footnote>
  <w:footnote w:type="continuationSeparator" w:id="0">
    <w:p w14:paraId="1D3C21A7" w14:textId="77777777" w:rsidR="0096682C" w:rsidRDefault="009668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B133B" w14:textId="77777777" w:rsidR="00D87A14" w:rsidRDefault="00D87A14">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9D3F6" w14:textId="77777777" w:rsidR="00D87A14" w:rsidRDefault="00D87A14">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47E4B" w14:textId="77777777" w:rsidR="00D87A14" w:rsidRDefault="0096682C">
    <w:pPr>
      <w:pStyle w:val="Cabealho"/>
      <w:jc w:val="center"/>
    </w:pPr>
    <w:r>
      <w:rPr>
        <w:noProof/>
        <w:lang w:bidi="ar-SA"/>
      </w:rPr>
      <w:drawing>
        <wp:inline distT="0" distB="0" distL="0" distR="0">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6955C9"/>
    <w:multiLevelType w:val="multilevel"/>
    <w:tmpl w:val="256955C9"/>
    <w:lvl w:ilvl="0">
      <w:start w:val="1"/>
      <w:numFmt w:val="bullet"/>
      <w:lvlText w:val="●"/>
      <w:lvlJc w:val="left"/>
      <w:pPr>
        <w:ind w:left="1429" w:hanging="360"/>
      </w:pPr>
      <w:rPr>
        <w:strike w:val="0"/>
        <w:dstrike w:val="0"/>
        <w:u w:val="none"/>
      </w:rPr>
    </w:lvl>
    <w:lvl w:ilvl="1">
      <w:start w:val="1"/>
      <w:numFmt w:val="bullet"/>
      <w:lvlText w:val="o"/>
      <w:lvlJc w:val="left"/>
      <w:pPr>
        <w:ind w:left="2149" w:hanging="360"/>
      </w:pPr>
      <w:rPr>
        <w:strike w:val="0"/>
        <w:dstrike w:val="0"/>
        <w:u w:val="none"/>
      </w:rPr>
    </w:lvl>
    <w:lvl w:ilvl="2">
      <w:start w:val="1"/>
      <w:numFmt w:val="bullet"/>
      <w:lvlText w:val="▪"/>
      <w:lvlJc w:val="left"/>
      <w:pPr>
        <w:ind w:left="2869" w:hanging="360"/>
      </w:pPr>
      <w:rPr>
        <w:strike w:val="0"/>
        <w:dstrike w:val="0"/>
        <w:u w:val="none"/>
      </w:rPr>
    </w:lvl>
    <w:lvl w:ilvl="3">
      <w:start w:val="1"/>
      <w:numFmt w:val="bullet"/>
      <w:lvlText w:val="●"/>
      <w:lvlJc w:val="left"/>
      <w:pPr>
        <w:ind w:left="3589" w:hanging="360"/>
      </w:pPr>
      <w:rPr>
        <w:strike w:val="0"/>
        <w:dstrike w:val="0"/>
        <w:u w:val="none"/>
      </w:rPr>
    </w:lvl>
    <w:lvl w:ilvl="4">
      <w:start w:val="1"/>
      <w:numFmt w:val="bullet"/>
      <w:lvlText w:val="o"/>
      <w:lvlJc w:val="left"/>
      <w:pPr>
        <w:ind w:left="4309" w:hanging="360"/>
      </w:pPr>
      <w:rPr>
        <w:strike w:val="0"/>
        <w:dstrike w:val="0"/>
        <w:u w:val="none"/>
      </w:rPr>
    </w:lvl>
    <w:lvl w:ilvl="5">
      <w:start w:val="1"/>
      <w:numFmt w:val="bullet"/>
      <w:lvlText w:val="▪"/>
      <w:lvlJc w:val="left"/>
      <w:pPr>
        <w:ind w:left="5029" w:hanging="360"/>
      </w:pPr>
      <w:rPr>
        <w:strike w:val="0"/>
        <w:dstrike w:val="0"/>
        <w:u w:val="none"/>
      </w:rPr>
    </w:lvl>
    <w:lvl w:ilvl="6">
      <w:start w:val="1"/>
      <w:numFmt w:val="bullet"/>
      <w:lvlText w:val="●"/>
      <w:lvlJc w:val="left"/>
      <w:pPr>
        <w:ind w:left="5749" w:hanging="360"/>
      </w:pPr>
      <w:rPr>
        <w:strike w:val="0"/>
        <w:dstrike w:val="0"/>
        <w:u w:val="none"/>
      </w:rPr>
    </w:lvl>
    <w:lvl w:ilvl="7">
      <w:start w:val="1"/>
      <w:numFmt w:val="bullet"/>
      <w:lvlText w:val="o"/>
      <w:lvlJc w:val="left"/>
      <w:pPr>
        <w:ind w:left="6469" w:hanging="360"/>
      </w:pPr>
      <w:rPr>
        <w:strike w:val="0"/>
        <w:dstrike w:val="0"/>
        <w:u w:val="none"/>
      </w:rPr>
    </w:lvl>
    <w:lvl w:ilvl="8">
      <w:start w:val="1"/>
      <w:numFmt w:val="bullet"/>
      <w:lvlText w:val="▪"/>
      <w:lvlJc w:val="left"/>
      <w:pPr>
        <w:ind w:left="7189" w:hanging="360"/>
      </w:pPr>
      <w:rPr>
        <w:strike w:val="0"/>
        <w:dstrike w:val="0"/>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2EF"/>
    <w:rsid w:val="00041BEC"/>
    <w:rsid w:val="001D53B6"/>
    <w:rsid w:val="002371EF"/>
    <w:rsid w:val="0033715D"/>
    <w:rsid w:val="00391981"/>
    <w:rsid w:val="004F5597"/>
    <w:rsid w:val="005925B4"/>
    <w:rsid w:val="0063467A"/>
    <w:rsid w:val="006402F0"/>
    <w:rsid w:val="006D4103"/>
    <w:rsid w:val="00716BB6"/>
    <w:rsid w:val="0079562D"/>
    <w:rsid w:val="007D27A7"/>
    <w:rsid w:val="008B6596"/>
    <w:rsid w:val="0096682C"/>
    <w:rsid w:val="00987143"/>
    <w:rsid w:val="009C5659"/>
    <w:rsid w:val="009F054C"/>
    <w:rsid w:val="00A521BB"/>
    <w:rsid w:val="00B84A84"/>
    <w:rsid w:val="00B92DA1"/>
    <w:rsid w:val="00C802EF"/>
    <w:rsid w:val="00D87A14"/>
    <w:rsid w:val="00E5343D"/>
    <w:rsid w:val="00E80E55"/>
    <w:rsid w:val="00E92FCF"/>
    <w:rsid w:val="315472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04670"/>
  <w15:docId w15:val="{A06BB4B0-B1F5-4C40-AEE4-2C3004B2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22"/>
      <w:szCs w:val="22"/>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uiPriority w:val="20"/>
    <w:qFormat/>
    <w:rPr>
      <w:i/>
      <w:iCs/>
    </w:rPr>
  </w:style>
  <w:style w:type="character" w:styleId="Hyperlink">
    <w:name w:val="Hyperlink"/>
    <w:basedOn w:val="Fontepargpadro"/>
    <w:uiPriority w:val="99"/>
    <w:unhideWhenUsed/>
    <w:rPr>
      <w:color w:val="0000FF" w:themeColor="hyperlink"/>
      <w:u w:val="single"/>
    </w:rPr>
  </w:style>
  <w:style w:type="paragraph" w:styleId="Corpodetexto">
    <w:name w:val="Body Text"/>
    <w:basedOn w:val="Normal"/>
    <w:uiPriority w:val="1"/>
    <w:qFormat/>
    <w:rPr>
      <w:sz w:val="24"/>
      <w:szCs w:val="24"/>
    </w:rPr>
  </w:style>
  <w:style w:type="paragraph" w:styleId="Textodecomentrio">
    <w:name w:val="annotation text"/>
    <w:basedOn w:val="Normal"/>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pPr>
      <w:widowControl/>
      <w:suppressAutoHyphens/>
      <w:spacing w:before="100" w:after="119"/>
    </w:pPr>
    <w:rPr>
      <w:sz w:val="24"/>
      <w:szCs w:val="24"/>
      <w:lang w:val="en-US" w:eastAsia="ar-SA" w:bidi="ar-SA"/>
    </w:rPr>
  </w:style>
  <w:style w:type="paragraph" w:styleId="Cabealho">
    <w:name w:val="header"/>
    <w:basedOn w:val="Normal"/>
    <w:link w:val="CabealhoChar"/>
    <w:uiPriority w:val="99"/>
    <w:unhideWhenUsed/>
    <w:pPr>
      <w:tabs>
        <w:tab w:val="center" w:pos="4252"/>
        <w:tab w:val="right" w:pos="8504"/>
      </w:tabs>
    </w:pPr>
  </w:style>
  <w:style w:type="paragraph" w:styleId="Rodap">
    <w:name w:val="footer"/>
    <w:basedOn w:val="Normal"/>
    <w:link w:val="RodapChar"/>
    <w:uiPriority w:val="99"/>
    <w:unhideWhenUsed/>
    <w:pPr>
      <w:tabs>
        <w:tab w:val="center" w:pos="4252"/>
        <w:tab w:val="right" w:pos="8504"/>
      </w:tabs>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character" w:customStyle="1" w:styleId="CabealhoChar">
    <w:name w:val="Cabeçalho Char"/>
    <w:basedOn w:val="Fontepargpadro"/>
    <w:link w:val="Cabealho"/>
    <w:uiPriority w:val="99"/>
    <w:rPr>
      <w:rFonts w:ascii="Times New Roman" w:eastAsia="Times New Roman" w:hAnsi="Times New Roman" w:cs="Times New Roman"/>
      <w:lang w:val="pt-BR" w:eastAsia="pt-BR" w:bidi="pt-BR"/>
    </w:rPr>
  </w:style>
  <w:style w:type="character" w:customStyle="1" w:styleId="RodapChar">
    <w:name w:val="Rodapé Char"/>
    <w:basedOn w:val="Fontepargpadro"/>
    <w:link w:val="Rodap"/>
    <w:uiPriority w:val="99"/>
    <w:rPr>
      <w:rFonts w:ascii="Times New Roman" w:eastAsia="Times New Roman" w:hAnsi="Times New Roman" w:cs="Times New Roman"/>
      <w:lang w:val="pt-BR" w:eastAsia="pt-BR" w:bidi="pt-BR"/>
    </w:rPr>
  </w:style>
  <w:style w:type="table" w:customStyle="1" w:styleId="Style25">
    <w:name w:val="_Style 25"/>
    <w:basedOn w:val="TableNormal"/>
    <w:tblPr>
      <w:tblCellMar>
        <w:left w:w="115" w:type="dxa"/>
        <w:right w:w="115" w:type="dxa"/>
      </w:tblCellMar>
    </w:tblPr>
  </w:style>
  <w:style w:type="table" w:customStyle="1" w:styleId="Style26">
    <w:name w:val="_Style 26"/>
    <w:basedOn w:val="TableNormal"/>
    <w:tblPr>
      <w:tblCellMar>
        <w:left w:w="108" w:type="dxa"/>
        <w:right w:w="108" w:type="dxa"/>
      </w:tblCellMar>
    </w:tblPr>
  </w:style>
  <w:style w:type="paragraph" w:customStyle="1" w:styleId="Reviso1">
    <w:name w:val="Revisão1"/>
    <w:hidden/>
    <w:uiPriority w:val="99"/>
    <w:semiHidden/>
    <w:qFormat/>
    <w:rPr>
      <w:sz w:val="22"/>
      <w:szCs w:val="22"/>
      <w:lang w:bidi="pt-BR"/>
    </w:rPr>
  </w:style>
  <w:style w:type="character" w:customStyle="1" w:styleId="UnresolvedMention">
    <w:name w:val="Unresolved Mention"/>
    <w:basedOn w:val="Fontepargpadro"/>
    <w:uiPriority w:val="99"/>
    <w:semiHidden/>
    <w:unhideWhenUsed/>
    <w:qFormat/>
    <w:rPr>
      <w:color w:val="605E5C"/>
      <w:shd w:val="clear" w:color="auto" w:fill="E1DFDD"/>
    </w:rPr>
  </w:style>
  <w:style w:type="paragraph" w:customStyle="1" w:styleId="LO-normal">
    <w:name w:val="LO-normal"/>
    <w:qFormat/>
    <w:pPr>
      <w:widowControl w:val="0"/>
      <w:suppressAutoHyphens/>
    </w:pPr>
    <w:rPr>
      <w:rFonts w:eastAsia="NSimSun" w:cs="Arial"/>
      <w:sz w:val="22"/>
      <w:szCs w:val="22"/>
      <w:lang w:eastAsia="zh-CN" w:bidi="hi-IN"/>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9C5659"/>
    <w:rPr>
      <w:rFonts w:ascii="Segoe UI" w:hAnsi="Segoe UI" w:cs="Segoe UI"/>
      <w:sz w:val="18"/>
      <w:szCs w:val="18"/>
    </w:rPr>
  </w:style>
  <w:style w:type="character" w:customStyle="1" w:styleId="TextodebaloChar">
    <w:name w:val="Texto de balão Char"/>
    <w:basedOn w:val="Fontepargpadro"/>
    <w:link w:val="Textodebalo"/>
    <w:uiPriority w:val="99"/>
    <w:semiHidden/>
    <w:rsid w:val="009C5659"/>
    <w:rPr>
      <w:rFonts w:ascii="Segoe UI" w:hAnsi="Segoe UI" w:cs="Segoe UI"/>
      <w:sz w:val="18"/>
      <w:szCs w:val="18"/>
      <w:lang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Pages>
  <Words>2387</Words>
  <Characters>12891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USER</cp:lastModifiedBy>
  <cp:revision>7</cp:revision>
  <dcterms:created xsi:type="dcterms:W3CDTF">2024-05-19T23:16:00Z</dcterms:created>
  <dcterms:modified xsi:type="dcterms:W3CDTF">2025-06-25T01:49:00Z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y fmtid="{D5CDD505-2E9C-101B-9397-08002B2CF9AE}" pid="5" name="KSOProductBuildVer">
    <vt:lpwstr>1046-12.2.0.21179</vt:lpwstr>
  </property>
  <property fmtid="{D5CDD505-2E9C-101B-9397-08002B2CF9AE}" pid="6" name="ICV">
    <vt:lpwstr>7F4A6C0A33AC4DA5A8DA04F537EDEAB1_12</vt:lpwstr>
  </property>
</Properties>
</file>