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ANÁLISE MORFOMÉTRICA DE </w:t>
      </w:r>
      <w:r w:rsidDel="00000000" w:rsidR="00000000" w:rsidRPr="00000000">
        <w:rPr>
          <w:rFonts w:ascii="Times New Roman" w:cs="Times New Roman" w:eastAsia="Times New Roman" w:hAnsi="Times New Roman"/>
          <w:b w:val="1"/>
          <w:i w:val="1"/>
          <w:sz w:val="24"/>
          <w:szCs w:val="24"/>
          <w:rtl w:val="0"/>
        </w:rPr>
        <w:t xml:space="preserve">Bowdichia virgilioides </w:t>
      </w:r>
      <w:r w:rsidDel="00000000" w:rsidR="00000000" w:rsidRPr="00000000">
        <w:rPr>
          <w:rFonts w:ascii="Times New Roman" w:cs="Times New Roman" w:eastAsia="Times New Roman" w:hAnsi="Times New Roman"/>
          <w:b w:val="1"/>
          <w:sz w:val="24"/>
          <w:szCs w:val="24"/>
          <w:rtl w:val="0"/>
        </w:rPr>
        <w:t xml:space="preserve">KUNTH EM UM FRAGMENTO DE TABULEIRO EM MACAÍBA-RN</w:t>
      </w:r>
    </w:p>
    <w:p w:rsidR="00000000" w:rsidDel="00000000" w:rsidP="00000000" w:rsidRDefault="00000000" w:rsidRPr="00000000" w14:paraId="00000002">
      <w:pPr>
        <w:widowControl w:val="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1"/>
        <w:jc w:val="center"/>
        <w:rPr>
          <w:rFonts w:ascii="Times New Roman" w:cs="Times New Roman" w:eastAsia="Times New Roman" w:hAnsi="Times New Roman"/>
          <w:b w:val="1"/>
          <w:sz w:val="24"/>
          <w:szCs w:val="24"/>
        </w:rPr>
      </w:pPr>
      <w:bookmarkStart w:colFirst="0" w:colLast="0" w:name="_g1soi634xxsz" w:id="0"/>
      <w:bookmarkEnd w:id="0"/>
      <w:r w:rsidDel="00000000" w:rsidR="00000000" w:rsidRPr="00000000">
        <w:rPr>
          <w:rtl w:val="0"/>
        </w:rPr>
      </w:r>
    </w:p>
    <w:p w:rsidR="00000000" w:rsidDel="00000000" w:rsidP="00000000" w:rsidRDefault="00000000" w:rsidRPr="00000000" w14:paraId="00000004">
      <w:pPr>
        <w:spacing w:line="276" w:lineRule="auto"/>
        <w:ind w:left="221" w:right="214"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Igor Modesto Alves Varella Brasil</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Athirson Virginio Nogueira</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Kyvia Pontes Teixeira das Chagas</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Ivaneide Maria da Silva Barbosa</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Ian Antonio Soares Bezerra da Costa</w:t>
      </w:r>
      <w:r w:rsidDel="00000000" w:rsidR="00000000" w:rsidRPr="00000000">
        <w:rPr>
          <w:rFonts w:ascii="Times New Roman" w:cs="Times New Roman" w:eastAsia="Times New Roman" w:hAnsi="Times New Roman"/>
          <w:b w:val="1"/>
          <w:sz w:val="20"/>
          <w:szCs w:val="20"/>
          <w:vertAlign w:val="superscript"/>
          <w:rtl w:val="0"/>
        </w:rPr>
        <w:t xml:space="preserve">1 </w:t>
      </w:r>
      <w:r w:rsidDel="00000000" w:rsidR="00000000" w:rsidRPr="00000000">
        <w:rPr>
          <w:rtl w:val="0"/>
        </w:rPr>
      </w:r>
    </w:p>
    <w:p w:rsidR="00000000" w:rsidDel="00000000" w:rsidP="00000000" w:rsidRDefault="00000000" w:rsidRPr="00000000" w14:paraId="00000005">
      <w:pPr>
        <w:spacing w:line="276" w:lineRule="auto"/>
        <w:ind w:left="221" w:right="214"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Universidade Federal do Rio Grande do Norte.</w:t>
      </w:r>
    </w:p>
    <w:p w:rsidR="00000000" w:rsidDel="00000000" w:rsidP="00000000" w:rsidRDefault="00000000" w:rsidRPr="00000000" w14:paraId="00000006">
      <w:pPr>
        <w:spacing w:line="276" w:lineRule="auto"/>
        <w:ind w:left="221" w:right="214"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hyperlink r:id="rId6">
        <w:r w:rsidDel="00000000" w:rsidR="00000000" w:rsidRPr="00000000">
          <w:rPr>
            <w:rFonts w:ascii="Times New Roman" w:cs="Times New Roman" w:eastAsia="Times New Roman" w:hAnsi="Times New Roman"/>
            <w:color w:val="1155cc"/>
            <w:sz w:val="20"/>
            <w:szCs w:val="20"/>
            <w:u w:val="single"/>
            <w:rtl w:val="0"/>
          </w:rPr>
          <w:t xml:space="preserve">igormodestoavb123@gmail.com</w:t>
        </w:r>
      </w:hyperlink>
      <w:r w:rsidDel="00000000" w:rsidR="00000000" w:rsidRPr="00000000">
        <w:rPr>
          <w:rFonts w:ascii="Times New Roman" w:cs="Times New Roman" w:eastAsia="Times New Roman" w:hAnsi="Times New Roman"/>
          <w:sz w:val="20"/>
          <w:szCs w:val="20"/>
          <w:rtl w:val="0"/>
        </w:rPr>
        <w:t xml:space="preserve">, </w:t>
      </w:r>
      <w:hyperlink r:id="rId7">
        <w:r w:rsidDel="00000000" w:rsidR="00000000" w:rsidRPr="00000000">
          <w:rPr>
            <w:rFonts w:ascii="Times New Roman" w:cs="Times New Roman" w:eastAsia="Times New Roman" w:hAnsi="Times New Roman"/>
            <w:color w:val="1155cc"/>
            <w:sz w:val="20"/>
            <w:szCs w:val="20"/>
            <w:u w:val="single"/>
            <w:rtl w:val="0"/>
          </w:rPr>
          <w:t xml:space="preserve">athir2003@outlook.com</w:t>
        </w:r>
      </w:hyperlink>
      <w:r w:rsidDel="00000000" w:rsidR="00000000" w:rsidRPr="00000000">
        <w:rPr>
          <w:rFonts w:ascii="Times New Roman" w:cs="Times New Roman" w:eastAsia="Times New Roman" w:hAnsi="Times New Roman"/>
          <w:sz w:val="20"/>
          <w:szCs w:val="20"/>
          <w:rtl w:val="0"/>
        </w:rPr>
        <w:t xml:space="preserve">, </w:t>
      </w:r>
      <w:hyperlink r:id="rId8">
        <w:r w:rsidDel="00000000" w:rsidR="00000000" w:rsidRPr="00000000">
          <w:rPr>
            <w:rFonts w:ascii="Times New Roman" w:cs="Times New Roman" w:eastAsia="Times New Roman" w:hAnsi="Times New Roman"/>
            <w:color w:val="1155cc"/>
            <w:sz w:val="20"/>
            <w:szCs w:val="20"/>
            <w:u w:val="single"/>
            <w:rtl w:val="0"/>
          </w:rPr>
          <w:t xml:space="preserve">kyviapontes@gmail.com</w:t>
        </w:r>
      </w:hyperlink>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color w:val="1155cc"/>
            <w:sz w:val="20"/>
            <w:szCs w:val="20"/>
            <w:u w:val="single"/>
            <w:rtl w:val="0"/>
          </w:rPr>
          <w:t xml:space="preserve">maivacarey@hotmail.com</w:t>
        </w:r>
      </w:hyperlink>
      <w:r w:rsidDel="00000000" w:rsidR="00000000" w:rsidRPr="00000000">
        <w:rPr>
          <w:rFonts w:ascii="Times New Roman" w:cs="Times New Roman" w:eastAsia="Times New Roman" w:hAnsi="Times New Roman"/>
          <w:sz w:val="20"/>
          <w:szCs w:val="20"/>
          <w:rtl w:val="0"/>
        </w:rPr>
        <w:t xml:space="preserve">, </w:t>
      </w:r>
      <w:hyperlink r:id="rId10">
        <w:r w:rsidDel="00000000" w:rsidR="00000000" w:rsidRPr="00000000">
          <w:rPr>
            <w:rFonts w:ascii="Times New Roman" w:cs="Times New Roman" w:eastAsia="Times New Roman" w:hAnsi="Times New Roman"/>
            <w:color w:val="1155cc"/>
            <w:sz w:val="20"/>
            <w:szCs w:val="20"/>
            <w:u w:val="single"/>
            <w:rtl w:val="0"/>
          </w:rPr>
          <w:t xml:space="preserve">ianantonio1213@gmail.com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7">
      <w:pPr>
        <w:spacing w:line="276" w:lineRule="auto"/>
        <w:ind w:left="221" w:right="214"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76" w:lineRule="auto"/>
        <w:ind w:left="221" w:right="214"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Conservação da Natureza</w:t>
      </w:r>
    </w:p>
    <w:p w:rsidR="00000000" w:rsidDel="00000000" w:rsidP="00000000" w:rsidRDefault="00000000" w:rsidRPr="00000000" w14:paraId="0000000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w:t>
      </w:r>
    </w:p>
    <w:p w:rsidR="00000000" w:rsidDel="00000000" w:rsidP="00000000" w:rsidRDefault="00000000" w:rsidRPr="00000000" w14:paraId="0000000A">
      <w:pPr>
        <w:jc w:val="both"/>
        <w:rPr>
          <w:sz w:val="20"/>
          <w:szCs w:val="20"/>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sz w:val="20"/>
          <w:szCs w:val="20"/>
          <w:highlight w:val="yellow"/>
        </w:rPr>
      </w:pPr>
      <w:r w:rsidDel="00000000" w:rsidR="00000000" w:rsidRPr="00000000">
        <w:rPr>
          <w:rFonts w:ascii="Times New Roman" w:cs="Times New Roman" w:eastAsia="Times New Roman" w:hAnsi="Times New Roman"/>
          <w:b w:val="1"/>
          <w:sz w:val="20"/>
          <w:szCs w:val="20"/>
          <w:rtl w:val="0"/>
        </w:rPr>
        <w:t xml:space="preserve">RESUMO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C">
      <w:pPr>
        <w:ind w:left="566" w:right="571" w:firstLine="2.0000000000000284"/>
        <w:jc w:val="both"/>
        <w:rPr>
          <w:rFonts w:ascii="Times New Roman" w:cs="Times New Roman" w:eastAsia="Times New Roman" w:hAnsi="Times New Roman"/>
          <w:sz w:val="20"/>
          <w:szCs w:val="20"/>
          <w:shd w:fill="fbfbf3" w:val="clear"/>
        </w:rPr>
      </w:pPr>
      <w:r w:rsidDel="00000000" w:rsidR="00000000" w:rsidRPr="00000000">
        <w:rPr>
          <w:rtl w:val="0"/>
        </w:rPr>
      </w:r>
    </w:p>
    <w:p w:rsidR="00000000" w:rsidDel="00000000" w:rsidP="00000000" w:rsidRDefault="00000000" w:rsidRPr="00000000" w14:paraId="0000000D">
      <w:pPr>
        <w:widowControl w:val="1"/>
        <w:ind w:left="567" w:right="57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espécie </w:t>
      </w:r>
      <w:r w:rsidDel="00000000" w:rsidR="00000000" w:rsidRPr="00000000">
        <w:rPr>
          <w:rFonts w:ascii="Times New Roman" w:cs="Times New Roman" w:eastAsia="Times New Roman" w:hAnsi="Times New Roman"/>
          <w:i w:val="1"/>
          <w:sz w:val="20"/>
          <w:szCs w:val="20"/>
          <w:rtl w:val="0"/>
        </w:rPr>
        <w:t xml:space="preserve">Bowdichia virgilioides</w:t>
      </w:r>
      <w:r w:rsidDel="00000000" w:rsidR="00000000" w:rsidRPr="00000000">
        <w:rPr>
          <w:rFonts w:ascii="Times New Roman" w:cs="Times New Roman" w:eastAsia="Times New Roman" w:hAnsi="Times New Roman"/>
          <w:sz w:val="20"/>
          <w:szCs w:val="20"/>
          <w:rtl w:val="0"/>
        </w:rPr>
        <w:t xml:space="preserve"> Kunth (sucupira-preta) foi o alvo da pesquisa morfométrica, pois possui um grande interesse em diversas áreas devida às propriedades de sua madeira, propriedades medicinais, potencial paisagístico e para a recuperação de áreas degradadas. Desse modo, o objetivo desse estudo foi avaliar a variabilidade das características morfométricas de </w:t>
      </w:r>
      <w:r w:rsidDel="00000000" w:rsidR="00000000" w:rsidRPr="00000000">
        <w:rPr>
          <w:rFonts w:ascii="Times New Roman" w:cs="Times New Roman" w:eastAsia="Times New Roman" w:hAnsi="Times New Roman"/>
          <w:i w:val="1"/>
          <w:sz w:val="20"/>
          <w:szCs w:val="20"/>
          <w:rtl w:val="0"/>
        </w:rPr>
        <w:t xml:space="preserve">Bowdichia virgilioides</w:t>
      </w:r>
      <w:r w:rsidDel="00000000" w:rsidR="00000000" w:rsidRPr="00000000">
        <w:rPr>
          <w:rFonts w:ascii="Times New Roman" w:cs="Times New Roman" w:eastAsia="Times New Roman" w:hAnsi="Times New Roman"/>
          <w:sz w:val="20"/>
          <w:szCs w:val="20"/>
          <w:rtl w:val="0"/>
        </w:rPr>
        <w:t xml:space="preserve"> em um fragmento natural. O estudo foi realizado no município de Macaíba, no campus EAJ - UFRN, em uma mata de tabuleiro. Foram coletados dados de 15 indivíduos de uma população, e as medições incluem a altura dos indivíduos (Alt), área da copa (COPA), diâmetro a altura do peito (DAP) e diâmetro altura do solo (DAS). Os resultados mostraram alta variabilidade em algumas dimensões, especialmente na área da copa (CV = 85,85%) e no DAS (CV = 40,66%), sugerindo uma heterogeneidade estrutural provavelmente influenciada pelo efeito de borda e pelo estágio de regeneração da área. A análise de correlação de Spearman indicou fortes relações entre as variáveis de diâmetro (DAS e DAP) e a área da copa, enquanto as correlações envolvendo a Alt foram moderadas. Isso evidencia que a expansão lateral (copa) e o vigor do tronco são melhores indicadores do desenvolvimento da espécie do que a altura isoladamente. Conclui-se que </w:t>
      </w:r>
      <w:r w:rsidDel="00000000" w:rsidR="00000000" w:rsidRPr="00000000">
        <w:rPr>
          <w:rFonts w:ascii="Times New Roman" w:cs="Times New Roman" w:eastAsia="Times New Roman" w:hAnsi="Times New Roman"/>
          <w:i w:val="1"/>
          <w:sz w:val="20"/>
          <w:szCs w:val="20"/>
          <w:rtl w:val="0"/>
        </w:rPr>
        <w:t xml:space="preserve">Bowdichia virgilioides</w:t>
      </w:r>
      <w:r w:rsidDel="00000000" w:rsidR="00000000" w:rsidRPr="00000000">
        <w:rPr>
          <w:rFonts w:ascii="Times New Roman" w:cs="Times New Roman" w:eastAsia="Times New Roman" w:hAnsi="Times New Roman"/>
          <w:sz w:val="20"/>
          <w:szCs w:val="20"/>
          <w:rtl w:val="0"/>
        </w:rPr>
        <w:t xml:space="preserve"> apresenta comportamento morfométrico promissor para uso em ações de recuperação ambiental e silvicultura. A alta variabilidade observada reforça a necessidade de mais estudos, considerando o potencial ornamental da espécie e o valor comercial de sua madeira.  </w:t>
      </w:r>
    </w:p>
    <w:p w:rsidR="00000000" w:rsidDel="00000000" w:rsidP="00000000" w:rsidRDefault="00000000" w:rsidRPr="00000000" w14:paraId="0000000E">
      <w:pPr>
        <w:widowControl w:val="1"/>
        <w:ind w:left="567" w:right="4" w:hanging="5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Palavras-chave</w:t>
      </w:r>
      <w:r w:rsidDel="00000000" w:rsidR="00000000" w:rsidRPr="00000000">
        <w:rPr>
          <w:rFonts w:ascii="Times New Roman" w:cs="Times New Roman" w:eastAsia="Times New Roman" w:hAnsi="Times New Roman"/>
          <w:sz w:val="20"/>
          <w:szCs w:val="20"/>
          <w:rtl w:val="0"/>
        </w:rPr>
        <w:t xml:space="preserve">: morfometria, tabuleiro, paisagismo.</w:t>
      </w:r>
    </w:p>
    <w:p w:rsidR="00000000" w:rsidDel="00000000" w:rsidP="00000000" w:rsidRDefault="00000000" w:rsidRPr="00000000" w14:paraId="0000000F">
      <w:pPr>
        <w:widowControl w:val="1"/>
        <w:ind w:firstLine="70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0">
      <w:pPr>
        <w:widowControl w:val="1"/>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INTRODUÇÃO </w:t>
      </w:r>
      <w:r w:rsidDel="00000000" w:rsidR="00000000" w:rsidRPr="00000000">
        <w:rPr>
          <w:rtl w:val="0"/>
        </w:rPr>
      </w:r>
    </w:p>
    <w:p w:rsidR="00000000" w:rsidDel="00000000" w:rsidP="00000000" w:rsidRDefault="00000000" w:rsidRPr="00000000" w14:paraId="00000012">
      <w:pPr>
        <w:widowControl w:val="1"/>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degradação das matas nativas no estado do Rio Grande do Norte tem se intensificado nas últimas décadas, impulsionada principalmente pela expansão agrícola, pelo crescimento urbano desordenado e pela exploração inadequada dos recursos naturais. Entre 2020 e 2021, o estado registrou um aumento de 70% na área desmatada, passando de 3.972 para 6.760 hectares de cobertura vegetal suprimida, segundo dados do Relatório Anual de Desmatamento no Brasil (RAD), organizado pelo MapBiomas (AGORA RN, 2022).</w:t>
      </w:r>
    </w:p>
    <w:p w:rsidR="00000000" w:rsidDel="00000000" w:rsidP="00000000" w:rsidRDefault="00000000" w:rsidRPr="00000000" w14:paraId="00000013">
      <w:pPr>
        <w:widowControl w:val="1"/>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Apesar desse cenário preocupante, o Rio Grande do Norte ainda abriga remanescentes significativos da Mata Atlântica, especialmente ao longo do litoral leste. Esses remanescentes estão distribuídos em 27 municípios e incluem ecossistemas diversos como mata de tabuleiro, restinga e manguezal (RBMA, 2021).  Nesses ambientes, destaca-se a ocorrência de </w:t>
      </w:r>
      <w:r w:rsidDel="00000000" w:rsidR="00000000" w:rsidRPr="00000000">
        <w:rPr>
          <w:rFonts w:ascii="Times New Roman" w:cs="Times New Roman" w:eastAsia="Times New Roman" w:hAnsi="Times New Roman"/>
          <w:i w:val="1"/>
          <w:sz w:val="20"/>
          <w:szCs w:val="20"/>
          <w:rtl w:val="0"/>
        </w:rPr>
        <w:t xml:space="preserve">Bowdichia virgilioides</w:t>
      </w:r>
      <w:r w:rsidDel="00000000" w:rsidR="00000000" w:rsidRPr="00000000">
        <w:rPr>
          <w:rFonts w:ascii="Times New Roman" w:cs="Times New Roman" w:eastAsia="Times New Roman" w:hAnsi="Times New Roman"/>
          <w:sz w:val="20"/>
          <w:szCs w:val="20"/>
          <w:rtl w:val="0"/>
        </w:rPr>
        <w:t xml:space="preserve"> Kunth, conhecida popularmente como sucupira ou sucupira-preta, uma espécie nativa da América do Sul que ocorre amplamente em diferentes biomas brasileiros, incluindo a Mata Atlântica e a Caatinga (PROFLORA, 2024).</w:t>
      </w:r>
    </w:p>
    <w:p w:rsidR="00000000" w:rsidDel="00000000" w:rsidP="00000000" w:rsidRDefault="00000000" w:rsidRPr="00000000" w14:paraId="00000014">
      <w:pPr>
        <w:widowControl w:val="1"/>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morfometria vegetal, enquanto ferramenta de análise estrutural, é essencial para a compreensão do desenvolvimento das espécies florestais e para o planejamento de estratégias de manejo. No caso da sucupira, a análise de variáveis como diâmetro à altura do peito (DAP), diâmetro à altura do solo (DAS), altura total e características da copa permite avaliar o potencial ecológico e silvicultural da espécie, subsidiando ações de conservação e restauração florestal (FELFILI; REZENDE, 2003).</w:t>
      </w:r>
    </w:p>
    <w:p w:rsidR="00000000" w:rsidDel="00000000" w:rsidP="00000000" w:rsidRDefault="00000000" w:rsidRPr="00000000" w14:paraId="00000015">
      <w:pPr>
        <w:widowControl w:val="1"/>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caracterização morfométrica</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justifica-se pela necessidade de ampliar o conhecimento sobre comportamento das espécies florestais em áreas nativas, fornecendo suporte técnico para ações de recuperação ambiental, desenvolvimento na silvicultura e conservação da biodiversidade. Com isso, o objetivo deste trabalho é avaliar a variabilidade das características dimensionais e correlacioná-las, buscando compreender o comportamento morfométrico dessa espécie em um fragmento natural.</w:t>
      </w:r>
    </w:p>
    <w:p w:rsidR="00000000" w:rsidDel="00000000" w:rsidP="00000000" w:rsidRDefault="00000000" w:rsidRPr="00000000" w14:paraId="00000016">
      <w:pPr>
        <w:widowControl w:val="1"/>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7">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MATERIAL E MÉTODOS</w:t>
      </w:r>
    </w:p>
    <w:p w:rsidR="00000000" w:rsidDel="00000000" w:rsidP="00000000" w:rsidRDefault="00000000" w:rsidRPr="00000000" w14:paraId="00000018">
      <w:pPr>
        <w:widowControl w:val="1"/>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9">
      <w:pPr>
        <w:widowControl w:val="1"/>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Área de estudo</w:t>
      </w:r>
    </w:p>
    <w:p w:rsidR="00000000" w:rsidDel="00000000" w:rsidP="00000000" w:rsidRDefault="00000000" w:rsidRPr="00000000" w14:paraId="0000001A">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ab/>
      </w:r>
      <w:r w:rsidDel="00000000" w:rsidR="00000000" w:rsidRPr="00000000">
        <w:rPr>
          <w:rFonts w:ascii="Times New Roman" w:cs="Times New Roman" w:eastAsia="Times New Roman" w:hAnsi="Times New Roman"/>
          <w:sz w:val="20"/>
          <w:szCs w:val="20"/>
          <w:rtl w:val="0"/>
        </w:rPr>
        <w:t xml:space="preserve">A pesquisa foi realizada em uma área dentro do Campus de Macaíba (UFRN/EAJ), nas coordenadas centrais de Latitude -5°88'63 ", Longitude -35°35' 94" e Altitude 35,6 m, e, de acordo com a classificação climática de Köppen-Geiger, essa região se enquadra no tipo Aw, caracterizado como clima tropical com estação seca no inverno (ALVARES et al., 2013). Esse clima influencia diretamente a vegetação natural, favorecendo formações características como as matas de tabuleiro, que ocorrem sobre solos arenosos, em áreas de relevo plano ou suavemente ondulado, com vegetação composta por espécies adaptadas a períodos de estresse hídrico (SOUZA et al., 2014). Essas matas representam remanescentes importantes da transição entre a floresta ombrófila densa e as formações abertas da Caatinga, ocorrendo especialmente no litoral oriental do estado. </w:t>
      </w:r>
    </w:p>
    <w:p w:rsidR="00000000" w:rsidDel="00000000" w:rsidP="00000000" w:rsidRDefault="00000000" w:rsidRPr="00000000" w14:paraId="0000001B">
      <w:pPr>
        <w:widowControl w:val="1"/>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Foram coletados dados de 15 indivíduos, como: Altura total em m (Alt), Diâmetro a Altura do Peito (DAP) em cm, Diâmetro a Altura do Solo (DAS) em cm e área da copa em m² (COPA). A altura total foi estimada através da projeção de uma referência de uma altura conhecida, considerando a distância entre a superfície do solo até o último ramo vivo da planta. O mesmo vale para as copas, onde as áreas foram estimadas a partir da fórmula da área da elipse (A= πRr), de acordo com Coelho (2008). As medições do DAP e DAS foram obtidas com auxílio de uma régua, enquanto a Alt e a COPA foram estimadas com a ajuda de um bastão e um voluntário com as medidas somadas para facilitar a estimativa das alturas. Todos os DAPs e DASs foram contabilizados e determinados através da equação de acordo com Scolforo e Mello (1997).</w:t>
      </w:r>
    </w:p>
    <w:p w:rsidR="00000000" w:rsidDel="00000000" w:rsidP="00000000" w:rsidRDefault="00000000" w:rsidRPr="00000000" w14:paraId="0000001C">
      <w:pPr>
        <w:widowControl w:val="1"/>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widowControl w:val="1"/>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Análise de dados</w:t>
      </w:r>
    </w:p>
    <w:p w:rsidR="00000000" w:rsidDel="00000000" w:rsidP="00000000" w:rsidRDefault="00000000" w:rsidRPr="00000000" w14:paraId="0000001E">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ab/>
      </w:r>
      <w:r w:rsidDel="00000000" w:rsidR="00000000" w:rsidRPr="00000000">
        <w:rPr>
          <w:rFonts w:ascii="Times New Roman" w:cs="Times New Roman" w:eastAsia="Times New Roman" w:hAnsi="Times New Roman"/>
          <w:sz w:val="20"/>
          <w:szCs w:val="20"/>
          <w:rtl w:val="0"/>
        </w:rPr>
        <w:t xml:space="preserve">A análise estatística foi conduzida por meio dos softwares BioEstat e Microsoft Excel. Para verificar a adequação à distribuição normal, as variáveis alométricas foram submetidas ao teste de normalidade de Lilliefors, o qual indicou divergência estatística. Diante disso, utilizou-se o coeficiente de correlação não paramétrico de Spearman (rs), juntamente com o respectivo nível de significância (p). As análises foram realizadas considerando as seguintes relações morfométricas:  a) DAS x DAP; b) DAS x altura total; c) DAS x COPA; d) DAP x altura total; e) DAP x COPA; f) altura total x COPA.</w:t>
      </w:r>
    </w:p>
    <w:p w:rsidR="00000000" w:rsidDel="00000000" w:rsidP="00000000" w:rsidRDefault="00000000" w:rsidRPr="00000000" w14:paraId="0000001F">
      <w:pPr>
        <w:widowControl w:val="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RESULTADOS E DISCUSSÃO </w:t>
      </w:r>
    </w:p>
    <w:p w:rsidR="00000000" w:rsidDel="00000000" w:rsidP="00000000" w:rsidRDefault="00000000" w:rsidRPr="00000000" w14:paraId="00000021">
      <w:pPr>
        <w:widowControl w:val="1"/>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2">
      <w:pPr>
        <w:widowControl w:val="1"/>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resultados obtidos na análise apontam que, a partir dos dados coletados em campo, o DAS apresenta uma maior dispersão, com uma média de 18,87 cm, alta amplitude (27 cm) e levemente assimétrica; o DAP tem menor variabilidade relativa (CV = 35,52%), indicando sua proporcionalidade com a altura, com uma média de 14,47 cm; ALT apresenta moderadas variações, com uma média de 6,03 m e uma assimetria baixa (0,16); e a COPA tem maior coeficiente de variação (CV = 45,6%), indicando uma maior heterogeneidade relativa (Tabela 1). </w:t>
      </w:r>
    </w:p>
    <w:p w:rsidR="00000000" w:rsidDel="00000000" w:rsidP="00000000" w:rsidRDefault="00000000" w:rsidRPr="00000000" w14:paraId="00000023">
      <w:pPr>
        <w:widowControl w:val="1"/>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Tabela 1. Estatística descritiva das variáveis morfométricas de </w:t>
      </w:r>
      <w:r w:rsidDel="00000000" w:rsidR="00000000" w:rsidRPr="00000000">
        <w:rPr>
          <w:rFonts w:ascii="Times New Roman" w:cs="Times New Roman" w:eastAsia="Times New Roman" w:hAnsi="Times New Roman"/>
          <w:i w:val="1"/>
          <w:sz w:val="20"/>
          <w:szCs w:val="20"/>
          <w:rtl w:val="0"/>
        </w:rPr>
        <w:t xml:space="preserve">Bowdichia virgilioides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5">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1. Descriptive statistics of the morphometric variables of </w:t>
      </w:r>
      <w:r w:rsidDel="00000000" w:rsidR="00000000" w:rsidRPr="00000000">
        <w:rPr>
          <w:rFonts w:ascii="Times New Roman" w:cs="Times New Roman" w:eastAsia="Times New Roman" w:hAnsi="Times New Roman"/>
          <w:i w:val="1"/>
          <w:sz w:val="20"/>
          <w:szCs w:val="20"/>
          <w:rtl w:val="0"/>
        </w:rPr>
        <w:t xml:space="preserve">Bowdichia virgilioides</w:t>
      </w:r>
      <w:r w:rsidDel="00000000" w:rsidR="00000000" w:rsidRPr="00000000">
        <w:rPr>
          <w:rFonts w:ascii="Times New Roman" w:cs="Times New Roman" w:eastAsia="Times New Roman" w:hAnsi="Times New Roman"/>
          <w:sz w:val="20"/>
          <w:szCs w:val="20"/>
          <w:rtl w:val="0"/>
        </w:rPr>
        <w:t xml:space="preserve">.</w:t>
      </w:r>
    </w:p>
    <w:tbl>
      <w:tblPr>
        <w:tblStyle w:val="Table1"/>
        <w:tblW w:w="8893.0" w:type="dxa"/>
        <w:jc w:val="center"/>
        <w:tblLayout w:type="fixed"/>
        <w:tblLook w:val="0000"/>
      </w:tblPr>
      <w:tblGrid>
        <w:gridCol w:w="1701"/>
        <w:gridCol w:w="362"/>
        <w:gridCol w:w="877"/>
        <w:gridCol w:w="850"/>
        <w:gridCol w:w="1559"/>
        <w:gridCol w:w="1193"/>
        <w:gridCol w:w="857"/>
        <w:gridCol w:w="640"/>
        <w:gridCol w:w="854"/>
        <w:tblGridChange w:id="0">
          <w:tblGrid>
            <w:gridCol w:w="1701"/>
            <w:gridCol w:w="362"/>
            <w:gridCol w:w="877"/>
            <w:gridCol w:w="850"/>
            <w:gridCol w:w="1559"/>
            <w:gridCol w:w="1193"/>
            <w:gridCol w:w="857"/>
            <w:gridCol w:w="640"/>
            <w:gridCol w:w="854"/>
          </w:tblGrid>
        </w:tblGridChange>
      </w:tblGrid>
      <w:tr>
        <w:trPr>
          <w:cantSplit w:val="0"/>
          <w:trHeight w:val="30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26">
            <w:pPr>
              <w:widowControl w:val="1"/>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Variáveis morfométricas</w:t>
            </w:r>
          </w:p>
        </w:tc>
        <w:tc>
          <w:tcPr>
            <w:tcBorders>
              <w:top w:color="000000" w:space="0" w:sz="4" w:val="single"/>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27">
            <w:pPr>
              <w:widowControl w:val="1"/>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N</w:t>
            </w:r>
          </w:p>
        </w:tc>
        <w:tc>
          <w:tcPr>
            <w:tcBorders>
              <w:top w:color="000000" w:space="0" w:sz="4" w:val="single"/>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28">
            <w:pPr>
              <w:widowControl w:val="1"/>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Máximo</w:t>
            </w:r>
          </w:p>
        </w:tc>
        <w:tc>
          <w:tcPr>
            <w:tcBorders>
              <w:top w:color="000000" w:space="0" w:sz="4" w:val="single"/>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29">
            <w:pPr>
              <w:widowControl w:val="1"/>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Mínimo</w:t>
            </w:r>
          </w:p>
        </w:tc>
        <w:tc>
          <w:tcPr>
            <w:tcBorders>
              <w:top w:color="000000" w:space="0" w:sz="4" w:val="single"/>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2A">
            <w:pPr>
              <w:widowControl w:val="1"/>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Média ±</w:t>
            </w:r>
          </w:p>
          <w:p w:rsidR="00000000" w:rsidDel="00000000" w:rsidP="00000000" w:rsidRDefault="00000000" w:rsidRPr="00000000" w14:paraId="0000002B">
            <w:pPr>
              <w:widowControl w:val="1"/>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erro padrão</w:t>
            </w:r>
          </w:p>
        </w:tc>
        <w:tc>
          <w:tcPr>
            <w:tcBorders>
              <w:top w:color="000000" w:space="0" w:sz="4" w:val="single"/>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2C">
            <w:pPr>
              <w:widowControl w:val="1"/>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Desvio Padrão</w:t>
            </w:r>
          </w:p>
        </w:tc>
        <w:tc>
          <w:tcPr>
            <w:tcBorders>
              <w:top w:color="000000" w:space="0" w:sz="4" w:val="single"/>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2D">
            <w:pPr>
              <w:widowControl w:val="1"/>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CV (%)</w:t>
            </w:r>
          </w:p>
        </w:tc>
        <w:tc>
          <w:tcPr>
            <w:tcBorders>
              <w:top w:color="000000" w:space="0" w:sz="4" w:val="single"/>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2E">
            <w:pPr>
              <w:widowControl w:val="1"/>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w:t>
            </w:r>
          </w:p>
        </w:tc>
        <w:tc>
          <w:tcPr>
            <w:tcBorders>
              <w:top w:color="000000" w:space="0" w:sz="4" w:val="single"/>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2F">
            <w:pPr>
              <w:widowControl w:val="1"/>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K</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0">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DAS (cm)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1">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2">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3">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18,87 ± 1,98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7,67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40,66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7">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1,02</w:t>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8">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0,98</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9">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DAP (cm)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A">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B">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C">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D">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14,47 ± 1,42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3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38,12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0">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0,40</w:t>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1">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-0,67</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2">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Alt (m)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3">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7,73 ± 0,53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2,07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8">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26,83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9">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0,55</w:t>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A">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-0,55</w:t>
            </w:r>
          </w:p>
        </w:tc>
      </w:tr>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B">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COPA (m²)</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C">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15</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D">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88,84</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6,38</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4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29,1 ± 6,45</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50">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24,97</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51">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85,85</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52">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1,31</w:t>
            </w:r>
          </w:p>
        </w:tc>
        <w:tc>
          <w:tcPr>
            <w:tcBorders>
              <w:top w:color="000000" w:space="0" w:sz="0" w:val="nil"/>
              <w:left w:color="000000" w:space="0" w:sz="0" w:val="nil"/>
              <w:bottom w:color="000000" w:space="0" w:sz="4" w:val="single"/>
              <w:right w:color="000000" w:space="0" w:sz="0" w:val="nil"/>
            </w:tcBorders>
            <w:shd w:fill="auto" w:val="clear"/>
            <w:tcMar>
              <w:top w:w="0.0" w:type="dxa"/>
              <w:left w:w="70.0" w:type="dxa"/>
              <w:bottom w:w="0.0" w:type="dxa"/>
              <w:right w:w="70.0" w:type="dxa"/>
            </w:tcMar>
            <w:vAlign w:val="center"/>
          </w:tcPr>
          <w:p w:rsidR="00000000" w:rsidDel="00000000" w:rsidP="00000000" w:rsidRDefault="00000000" w:rsidRPr="00000000" w14:paraId="00000053">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1,07</w:t>
            </w:r>
          </w:p>
        </w:tc>
      </w:tr>
    </w:tbl>
    <w:p w:rsidR="00000000" w:rsidDel="00000000" w:rsidP="00000000" w:rsidRDefault="00000000" w:rsidRPr="00000000" w14:paraId="00000054">
      <w:pPr>
        <w:widowControl w:val="1"/>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 número de indivíduos; CV, coeficiente de variância; S, assimetria; K, curtose.</w:t>
      </w:r>
    </w:p>
    <w:p w:rsidR="00000000" w:rsidDel="00000000" w:rsidP="00000000" w:rsidRDefault="00000000" w:rsidRPr="00000000" w14:paraId="00000055">
      <w:pPr>
        <w:widowControl w:val="1"/>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widowControl w:val="1"/>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Estudos realizados por Lima et al. (2018) e Silva (2021) demonstram que áreas próximas às bordas apresentam maior heterogeneidade estrutural e alterações na composição de espécies, refletindo diretamente nas variáveis dendrométricas, especialmente em regiões em regeneração natural. Ou seja, no geral, as distribuições são levemente assimétricas e, por mais que os dados tenham sido obtidos de indivíduos de uma área de atividade antrópica, o grau de preservação/regeneração se mostra promissor.  </w:t>
      </w:r>
    </w:p>
    <w:p w:rsidR="00000000" w:rsidDel="00000000" w:rsidP="00000000" w:rsidRDefault="00000000" w:rsidRPr="00000000" w14:paraId="00000057">
      <w:pPr>
        <w:widowControl w:val="1"/>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dados obtidos após a análise de correlação de Spearman deram resultados estatisticamente significativos, ou seja, com P &lt; 0,01 (Tabela 2). Onde a análise das correlações morfométricas revela que as variáveis relacionadas ao diâmetro (DAS e DAP) possuem relações muito fortes entre si e com a área da copa, indicando que o crescimento em espessura está intimamente ligado à expansão lateral da planta. Por outro lado, as correlações envolvendo a altura total são mais moderadas, o que pode refletir maior influência de fatores ambientais ou competição vertical. Esses resultados sugerem que, em </w:t>
      </w:r>
      <w:r w:rsidDel="00000000" w:rsidR="00000000" w:rsidRPr="00000000">
        <w:rPr>
          <w:rFonts w:ascii="Times New Roman" w:cs="Times New Roman" w:eastAsia="Times New Roman" w:hAnsi="Times New Roman"/>
          <w:i w:val="1"/>
          <w:sz w:val="20"/>
          <w:szCs w:val="20"/>
          <w:rtl w:val="0"/>
        </w:rPr>
        <w:t xml:space="preserve">Bowdichia virgilioides</w:t>
      </w:r>
      <w:r w:rsidDel="00000000" w:rsidR="00000000" w:rsidRPr="00000000">
        <w:rPr>
          <w:rFonts w:ascii="Times New Roman" w:cs="Times New Roman" w:eastAsia="Times New Roman" w:hAnsi="Times New Roman"/>
          <w:sz w:val="20"/>
          <w:szCs w:val="20"/>
          <w:rtl w:val="0"/>
        </w:rPr>
        <w:t xml:space="preserve">, a expansão lateral e o vigor do tronco são melhores indicadores do desenvolvimento geral do que a altura isoladamente.</w:t>
      </w:r>
    </w:p>
    <w:p w:rsidR="00000000" w:rsidDel="00000000" w:rsidP="00000000" w:rsidRDefault="00000000" w:rsidRPr="00000000" w14:paraId="00000058">
      <w:pPr>
        <w:widowControl w:val="1"/>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Tabela 2. Análise das correlações morfométricas de </w:t>
      </w:r>
      <w:r w:rsidDel="00000000" w:rsidR="00000000" w:rsidRPr="00000000">
        <w:rPr>
          <w:rFonts w:ascii="Times New Roman" w:cs="Times New Roman" w:eastAsia="Times New Roman" w:hAnsi="Times New Roman"/>
          <w:i w:val="1"/>
          <w:sz w:val="20"/>
          <w:szCs w:val="20"/>
          <w:rtl w:val="0"/>
        </w:rPr>
        <w:t xml:space="preserve">Bowdichia virgilioides</w:t>
      </w:r>
      <w:r w:rsidDel="00000000" w:rsidR="00000000" w:rsidRPr="00000000">
        <w:rPr>
          <w:rFonts w:ascii="Times New Roman" w:cs="Times New Roman" w:eastAsia="Times New Roman" w:hAnsi="Times New Roman"/>
          <w:sz w:val="20"/>
          <w:szCs w:val="20"/>
          <w:rtl w:val="0"/>
        </w:rPr>
        <w:t xml:space="preserve">. * = P &lt; 0,01.</w:t>
      </w:r>
    </w:p>
    <w:p w:rsidR="00000000" w:rsidDel="00000000" w:rsidP="00000000" w:rsidRDefault="00000000" w:rsidRPr="00000000" w14:paraId="0000005A">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2. Analysis of morphometric correlations of </w:t>
      </w:r>
      <w:r w:rsidDel="00000000" w:rsidR="00000000" w:rsidRPr="00000000">
        <w:rPr>
          <w:rFonts w:ascii="Times New Roman" w:cs="Times New Roman" w:eastAsia="Times New Roman" w:hAnsi="Times New Roman"/>
          <w:i w:val="1"/>
          <w:sz w:val="20"/>
          <w:szCs w:val="20"/>
          <w:rtl w:val="0"/>
        </w:rPr>
        <w:t xml:space="preserve">Bowdichia virgilioides</w:t>
      </w:r>
      <w:r w:rsidDel="00000000" w:rsidR="00000000" w:rsidRPr="00000000">
        <w:rPr>
          <w:rFonts w:ascii="Times New Roman" w:cs="Times New Roman" w:eastAsia="Times New Roman" w:hAnsi="Times New Roman"/>
          <w:sz w:val="20"/>
          <w:szCs w:val="20"/>
          <w:rtl w:val="0"/>
        </w:rPr>
        <w:t xml:space="preserve">. * = P &lt; 0.01</w:t>
      </w:r>
    </w:p>
    <w:tbl>
      <w:tblPr>
        <w:tblStyle w:val="Table2"/>
        <w:tblW w:w="6180.0" w:type="dxa"/>
        <w:jc w:val="center"/>
        <w:tblLayout w:type="fixed"/>
        <w:tblLook w:val="0000"/>
      </w:tblPr>
      <w:tblGrid>
        <w:gridCol w:w="3460"/>
        <w:gridCol w:w="2720"/>
        <w:tblGridChange w:id="0">
          <w:tblGrid>
            <w:gridCol w:w="3460"/>
            <w:gridCol w:w="2720"/>
          </w:tblGrid>
        </w:tblGridChange>
      </w:tblGrid>
      <w:tr>
        <w:trPr>
          <w:cantSplit w:val="0"/>
          <w:trHeight w:val="300" w:hRule="atLeast"/>
          <w:tblHeader w:val="0"/>
        </w:trPr>
        <w:tc>
          <w:tcPr>
            <w:tcBorders>
              <w:top w:color="000000" w:space="0" w:sz="4" w:val="single"/>
              <w:left w:color="000000" w:space="0" w:sz="0" w:val="nil"/>
              <w:bottom w:color="000000" w:space="0" w:sz="4" w:val="single"/>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5B">
            <w:pPr>
              <w:widowControl w:val="1"/>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Relações morfométricas</w:t>
            </w:r>
          </w:p>
        </w:tc>
        <w:tc>
          <w:tcPr>
            <w:tcBorders>
              <w:top w:color="000000" w:space="0" w:sz="4" w:val="single"/>
              <w:left w:color="000000" w:space="0" w:sz="0" w:val="nil"/>
              <w:bottom w:color="000000" w:space="0" w:sz="4" w:val="single"/>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5C">
            <w:pPr>
              <w:widowControl w:val="1"/>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Correlação de Spearman</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5D">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DAS x DAP</w:t>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5E">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0,9</w:t>
            </w:r>
            <w:r w:rsidDel="00000000" w:rsidR="00000000" w:rsidRPr="00000000">
              <w:rPr>
                <w:rFonts w:ascii="Times New Roman" w:cs="Times New Roman" w:eastAsia="Times New Roman" w:hAnsi="Times New Roman"/>
                <w:sz w:val="20"/>
                <w:szCs w:val="20"/>
                <w:rtl w:val="0"/>
              </w:rPr>
              <w:t xml:space="preserve">63 </w:t>
            </w:r>
            <w:r w:rsidDel="00000000" w:rsidR="00000000" w:rsidRPr="00000000">
              <w:rPr>
                <w:rFonts w:ascii="Times New Roman" w:cs="Times New Roman" w:eastAsia="Times New Roman" w:hAnsi="Times New Roman"/>
                <w:color w:val="000000"/>
                <w:sz w:val="20"/>
                <w:szCs w:val="20"/>
                <w:rtl w:val="0"/>
              </w:rPr>
              <w:t xml:space="preserv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5F">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DAS x A</w:t>
            </w:r>
            <w:r w:rsidDel="00000000" w:rsidR="00000000" w:rsidRPr="00000000">
              <w:rPr>
                <w:rFonts w:ascii="Times New Roman" w:cs="Times New Roman" w:eastAsia="Times New Roman" w:hAnsi="Times New Roman"/>
                <w:sz w:val="20"/>
                <w:szCs w:val="20"/>
                <w:rtl w:val="0"/>
              </w:rPr>
              <w:t xml:space="preserve">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60">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Fonts w:ascii="Times New Roman" w:cs="Times New Roman" w:eastAsia="Times New Roman" w:hAnsi="Times New Roman"/>
                <w:sz w:val="20"/>
                <w:szCs w:val="20"/>
                <w:rtl w:val="0"/>
              </w:rPr>
              <w:t xml:space="preserve">634 </w:t>
            </w:r>
            <w:r w:rsidDel="00000000" w:rsidR="00000000" w:rsidRPr="00000000">
              <w:rPr>
                <w:rFonts w:ascii="Times New Roman" w:cs="Times New Roman" w:eastAsia="Times New Roman" w:hAnsi="Times New Roman"/>
                <w:color w:val="000000"/>
                <w:sz w:val="20"/>
                <w:szCs w:val="20"/>
                <w:rtl w:val="0"/>
              </w:rPr>
              <w:t xml:space="preserv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61">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DAS x </w:t>
            </w:r>
            <w:r w:rsidDel="00000000" w:rsidR="00000000" w:rsidRPr="00000000">
              <w:rPr>
                <w:rFonts w:ascii="Times New Roman" w:cs="Times New Roman" w:eastAsia="Times New Roman" w:hAnsi="Times New Roman"/>
                <w:sz w:val="20"/>
                <w:szCs w:val="20"/>
                <w:rtl w:val="0"/>
              </w:rPr>
              <w:t xml:space="preserve">COPA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62">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Fonts w:ascii="Times New Roman" w:cs="Times New Roman" w:eastAsia="Times New Roman" w:hAnsi="Times New Roman"/>
                <w:sz w:val="20"/>
                <w:szCs w:val="20"/>
                <w:rtl w:val="0"/>
              </w:rPr>
              <w:t xml:space="preserve">943 </w:t>
            </w:r>
            <w:r w:rsidDel="00000000" w:rsidR="00000000" w:rsidRPr="00000000">
              <w:rPr>
                <w:rFonts w:ascii="Times New Roman" w:cs="Times New Roman" w:eastAsia="Times New Roman" w:hAnsi="Times New Roman"/>
                <w:color w:val="000000"/>
                <w:sz w:val="20"/>
                <w:szCs w:val="20"/>
                <w:rtl w:val="0"/>
              </w:rPr>
              <w:t xml:space="preserv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63">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DAP x A</w:t>
            </w:r>
            <w:r w:rsidDel="00000000" w:rsidR="00000000" w:rsidRPr="00000000">
              <w:rPr>
                <w:rFonts w:ascii="Times New Roman" w:cs="Times New Roman" w:eastAsia="Times New Roman" w:hAnsi="Times New Roman"/>
                <w:sz w:val="20"/>
                <w:szCs w:val="20"/>
                <w:rtl w:val="0"/>
              </w:rPr>
              <w:t xml:space="preserve">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64">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Fonts w:ascii="Times New Roman" w:cs="Times New Roman" w:eastAsia="Times New Roman" w:hAnsi="Times New Roman"/>
                <w:sz w:val="20"/>
                <w:szCs w:val="20"/>
                <w:rtl w:val="0"/>
              </w:rPr>
              <w:t xml:space="preserve">584 </w:t>
            </w:r>
            <w:r w:rsidDel="00000000" w:rsidR="00000000" w:rsidRPr="00000000">
              <w:rPr>
                <w:rFonts w:ascii="Times New Roman" w:cs="Times New Roman" w:eastAsia="Times New Roman" w:hAnsi="Times New Roman"/>
                <w:color w:val="000000"/>
                <w:sz w:val="20"/>
                <w:szCs w:val="20"/>
                <w:rtl w:val="0"/>
              </w:rPr>
              <w:t xml:space="preserv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65">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DAP x </w:t>
            </w:r>
            <w:r w:rsidDel="00000000" w:rsidR="00000000" w:rsidRPr="00000000">
              <w:rPr>
                <w:rFonts w:ascii="Times New Roman" w:cs="Times New Roman" w:eastAsia="Times New Roman" w:hAnsi="Times New Roman"/>
                <w:sz w:val="20"/>
                <w:szCs w:val="20"/>
                <w:rtl w:val="0"/>
              </w:rPr>
              <w:t xml:space="preserve">COPA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66">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Fonts w:ascii="Times New Roman" w:cs="Times New Roman" w:eastAsia="Times New Roman" w:hAnsi="Times New Roman"/>
                <w:sz w:val="20"/>
                <w:szCs w:val="20"/>
                <w:rtl w:val="0"/>
              </w:rPr>
              <w:t xml:space="preserve">909 </w:t>
            </w:r>
            <w:r w:rsidDel="00000000" w:rsidR="00000000" w:rsidRPr="00000000">
              <w:rPr>
                <w:rFonts w:ascii="Times New Roman" w:cs="Times New Roman" w:eastAsia="Times New Roman" w:hAnsi="Times New Roman"/>
                <w:color w:val="000000"/>
                <w:sz w:val="20"/>
                <w:szCs w:val="20"/>
                <w:rtl w:val="0"/>
              </w:rPr>
              <w:t xml:space="preserve">*</w:t>
            </w:r>
          </w:p>
        </w:tc>
      </w:tr>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67">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w:t>
            </w:r>
            <w:r w:rsidDel="00000000" w:rsidR="00000000" w:rsidRPr="00000000">
              <w:rPr>
                <w:rFonts w:ascii="Times New Roman" w:cs="Times New Roman" w:eastAsia="Times New Roman" w:hAnsi="Times New Roman"/>
                <w:sz w:val="20"/>
                <w:szCs w:val="20"/>
                <w:rtl w:val="0"/>
              </w:rPr>
              <w:t xml:space="preserve">lt</w:t>
            </w:r>
            <w:r w:rsidDel="00000000" w:rsidR="00000000" w:rsidRPr="00000000">
              <w:rPr>
                <w:rFonts w:ascii="Times New Roman" w:cs="Times New Roman" w:eastAsia="Times New Roman" w:hAnsi="Times New Roman"/>
                <w:color w:val="000000"/>
                <w:sz w:val="20"/>
                <w:szCs w:val="20"/>
                <w:rtl w:val="0"/>
              </w:rPr>
              <w:t xml:space="preserve"> x </w:t>
            </w:r>
            <w:r w:rsidDel="00000000" w:rsidR="00000000" w:rsidRPr="00000000">
              <w:rPr>
                <w:rFonts w:ascii="Times New Roman" w:cs="Times New Roman" w:eastAsia="Times New Roman" w:hAnsi="Times New Roman"/>
                <w:sz w:val="20"/>
                <w:szCs w:val="20"/>
                <w:rtl w:val="0"/>
              </w:rPr>
              <w:t xml:space="preserve">COPA</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70.0" w:type="dxa"/>
              <w:bottom w:w="0.0" w:type="dxa"/>
              <w:right w:w="70.0" w:type="dxa"/>
            </w:tcMar>
            <w:vAlign w:val="bottom"/>
          </w:tcPr>
          <w:p w:rsidR="00000000" w:rsidDel="00000000" w:rsidP="00000000" w:rsidRDefault="00000000" w:rsidRPr="00000000" w14:paraId="00000068">
            <w:pPr>
              <w:widowControl w:val="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Fonts w:ascii="Times New Roman" w:cs="Times New Roman" w:eastAsia="Times New Roman" w:hAnsi="Times New Roman"/>
                <w:sz w:val="20"/>
                <w:szCs w:val="20"/>
                <w:rtl w:val="0"/>
              </w:rPr>
              <w:t xml:space="preserve">616 </w:t>
            </w:r>
            <w:r w:rsidDel="00000000" w:rsidR="00000000" w:rsidRPr="00000000">
              <w:rPr>
                <w:rFonts w:ascii="Times New Roman" w:cs="Times New Roman" w:eastAsia="Times New Roman" w:hAnsi="Times New Roman"/>
                <w:color w:val="000000"/>
                <w:sz w:val="20"/>
                <w:szCs w:val="20"/>
                <w:rtl w:val="0"/>
              </w:rPr>
              <w:t xml:space="preserve">*</w:t>
            </w:r>
          </w:p>
        </w:tc>
      </w:tr>
    </w:tbl>
    <w:p w:rsidR="00000000" w:rsidDel="00000000" w:rsidP="00000000" w:rsidRDefault="00000000" w:rsidRPr="00000000" w14:paraId="00000069">
      <w:pPr>
        <w:widowControl w:val="1"/>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DAS, diâmetro a altura do solo; DAP, diâmetro a altura do peito; Alt, altura total; COPA: área da copa.</w:t>
      </w:r>
    </w:p>
    <w:p w:rsidR="00000000" w:rsidDel="00000000" w:rsidP="00000000" w:rsidRDefault="00000000" w:rsidRPr="00000000" w14:paraId="0000006A">
      <w:pPr>
        <w:widowControl w:val="1"/>
        <w:ind w:left="851"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B">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CONCLUSÕES </w:t>
      </w:r>
      <w:r w:rsidDel="00000000" w:rsidR="00000000" w:rsidRPr="00000000">
        <w:rPr>
          <w:rtl w:val="0"/>
        </w:rPr>
      </w:r>
    </w:p>
    <w:p w:rsidR="00000000" w:rsidDel="00000000" w:rsidP="00000000" w:rsidRDefault="00000000" w:rsidRPr="00000000" w14:paraId="0000006C">
      <w:pPr>
        <w:widowControl w:val="1"/>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widowControl w:val="1"/>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 mais que os dados apontem uma alta variabilidade em algumas dimensões desses indivíduos, devemos ponderá-los por conta do efeito de borda e, além disso, pode haver uma diferença na idade entre eles, sendo mais um agravante dessa heterogeneidade. Sugerimos mais pesquisas sobre essa espécie, principalmente na área da silvicultura, por ser uma espécie com uma floração exuberante, sendo um elemento em potencial para o paisagismo, e também tem valor agregado a sua madeira na parte comercial.</w:t>
      </w:r>
    </w:p>
    <w:p w:rsidR="00000000" w:rsidDel="00000000" w:rsidP="00000000" w:rsidRDefault="00000000" w:rsidRPr="00000000" w14:paraId="0000006E">
      <w:pPr>
        <w:widowControl w:val="1"/>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AGRADECIMENTOS </w:t>
      </w:r>
    </w:p>
    <w:p w:rsidR="00000000" w:rsidDel="00000000" w:rsidP="00000000" w:rsidRDefault="00000000" w:rsidRPr="00000000" w14:paraId="00000070">
      <w:pPr>
        <w:widowControl w:val="1"/>
        <w:jc w:val="both"/>
        <w:rPr>
          <w:rFonts w:ascii="Times New Roman" w:cs="Times New Roman" w:eastAsia="Times New Roman" w:hAnsi="Times New Roman"/>
          <w:sz w:val="20"/>
          <w:szCs w:val="20"/>
        </w:rPr>
      </w:pPr>
      <w:bookmarkStart w:colFirst="0" w:colLast="0" w:name="_ki04rsydnfq0" w:id="1"/>
      <w:bookmarkEnd w:id="1"/>
      <w:r w:rsidDel="00000000" w:rsidR="00000000" w:rsidRPr="00000000">
        <w:rPr>
          <w:rtl w:val="0"/>
        </w:rPr>
      </w:r>
    </w:p>
    <w:p w:rsidR="00000000" w:rsidDel="00000000" w:rsidP="00000000" w:rsidRDefault="00000000" w:rsidRPr="00000000" w14:paraId="00000071">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Agradecemos à Universidade Federal do Rio Grande do Norte, à EAJ, à CAPES pelo apoio e à Docente Kyvia Pontes Teixeira das Chagas.</w:t>
      </w:r>
    </w:p>
    <w:p w:rsidR="00000000" w:rsidDel="00000000" w:rsidP="00000000" w:rsidRDefault="00000000" w:rsidRPr="00000000" w14:paraId="00000072">
      <w:pPr>
        <w:widowControl w:val="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REFERÊNCIAS </w:t>
      </w:r>
    </w:p>
    <w:p w:rsidR="00000000" w:rsidDel="00000000" w:rsidP="00000000" w:rsidRDefault="00000000" w:rsidRPr="00000000" w14:paraId="00000074">
      <w:pPr>
        <w:widowControl w:val="1"/>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5">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AGORA RN. Área de desmatamento cresce 70% no RN em um ano. 2022. Disponível em: &lt;https://agorarn.com.br/ultimas/area-de-desmatamento-cresce-70-no-rn-em-um-ano/&gt;. Acesso em: 19 maio 2025.</w:t>
      </w:r>
    </w:p>
    <w:p w:rsidR="00000000" w:rsidDel="00000000" w:rsidP="00000000" w:rsidRDefault="00000000" w:rsidRPr="00000000" w14:paraId="00000076">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FELFILI, J. M.; REZENDE, A. V. Conceitos e métodos para análise de vegetação arbórea. Brasília: UnB, 2003.</w:t>
      </w:r>
    </w:p>
    <w:p w:rsidR="00000000" w:rsidDel="00000000" w:rsidP="00000000" w:rsidRDefault="00000000" w:rsidRPr="00000000" w14:paraId="00000077">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PROFLORA. </w:t>
      </w:r>
      <w:r w:rsidDel="00000000" w:rsidR="00000000" w:rsidRPr="00000000">
        <w:rPr>
          <w:rFonts w:ascii="Times New Roman" w:cs="Times New Roman" w:eastAsia="Times New Roman" w:hAnsi="Times New Roman"/>
          <w:i w:val="1"/>
          <w:sz w:val="20"/>
          <w:szCs w:val="20"/>
          <w:rtl w:val="0"/>
        </w:rPr>
        <w:t xml:space="preserve">Bowdichia virgilioides</w:t>
      </w:r>
      <w:r w:rsidDel="00000000" w:rsidR="00000000" w:rsidRPr="00000000">
        <w:rPr>
          <w:rFonts w:ascii="Times New Roman" w:cs="Times New Roman" w:eastAsia="Times New Roman" w:hAnsi="Times New Roman"/>
          <w:sz w:val="20"/>
          <w:szCs w:val="20"/>
          <w:rtl w:val="0"/>
        </w:rPr>
        <w:t xml:space="preserve"> Kunth. Jardim Botânico do Rio de Janeiro, 2024. Disponível em: &lt;https://proflora.jbrj.gov.br/html/Bowdichia%20virgilioides_2012.html&gt;. Acesso em: 19 maio 2025.</w:t>
      </w:r>
    </w:p>
    <w:p w:rsidR="00000000" w:rsidDel="00000000" w:rsidP="00000000" w:rsidRDefault="00000000" w:rsidRPr="00000000" w14:paraId="00000078">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RBMA – Reserva da Biosfera da Mata Atlântica. Fase VI – Rio Grande do Norte. 2021. Disponível em: &lt;https://rbma.org.br/rbma/rbma_fase_vi_06_estados_rn.asp&gt;. Acesso em: 19 maio 2025.</w:t>
      </w:r>
    </w:p>
    <w:p w:rsidR="00000000" w:rsidDel="00000000" w:rsidP="00000000" w:rsidRDefault="00000000" w:rsidRPr="00000000" w14:paraId="00000079">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ALVARES, C. A. et al. Köppen’s climate classification map for Brazil. </w:t>
      </w:r>
      <w:r w:rsidDel="00000000" w:rsidR="00000000" w:rsidRPr="00000000">
        <w:rPr>
          <w:rFonts w:ascii="Times New Roman" w:cs="Times New Roman" w:eastAsia="Times New Roman" w:hAnsi="Times New Roman"/>
          <w:b w:val="1"/>
          <w:sz w:val="20"/>
          <w:szCs w:val="20"/>
          <w:rtl w:val="0"/>
        </w:rPr>
        <w:t xml:space="preserve">Meteorologische Zeitschrift</w:t>
      </w:r>
      <w:r w:rsidDel="00000000" w:rsidR="00000000" w:rsidRPr="00000000">
        <w:rPr>
          <w:rFonts w:ascii="Times New Roman" w:cs="Times New Roman" w:eastAsia="Times New Roman" w:hAnsi="Times New Roman"/>
          <w:sz w:val="20"/>
          <w:szCs w:val="20"/>
          <w:rtl w:val="0"/>
        </w:rPr>
        <w:t xml:space="preserve">, Stuttgart, v. 22, n. 6, p. 711–728, 2013.</w:t>
      </w:r>
    </w:p>
    <w:p w:rsidR="00000000" w:rsidDel="00000000" w:rsidP="00000000" w:rsidRDefault="00000000" w:rsidRPr="00000000" w14:paraId="0000007A">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SOUZA, F. M.; PEREIRA, R. A. S.; BARROS, I. C. L. Estrutura e composição florística de um remanescente de mata de tabuleiro no nordeste do Brasil. </w:t>
      </w:r>
      <w:r w:rsidDel="00000000" w:rsidR="00000000" w:rsidRPr="00000000">
        <w:rPr>
          <w:rFonts w:ascii="Times New Roman" w:cs="Times New Roman" w:eastAsia="Times New Roman" w:hAnsi="Times New Roman"/>
          <w:b w:val="1"/>
          <w:sz w:val="20"/>
          <w:szCs w:val="20"/>
          <w:rtl w:val="0"/>
        </w:rPr>
        <w:t xml:space="preserve">Revista Árvore</w:t>
      </w:r>
      <w:r w:rsidDel="00000000" w:rsidR="00000000" w:rsidRPr="00000000">
        <w:rPr>
          <w:rFonts w:ascii="Times New Roman" w:cs="Times New Roman" w:eastAsia="Times New Roman" w:hAnsi="Times New Roman"/>
          <w:sz w:val="20"/>
          <w:szCs w:val="20"/>
          <w:rtl w:val="0"/>
        </w:rPr>
        <w:t xml:space="preserve">, Viçosa, v. 38, n. 1, p. 153–162, 2014.</w:t>
      </w:r>
    </w:p>
    <w:p w:rsidR="00000000" w:rsidDel="00000000" w:rsidP="00000000" w:rsidRDefault="00000000" w:rsidRPr="00000000" w14:paraId="0000007B">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LIMA, C. A. de. Diversidade e estrutura da regeneração natural e banco de sementes do solo em um fragmento florestal sob efeito de borda. Universidade Federal do Espírito Santo, 2021. Disponível em: &lt;https://repositorio.ufes.br/items/4561fe42-9420-43b2-9f00-2b6621508d99/full&gt;</w:t>
      </w:r>
    </w:p>
    <w:p w:rsidR="00000000" w:rsidDel="00000000" w:rsidP="00000000" w:rsidRDefault="00000000" w:rsidRPr="00000000" w14:paraId="0000007C">
      <w:pPr>
        <w:widowControl w:val="1"/>
        <w:spacing w:after="120" w:lineRule="auto"/>
        <w:jc w:val="both"/>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SILVA, M. A. da. Estrutura e diversidade florística de um fragmento de Floresta Ombrófila Aberta no município de Areia-PB. Universidade Federal da Paraíba, 2018. Disponível em: &lt;https://repositorio.ufpb.br/jspui/handle/123456789/12103&gt;</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40" w:w="11910" w:orient="portrait"/>
      <w:pgMar w:bottom="1134" w:top="1909" w:left="1701" w:right="1134" w:header="1418" w:footer="140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rPr>
        <w:rFonts w:ascii="Times New Roman" w:cs="Times New Roman" w:eastAsia="Times New Roman" w:hAnsi="Times New Roman"/>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pacing w:line="14.399999999999999" w:lineRule="auto"/>
      <w:rPr>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rPr>
        <w:rFonts w:ascii="Times New Roman" w:cs="Times New Roman" w:eastAsia="Times New Roman" w:hAnsi="Times New Roman"/>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rPr>
        <w:rFonts w:ascii="Times New Roman" w:cs="Times New Roman" w:eastAsia="Times New Roman" w:hAnsi="Times New Roman"/>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rPr>
        <w:rFonts w:ascii="Times New Roman" w:cs="Times New Roman" w:eastAsia="Times New Roman" w:hAnsi="Times New Roman"/>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5274310" cy="791210"/>
          <wp:effectExtent b="0" l="0" r="0" t="0"/>
          <wp:docPr descr="Desenho de personagem de desenho animado&#10;&#10;Descrição gerada automaticamente com confiança média" id="1" name="image1.png"/>
          <a:graphic>
            <a:graphicData uri="http://schemas.openxmlformats.org/drawingml/2006/picture">
              <pic:pic>
                <pic:nvPicPr>
                  <pic:cNvPr descr="Desenho de personagem de desenho animado&#10;&#10;Descrição gerada automaticamente com confiança média" id="0" name="image1.png"/>
                  <pic:cNvPicPr preferRelativeResize="0"/>
                </pic:nvPicPr>
                <pic:blipFill>
                  <a:blip r:embed="rId1"/>
                  <a:srcRect b="0" l="0" r="0" t="0"/>
                  <a:stretch>
                    <a:fillRect/>
                  </a:stretch>
                </pic:blipFill>
                <pic:spPr>
                  <a:xfrm>
                    <a:off x="0" y="0"/>
                    <a:ext cx="5274310" cy="7912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pt_BR"/>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07" w:right="0" w:hanging="107"/>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ianantonio1213@gmail.com"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ivacarey@hotmail.com"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gormodestoavb123@gmail.com" TargetMode="External"/><Relationship Id="rId7" Type="http://schemas.openxmlformats.org/officeDocument/2006/relationships/hyperlink" Target="mailto:athir2003@outlook.com" TargetMode="External"/><Relationship Id="rId8" Type="http://schemas.openxmlformats.org/officeDocument/2006/relationships/hyperlink" Target="mailto:kyviapontes@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