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922" w:rsidRDefault="00B96922" w:rsidP="00B96922">
      <w:pPr>
        <w:widowControl/>
        <w:jc w:val="center"/>
        <w:rPr>
          <w:b/>
          <w:sz w:val="24"/>
          <w:szCs w:val="24"/>
        </w:rPr>
      </w:pPr>
      <w:r>
        <w:rPr>
          <w:b/>
          <w:sz w:val="24"/>
          <w:szCs w:val="24"/>
        </w:rPr>
        <w:t>POTENCIAL FISIOLÓGICO DE SEMENTES DE MORINGA (</w:t>
      </w:r>
      <w:r>
        <w:rPr>
          <w:b/>
          <w:i/>
          <w:sz w:val="24"/>
          <w:szCs w:val="24"/>
        </w:rPr>
        <w:t xml:space="preserve">Moringa </w:t>
      </w:r>
      <w:proofErr w:type="spellStart"/>
      <w:r>
        <w:rPr>
          <w:b/>
          <w:i/>
          <w:sz w:val="24"/>
          <w:szCs w:val="24"/>
        </w:rPr>
        <w:t>oleifera</w:t>
      </w:r>
      <w:proofErr w:type="spellEnd"/>
      <w:r>
        <w:rPr>
          <w:b/>
          <w:sz w:val="24"/>
          <w:szCs w:val="24"/>
        </w:rPr>
        <w:t xml:space="preserve"> </w:t>
      </w:r>
      <w:proofErr w:type="spellStart"/>
      <w:r>
        <w:rPr>
          <w:b/>
          <w:sz w:val="24"/>
          <w:szCs w:val="24"/>
        </w:rPr>
        <w:t>Lam</w:t>
      </w:r>
      <w:proofErr w:type="spellEnd"/>
      <w:r>
        <w:rPr>
          <w:b/>
          <w:sz w:val="24"/>
          <w:szCs w:val="24"/>
        </w:rPr>
        <w:t xml:space="preserve">.) </w:t>
      </w:r>
    </w:p>
    <w:p w:rsidR="00B96922" w:rsidRDefault="00B96922" w:rsidP="00B96922">
      <w:pPr>
        <w:widowControl/>
        <w:jc w:val="center"/>
        <w:rPr>
          <w:b/>
          <w:sz w:val="24"/>
          <w:szCs w:val="24"/>
        </w:rPr>
      </w:pPr>
      <w:bookmarkStart w:id="0" w:name="_heading=h.gjdgxs" w:colFirst="0" w:colLast="0"/>
      <w:bookmarkEnd w:id="0"/>
    </w:p>
    <w:p w:rsidR="00B96922" w:rsidRDefault="00B96922" w:rsidP="00B96922">
      <w:pPr>
        <w:jc w:val="center"/>
        <w:rPr>
          <w:b/>
        </w:rPr>
      </w:pPr>
      <w:proofErr w:type="spellStart"/>
      <w:r>
        <w:rPr>
          <w:b/>
        </w:rPr>
        <w:t>Celianne</w:t>
      </w:r>
      <w:proofErr w:type="spellEnd"/>
      <w:r>
        <w:rPr>
          <w:b/>
        </w:rPr>
        <w:t xml:space="preserve"> Valéria Ferreira de Oliveira Duarte</w:t>
      </w:r>
      <w:r>
        <w:rPr>
          <w:b/>
          <w:vertAlign w:val="superscript"/>
        </w:rPr>
        <w:t>1</w:t>
      </w:r>
      <w:r>
        <w:rPr>
          <w:b/>
        </w:rPr>
        <w:t>*, Breno Eduardo Almeida Pimenta</w:t>
      </w:r>
      <w:r>
        <w:rPr>
          <w:b/>
          <w:vertAlign w:val="superscript"/>
        </w:rPr>
        <w:t>1</w:t>
      </w:r>
      <w:r>
        <w:rPr>
          <w:b/>
        </w:rPr>
        <w:t>, Aline Vanessa Avelino de Freitas¹, Pablo Ferreira da Silva¹, Iracema de Azevedo Monte Paiva</w:t>
      </w:r>
      <w:r w:rsidR="00E02502">
        <w:rPr>
          <w:b/>
          <w:vertAlign w:val="superscript"/>
        </w:rPr>
        <w:t>1</w:t>
      </w:r>
      <w:r>
        <w:rPr>
          <w:b/>
        </w:rPr>
        <w:t xml:space="preserve">, </w:t>
      </w:r>
      <w:proofErr w:type="spellStart"/>
      <w:r>
        <w:rPr>
          <w:b/>
        </w:rPr>
        <w:t>Talissa</w:t>
      </w:r>
      <w:proofErr w:type="spellEnd"/>
      <w:r w:rsidR="00E20309">
        <w:rPr>
          <w:b/>
        </w:rPr>
        <w:t xml:space="preserve"> da Conceição Qui</w:t>
      </w:r>
      <w:r>
        <w:rPr>
          <w:b/>
        </w:rPr>
        <w:t>tério</w:t>
      </w:r>
      <w:r>
        <w:rPr>
          <w:b/>
          <w:vertAlign w:val="superscript"/>
        </w:rPr>
        <w:t>1</w:t>
      </w:r>
      <w:r>
        <w:rPr>
          <w:b/>
        </w:rPr>
        <w:t xml:space="preserve">, </w:t>
      </w:r>
      <w:proofErr w:type="spellStart"/>
      <w:r>
        <w:rPr>
          <w:b/>
        </w:rPr>
        <w:t>Daise</w:t>
      </w:r>
      <w:proofErr w:type="spellEnd"/>
      <w:r>
        <w:rPr>
          <w:b/>
        </w:rPr>
        <w:t xml:space="preserve"> </w:t>
      </w:r>
      <w:proofErr w:type="spellStart"/>
      <w:r>
        <w:rPr>
          <w:b/>
        </w:rPr>
        <w:t>Feitoza</w:t>
      </w:r>
      <w:proofErr w:type="spellEnd"/>
      <w:r>
        <w:rPr>
          <w:b/>
        </w:rPr>
        <w:t xml:space="preserve"> da Rocha</w:t>
      </w:r>
      <w:r>
        <w:rPr>
          <w:b/>
          <w:vertAlign w:val="superscript"/>
        </w:rPr>
        <w:t>1</w:t>
      </w:r>
      <w:r>
        <w:rPr>
          <w:b/>
        </w:rPr>
        <w:t xml:space="preserve">, </w:t>
      </w:r>
      <w:proofErr w:type="spellStart"/>
      <w:r>
        <w:rPr>
          <w:b/>
        </w:rPr>
        <w:t>Emanuele</w:t>
      </w:r>
      <w:proofErr w:type="spellEnd"/>
      <w:r>
        <w:rPr>
          <w:b/>
        </w:rPr>
        <w:t xml:space="preserve"> Lucas Moura</w:t>
      </w:r>
      <w:r>
        <w:rPr>
          <w:b/>
          <w:vertAlign w:val="superscript"/>
        </w:rPr>
        <w:t>1</w:t>
      </w:r>
      <w:r>
        <w:rPr>
          <w:b/>
        </w:rPr>
        <w:t>, Marcos Ilson de Oliveira Teixeira</w:t>
      </w:r>
      <w:r>
        <w:rPr>
          <w:b/>
          <w:vertAlign w:val="superscript"/>
        </w:rPr>
        <w:t>1</w:t>
      </w:r>
      <w:r>
        <w:rPr>
          <w:b/>
        </w:rPr>
        <w:t>, Clarisse Pereira Benedito</w:t>
      </w:r>
      <w:r>
        <w:rPr>
          <w:b/>
          <w:vertAlign w:val="superscript"/>
        </w:rPr>
        <w:t>1</w:t>
      </w:r>
    </w:p>
    <w:p w:rsidR="00B96922" w:rsidRDefault="00B96922" w:rsidP="00B96922">
      <w:pPr>
        <w:jc w:val="center"/>
      </w:pPr>
      <w:r>
        <w:t>Universid</w:t>
      </w:r>
      <w:r w:rsidR="00E02502">
        <w:t>ade Federal Rural do Semi-Árido</w:t>
      </w:r>
      <w:r>
        <w:rPr>
          <w:vertAlign w:val="superscript"/>
        </w:rPr>
        <w:t>1</w:t>
      </w:r>
    </w:p>
    <w:p w:rsidR="00B96922" w:rsidRDefault="00E02502" w:rsidP="00B96922">
      <w:pPr>
        <w:jc w:val="center"/>
      </w:pPr>
      <w:bookmarkStart w:id="1" w:name="_heading=h.yp96iwu2o7wg" w:colFirst="0" w:colLast="0"/>
      <w:bookmarkEnd w:id="1"/>
      <w:r>
        <w:t>*</w:t>
      </w:r>
      <w:r w:rsidR="00B96922">
        <w:t>celianne.duarte@alunos.ufersa.edu.br</w:t>
      </w:r>
    </w:p>
    <w:p w:rsidR="00B96922" w:rsidRDefault="00B96922" w:rsidP="00B96922">
      <w:pPr>
        <w:jc w:val="center"/>
        <w:rPr>
          <w:sz w:val="20"/>
          <w:szCs w:val="20"/>
        </w:rPr>
      </w:pPr>
      <w:r>
        <w:rPr>
          <w:sz w:val="20"/>
          <w:szCs w:val="20"/>
        </w:rPr>
        <w:t>__________________________________________________________________________________________</w:t>
      </w:r>
    </w:p>
    <w:p w:rsidR="00B96922" w:rsidRDefault="00B96922" w:rsidP="00B96922">
      <w:pPr>
        <w:jc w:val="both"/>
        <w:rPr>
          <w:sz w:val="20"/>
          <w:szCs w:val="20"/>
        </w:rPr>
      </w:pPr>
    </w:p>
    <w:p w:rsidR="00B96922" w:rsidRDefault="00B96922" w:rsidP="00B96922">
      <w:pPr>
        <w:jc w:val="both"/>
        <w:rPr>
          <w:sz w:val="20"/>
          <w:szCs w:val="20"/>
        </w:rPr>
      </w:pPr>
      <w:r>
        <w:rPr>
          <w:b/>
          <w:sz w:val="20"/>
          <w:szCs w:val="20"/>
        </w:rPr>
        <w:t>RESUMO</w:t>
      </w:r>
      <w:r>
        <w:rPr>
          <w:sz w:val="20"/>
          <w:szCs w:val="20"/>
        </w:rPr>
        <w:t xml:space="preserve"> </w:t>
      </w:r>
    </w:p>
    <w:p w:rsidR="00B96922" w:rsidRDefault="00B96922" w:rsidP="00B96922">
      <w:pPr>
        <w:jc w:val="both"/>
        <w:rPr>
          <w:sz w:val="20"/>
          <w:szCs w:val="20"/>
        </w:rPr>
      </w:pPr>
      <w:r>
        <w:rPr>
          <w:sz w:val="20"/>
          <w:szCs w:val="20"/>
        </w:rPr>
        <w:t>A moringa (</w:t>
      </w:r>
      <w:r>
        <w:rPr>
          <w:i/>
          <w:sz w:val="20"/>
          <w:szCs w:val="20"/>
        </w:rPr>
        <w:t xml:space="preserve">Moringa </w:t>
      </w:r>
      <w:proofErr w:type="spellStart"/>
      <w:r>
        <w:rPr>
          <w:i/>
          <w:sz w:val="20"/>
          <w:szCs w:val="20"/>
        </w:rPr>
        <w:t>oleifera</w:t>
      </w:r>
      <w:proofErr w:type="spellEnd"/>
      <w:r>
        <w:rPr>
          <w:i/>
          <w:sz w:val="20"/>
          <w:szCs w:val="20"/>
        </w:rPr>
        <w:t xml:space="preserve"> </w:t>
      </w:r>
      <w:proofErr w:type="spellStart"/>
      <w:r>
        <w:rPr>
          <w:sz w:val="20"/>
          <w:szCs w:val="20"/>
        </w:rPr>
        <w:t>Lam</w:t>
      </w:r>
      <w:proofErr w:type="spellEnd"/>
      <w:r>
        <w:rPr>
          <w:sz w:val="20"/>
          <w:szCs w:val="20"/>
        </w:rPr>
        <w:t xml:space="preserve">.) é uma espécie arbórea florestal pertencente à família </w:t>
      </w:r>
      <w:proofErr w:type="spellStart"/>
      <w:r>
        <w:rPr>
          <w:sz w:val="20"/>
          <w:szCs w:val="20"/>
        </w:rPr>
        <w:t>Moringaceae</w:t>
      </w:r>
      <w:proofErr w:type="spellEnd"/>
      <w:r>
        <w:rPr>
          <w:sz w:val="20"/>
          <w:szCs w:val="20"/>
        </w:rPr>
        <w:t>, cujo único gênero é a Moringa, possui alto valor agregado e capacidade de adaptação em diversas regiões do país, em especial na região Nordeste, sua principal forma de multiplicação é através das sementes. Neste sentido, o</w:t>
      </w:r>
      <w:r>
        <w:rPr>
          <w:sz w:val="20"/>
          <w:szCs w:val="20"/>
          <w:highlight w:val="white"/>
        </w:rPr>
        <w:t xml:space="preserve"> conhecimento do comportamento fisiológico das sementes é de fundamental importância para definir estratégias de conservação e uso, visando manter a máxima qualidade fisiológica e assegurar a disponibilidade de sementes viáveis para o futuro. </w:t>
      </w:r>
      <w:r>
        <w:rPr>
          <w:sz w:val="20"/>
          <w:szCs w:val="20"/>
        </w:rPr>
        <w:t xml:space="preserve">Com isso, objetivou-se verificar o potencial fisiológico de dois lotes de sementes de moringa colhidos em diferentes épocas. O experimento foi realizado no Laboratório de Análise de Sementes pertencente à Universidade Federal Rural do </w:t>
      </w:r>
      <w:proofErr w:type="spellStart"/>
      <w:r>
        <w:rPr>
          <w:sz w:val="20"/>
          <w:szCs w:val="20"/>
        </w:rPr>
        <w:t>Semi-Árido</w:t>
      </w:r>
      <w:proofErr w:type="spellEnd"/>
      <w:r>
        <w:rPr>
          <w:sz w:val="20"/>
          <w:szCs w:val="20"/>
        </w:rPr>
        <w:t xml:space="preserve"> em delineamento experimental inteiramente </w:t>
      </w:r>
      <w:proofErr w:type="spellStart"/>
      <w:r>
        <w:rPr>
          <w:sz w:val="20"/>
          <w:szCs w:val="20"/>
        </w:rPr>
        <w:t>casualizado</w:t>
      </w:r>
      <w:proofErr w:type="spellEnd"/>
      <w:r>
        <w:rPr>
          <w:sz w:val="20"/>
          <w:szCs w:val="20"/>
        </w:rPr>
        <w:t>, com quatro repetições de 25 sementes. Foram utilizados 2 lotes de sementes de moringa</w:t>
      </w:r>
      <w:r>
        <w:rPr>
          <w:i/>
          <w:sz w:val="20"/>
          <w:szCs w:val="20"/>
        </w:rPr>
        <w:t xml:space="preserve">, </w:t>
      </w:r>
      <w:r>
        <w:rPr>
          <w:sz w:val="20"/>
          <w:szCs w:val="20"/>
        </w:rPr>
        <w:t>semeados em substrato tipo papel tolha na forma de rolo de papel, previamente umedecido com água destilada. Aos 17 dias foram avaliados a germinação, comprimento da parte aérea e da raiz, massa seca da parte aérea e da raiz. A germinação e o vigor do lote 2 é superio</w:t>
      </w:r>
      <w:r w:rsidR="00927599">
        <w:rPr>
          <w:sz w:val="20"/>
          <w:szCs w:val="20"/>
        </w:rPr>
        <w:t>r em relação ao lote 1.</w:t>
      </w:r>
    </w:p>
    <w:p w:rsidR="00927599" w:rsidRDefault="00927599" w:rsidP="00B96922">
      <w:pPr>
        <w:jc w:val="both"/>
        <w:rPr>
          <w:sz w:val="20"/>
          <w:szCs w:val="20"/>
        </w:rPr>
      </w:pPr>
    </w:p>
    <w:p w:rsidR="00B96922" w:rsidRDefault="00B96922" w:rsidP="00B96922">
      <w:pPr>
        <w:jc w:val="both"/>
        <w:rPr>
          <w:sz w:val="20"/>
          <w:szCs w:val="20"/>
        </w:rPr>
      </w:pPr>
      <w:r>
        <w:rPr>
          <w:i/>
          <w:sz w:val="20"/>
          <w:szCs w:val="20"/>
        </w:rPr>
        <w:t>Palavras chaves</w:t>
      </w:r>
      <w:r>
        <w:rPr>
          <w:sz w:val="20"/>
          <w:szCs w:val="20"/>
        </w:rPr>
        <w:t>: Vigor, Sementes florestais, Análise de Sementes.</w:t>
      </w:r>
    </w:p>
    <w:p w:rsidR="00B96922" w:rsidRDefault="00B96922" w:rsidP="00B96922">
      <w:pPr>
        <w:jc w:val="both"/>
        <w:rPr>
          <w:sz w:val="20"/>
          <w:szCs w:val="20"/>
        </w:rPr>
      </w:pPr>
    </w:p>
    <w:p w:rsidR="00B96922" w:rsidRDefault="00B96922" w:rsidP="00B96922">
      <w:pPr>
        <w:jc w:val="both"/>
        <w:rPr>
          <w:b/>
          <w:sz w:val="20"/>
          <w:szCs w:val="20"/>
        </w:rPr>
      </w:pPr>
      <w:r>
        <w:rPr>
          <w:sz w:val="20"/>
          <w:szCs w:val="20"/>
        </w:rPr>
        <w:t xml:space="preserve"> </w:t>
      </w:r>
      <w:r>
        <w:rPr>
          <w:b/>
          <w:sz w:val="20"/>
          <w:szCs w:val="20"/>
        </w:rPr>
        <w:t xml:space="preserve">INTRODUÇÃO </w:t>
      </w:r>
    </w:p>
    <w:p w:rsidR="00B96922" w:rsidRDefault="00B96922" w:rsidP="00B96922">
      <w:pPr>
        <w:jc w:val="both"/>
        <w:rPr>
          <w:b/>
          <w:sz w:val="20"/>
          <w:szCs w:val="20"/>
        </w:rPr>
      </w:pPr>
    </w:p>
    <w:p w:rsidR="00B96922" w:rsidRDefault="00B96922" w:rsidP="00B96922">
      <w:pPr>
        <w:ind w:firstLine="708"/>
        <w:jc w:val="both"/>
        <w:rPr>
          <w:sz w:val="20"/>
          <w:szCs w:val="20"/>
        </w:rPr>
      </w:pPr>
      <w:r>
        <w:rPr>
          <w:sz w:val="20"/>
          <w:szCs w:val="20"/>
        </w:rPr>
        <w:t xml:space="preserve">A moringa é uma espécie arbórea florestal pertencente à família </w:t>
      </w:r>
      <w:proofErr w:type="spellStart"/>
      <w:r>
        <w:rPr>
          <w:sz w:val="20"/>
          <w:szCs w:val="20"/>
        </w:rPr>
        <w:t>Moringaceae</w:t>
      </w:r>
      <w:proofErr w:type="spellEnd"/>
      <w:r>
        <w:rPr>
          <w:sz w:val="20"/>
          <w:szCs w:val="20"/>
        </w:rPr>
        <w:t xml:space="preserve">, cujo único gênero é a Moringa (ALMEIDA et al., 2017). No Brasil, seu cultivo vem se intensificando nos últimos anos em função da sua versatilidade de uso, bem como suas propriedades nutricionais. Trata-se de uma espécie rústica de rápido crescimento e necessita de pouca tecnologia para o cultivo, tornando-se uma excelente alternativa para o pequeno e médio produtor, uma vez que possui alto valor agregado e capacidade de adaptação em diversas regiões do país em especial na região Nordeste (SILVA, SOUTO E SANTOS, 2019). A multiplicação desta espécie é realizada principalmente através de sementes, cuja qualidade inicial é fundamental para o sucesso na produção de mudas. </w:t>
      </w:r>
    </w:p>
    <w:p w:rsidR="00B96922" w:rsidRDefault="00B96922" w:rsidP="00B96922">
      <w:pPr>
        <w:widowControl/>
        <w:jc w:val="both"/>
        <w:rPr>
          <w:sz w:val="20"/>
          <w:szCs w:val="20"/>
        </w:rPr>
      </w:pPr>
      <w:r>
        <w:rPr>
          <w:b/>
          <w:sz w:val="20"/>
          <w:szCs w:val="20"/>
        </w:rPr>
        <w:tab/>
      </w:r>
      <w:r>
        <w:rPr>
          <w:sz w:val="20"/>
          <w:szCs w:val="20"/>
        </w:rPr>
        <w:t xml:space="preserve">O conhecimento do potencial fisiológico das sementes é de grande importância para a propagação de espécies florestais, uma vez que sementes com baixo vigor podem apresentar germinação desuniforme e plântulas com desenvolvimento lento, comprometendo o estabelecimento inicial da cultura (MULLER, 2023). </w:t>
      </w:r>
      <w:r w:rsidRPr="009F4611">
        <w:rPr>
          <w:sz w:val="20"/>
          <w:szCs w:val="20"/>
        </w:rPr>
        <w:t>Portanto, é necessário utilizar sementes de alta qualidade que são compostas por um complexo conjunto de atributos, incluindo fatores genéticos, físicos, fisiológicos e sanitários que influenciam diretamente o desempenho das sementes no campo e su</w:t>
      </w:r>
      <w:r>
        <w:rPr>
          <w:sz w:val="20"/>
          <w:szCs w:val="20"/>
        </w:rPr>
        <w:t>a longevidade no armazenamento (PIRES e BAUTE 2023).</w:t>
      </w:r>
    </w:p>
    <w:p w:rsidR="00B96922" w:rsidRDefault="00B96922" w:rsidP="00B96922">
      <w:pPr>
        <w:widowControl/>
        <w:jc w:val="both"/>
        <w:rPr>
          <w:sz w:val="20"/>
          <w:szCs w:val="20"/>
        </w:rPr>
      </w:pPr>
      <w:r>
        <w:rPr>
          <w:sz w:val="20"/>
          <w:szCs w:val="20"/>
        </w:rPr>
        <w:tab/>
        <w:t xml:space="preserve">Diante do exposto, objetivou-se avaliar o potencial fisiológico de dois lotes de sementes de moringa por meio de testes tradicionais de viabilidade e vigor. </w:t>
      </w:r>
    </w:p>
    <w:p w:rsidR="00B96922" w:rsidRDefault="00B96922" w:rsidP="00B96922">
      <w:pPr>
        <w:widowControl/>
        <w:jc w:val="both"/>
        <w:rPr>
          <w:sz w:val="20"/>
          <w:szCs w:val="20"/>
        </w:rPr>
      </w:pPr>
    </w:p>
    <w:p w:rsidR="00B96922" w:rsidRDefault="00B96922" w:rsidP="00B96922">
      <w:pPr>
        <w:widowControl/>
        <w:jc w:val="both"/>
        <w:rPr>
          <w:b/>
          <w:sz w:val="20"/>
          <w:szCs w:val="20"/>
        </w:rPr>
      </w:pPr>
      <w:r>
        <w:rPr>
          <w:b/>
          <w:sz w:val="20"/>
          <w:szCs w:val="20"/>
        </w:rPr>
        <w:t xml:space="preserve">MATERIAL E MÉTODOS </w:t>
      </w:r>
    </w:p>
    <w:p w:rsidR="00B96922" w:rsidRDefault="00B96922" w:rsidP="00B96922">
      <w:pPr>
        <w:widowControl/>
        <w:jc w:val="both"/>
        <w:rPr>
          <w:b/>
          <w:sz w:val="20"/>
          <w:szCs w:val="20"/>
        </w:rPr>
      </w:pPr>
    </w:p>
    <w:p w:rsidR="00B96922" w:rsidRDefault="00B96922" w:rsidP="00B96922">
      <w:pPr>
        <w:ind w:firstLine="708"/>
        <w:jc w:val="both"/>
        <w:rPr>
          <w:sz w:val="20"/>
          <w:szCs w:val="20"/>
        </w:rPr>
      </w:pPr>
      <w:r>
        <w:rPr>
          <w:sz w:val="20"/>
          <w:szCs w:val="20"/>
        </w:rPr>
        <w:t xml:space="preserve">O experimento foi realizado no Laboratório de Análise de Sementes pertencente à Universidade Federal Rural do </w:t>
      </w:r>
      <w:proofErr w:type="spellStart"/>
      <w:r>
        <w:rPr>
          <w:sz w:val="20"/>
          <w:szCs w:val="20"/>
        </w:rPr>
        <w:t>Semi-Árido</w:t>
      </w:r>
      <w:proofErr w:type="spellEnd"/>
      <w:r>
        <w:rPr>
          <w:sz w:val="20"/>
          <w:szCs w:val="20"/>
        </w:rPr>
        <w:t xml:space="preserve">, campus Mossoró-RN. Para isto, foram utilizados dois lotes de sementes de </w:t>
      </w:r>
      <w:r>
        <w:rPr>
          <w:i/>
          <w:sz w:val="20"/>
          <w:szCs w:val="20"/>
        </w:rPr>
        <w:t xml:space="preserve">M. </w:t>
      </w:r>
      <w:proofErr w:type="spellStart"/>
      <w:r>
        <w:rPr>
          <w:i/>
          <w:sz w:val="20"/>
          <w:szCs w:val="20"/>
        </w:rPr>
        <w:t>oleifera</w:t>
      </w:r>
      <w:proofErr w:type="spellEnd"/>
      <w:r>
        <w:rPr>
          <w:i/>
          <w:sz w:val="20"/>
          <w:szCs w:val="20"/>
        </w:rPr>
        <w:t xml:space="preserve"> </w:t>
      </w:r>
      <w:proofErr w:type="spellStart"/>
      <w:r>
        <w:rPr>
          <w:sz w:val="20"/>
          <w:szCs w:val="20"/>
        </w:rPr>
        <w:t>Lam</w:t>
      </w:r>
      <w:proofErr w:type="spellEnd"/>
      <w:r>
        <w:rPr>
          <w:sz w:val="20"/>
          <w:szCs w:val="20"/>
        </w:rPr>
        <w:t xml:space="preserve">., adquirido em aproximadamente três árvores matrizes localizadas no campus Oeste da UFERSA em outubro de 2024. Os lotes permaneceram armazenados em sacos plásticos em condições ambientais (30 °C; U.R 25%) até o início do experimento. </w:t>
      </w:r>
    </w:p>
    <w:p w:rsidR="00B96922" w:rsidRDefault="00B96922" w:rsidP="00B96922">
      <w:pPr>
        <w:ind w:firstLine="708"/>
        <w:jc w:val="both"/>
        <w:rPr>
          <w:sz w:val="20"/>
          <w:szCs w:val="20"/>
        </w:rPr>
      </w:pPr>
      <w:r>
        <w:rPr>
          <w:sz w:val="20"/>
          <w:szCs w:val="20"/>
        </w:rPr>
        <w:t xml:space="preserve">Após a separação das sementes, procedeu-se à instalação do teste de germinação. O substrato utilizado foi o papel toalha, previamente pesado e umedecido com água destilada. As sementes de moringa foram semeadas </w:t>
      </w:r>
      <w:r>
        <w:rPr>
          <w:sz w:val="20"/>
          <w:szCs w:val="20"/>
        </w:rPr>
        <w:lastRenderedPageBreak/>
        <w:t xml:space="preserve">sobre duas folhas e cobertas por uma terceira folha, em seguida organizados na forma de rolo e acondicionados em sacos plásticos, mantidos em câmara de germinação à 25 °C e </w:t>
      </w:r>
      <w:proofErr w:type="spellStart"/>
      <w:r>
        <w:rPr>
          <w:sz w:val="20"/>
          <w:szCs w:val="20"/>
        </w:rPr>
        <w:t>fotoperíodo</w:t>
      </w:r>
      <w:proofErr w:type="spellEnd"/>
      <w:r>
        <w:rPr>
          <w:sz w:val="20"/>
          <w:szCs w:val="20"/>
        </w:rPr>
        <w:t xml:space="preserve"> de 12 horas, durante 16 dias, cujas variáveis analisadas foram:</w:t>
      </w:r>
    </w:p>
    <w:p w:rsidR="00B96922" w:rsidRDefault="00B96922" w:rsidP="00B96922">
      <w:pPr>
        <w:numPr>
          <w:ilvl w:val="0"/>
          <w:numId w:val="3"/>
        </w:numPr>
        <w:pBdr>
          <w:top w:val="nil"/>
          <w:left w:val="nil"/>
          <w:bottom w:val="nil"/>
          <w:right w:val="nil"/>
          <w:between w:val="nil"/>
        </w:pBdr>
        <w:ind w:left="0" w:firstLine="708"/>
        <w:jc w:val="both"/>
        <w:rPr>
          <w:sz w:val="20"/>
          <w:szCs w:val="20"/>
        </w:rPr>
      </w:pPr>
      <w:r>
        <w:rPr>
          <w:sz w:val="20"/>
          <w:szCs w:val="20"/>
        </w:rPr>
        <w:t xml:space="preserve">Germinação: Realizada através da contagem de plântulas normais aos 16 dias, cujos resultados foram expressos em porcentagem. </w:t>
      </w:r>
    </w:p>
    <w:p w:rsidR="00B96922" w:rsidRDefault="00B96922" w:rsidP="00B96922">
      <w:pPr>
        <w:numPr>
          <w:ilvl w:val="0"/>
          <w:numId w:val="3"/>
        </w:numPr>
        <w:pBdr>
          <w:top w:val="nil"/>
          <w:left w:val="nil"/>
          <w:bottom w:val="nil"/>
          <w:right w:val="nil"/>
          <w:between w:val="nil"/>
        </w:pBdr>
        <w:ind w:left="0" w:firstLine="708"/>
        <w:jc w:val="both"/>
        <w:rPr>
          <w:sz w:val="20"/>
          <w:szCs w:val="20"/>
        </w:rPr>
      </w:pPr>
      <w:r>
        <w:rPr>
          <w:sz w:val="20"/>
          <w:szCs w:val="20"/>
        </w:rPr>
        <w:t>Comprimento de raiz: foram medidas a raiz de dez plântulas aleatoriamente, desde a inserção do colo até a extremidade da raiz principal e os resultados expressos em centímetros.</w:t>
      </w:r>
    </w:p>
    <w:p w:rsidR="00B96922" w:rsidRDefault="00B96922" w:rsidP="00B96922">
      <w:pPr>
        <w:numPr>
          <w:ilvl w:val="0"/>
          <w:numId w:val="3"/>
        </w:numPr>
        <w:pBdr>
          <w:top w:val="nil"/>
          <w:left w:val="nil"/>
          <w:bottom w:val="nil"/>
          <w:right w:val="nil"/>
          <w:between w:val="nil"/>
        </w:pBdr>
        <w:ind w:left="0" w:firstLine="708"/>
        <w:jc w:val="both"/>
        <w:rPr>
          <w:sz w:val="20"/>
          <w:szCs w:val="20"/>
        </w:rPr>
      </w:pPr>
      <w:r>
        <w:rPr>
          <w:sz w:val="20"/>
          <w:szCs w:val="20"/>
        </w:rPr>
        <w:t>Comprimento da parte aérea: foram medidas a raiz de dez plântulas aleatoriamente, desde a inserção do colo até o ápice da gema apical e os resultados expressos em centímetros.</w:t>
      </w:r>
    </w:p>
    <w:p w:rsidR="00B96922" w:rsidRDefault="00B96922" w:rsidP="00B96922">
      <w:pPr>
        <w:numPr>
          <w:ilvl w:val="0"/>
          <w:numId w:val="3"/>
        </w:numPr>
        <w:pBdr>
          <w:top w:val="nil"/>
          <w:left w:val="nil"/>
          <w:bottom w:val="nil"/>
          <w:right w:val="nil"/>
          <w:between w:val="nil"/>
        </w:pBdr>
        <w:ind w:left="0" w:firstLine="708"/>
        <w:jc w:val="both"/>
        <w:rPr>
          <w:sz w:val="20"/>
          <w:szCs w:val="20"/>
        </w:rPr>
      </w:pPr>
      <w:r>
        <w:rPr>
          <w:sz w:val="20"/>
          <w:szCs w:val="20"/>
        </w:rPr>
        <w:t xml:space="preserve">Massa seca de raiz: após a mensuração dos comprimentos, as raízes foram cortadas com auxílio de uma tesoura na inserção do colo e postas para secar em saco de papel </w:t>
      </w:r>
      <w:proofErr w:type="spellStart"/>
      <w:r>
        <w:rPr>
          <w:sz w:val="20"/>
          <w:szCs w:val="20"/>
        </w:rPr>
        <w:t>kraft</w:t>
      </w:r>
      <w:proofErr w:type="spellEnd"/>
      <w:r>
        <w:rPr>
          <w:sz w:val="20"/>
          <w:szCs w:val="20"/>
        </w:rPr>
        <w:t xml:space="preserve"> à 65°C por 72 horas e os resultados expresso em gramas. </w:t>
      </w:r>
    </w:p>
    <w:p w:rsidR="00B96922" w:rsidRDefault="00B96922" w:rsidP="00B96922">
      <w:pPr>
        <w:numPr>
          <w:ilvl w:val="0"/>
          <w:numId w:val="3"/>
        </w:numPr>
        <w:pBdr>
          <w:top w:val="nil"/>
          <w:left w:val="nil"/>
          <w:bottom w:val="nil"/>
          <w:right w:val="nil"/>
          <w:between w:val="nil"/>
        </w:pBdr>
        <w:ind w:left="0" w:firstLine="708"/>
        <w:jc w:val="both"/>
        <w:rPr>
          <w:sz w:val="20"/>
          <w:szCs w:val="20"/>
        </w:rPr>
      </w:pPr>
      <w:r>
        <w:rPr>
          <w:sz w:val="20"/>
          <w:szCs w:val="20"/>
        </w:rPr>
        <w:t xml:space="preserve">Massa seca da parte aérea: após a mensuração dos comprimentos, as partes aéreas foram cortadas com auxílio de uma tesoura na inserção do colo e postas para secar em saco de papel Kraft à 65°C por 72 horas e os resultados expresso em gramas. </w:t>
      </w:r>
    </w:p>
    <w:p w:rsidR="00B96922" w:rsidRDefault="00B96922" w:rsidP="00B96922">
      <w:pPr>
        <w:widowControl/>
        <w:jc w:val="both"/>
        <w:rPr>
          <w:sz w:val="20"/>
          <w:szCs w:val="20"/>
        </w:rPr>
      </w:pPr>
    </w:p>
    <w:p w:rsidR="00661BBC" w:rsidRDefault="00B96922" w:rsidP="00661BBC">
      <w:pPr>
        <w:widowControl/>
        <w:jc w:val="both"/>
        <w:rPr>
          <w:sz w:val="20"/>
          <w:szCs w:val="20"/>
        </w:rPr>
      </w:pPr>
      <w:r w:rsidRPr="00980A85">
        <w:rPr>
          <w:sz w:val="20"/>
          <w:szCs w:val="20"/>
        </w:rPr>
        <w:t xml:space="preserve">O delineamento experimental foi o inteiramente </w:t>
      </w:r>
      <w:proofErr w:type="spellStart"/>
      <w:r w:rsidRPr="00980A85">
        <w:rPr>
          <w:sz w:val="20"/>
          <w:szCs w:val="20"/>
        </w:rPr>
        <w:t>casualizado</w:t>
      </w:r>
      <w:proofErr w:type="spellEnd"/>
      <w:r w:rsidRPr="00980A85">
        <w:rPr>
          <w:sz w:val="20"/>
          <w:szCs w:val="20"/>
        </w:rPr>
        <w:t xml:space="preserve"> com quatro repetições de 25 sementes. </w:t>
      </w:r>
      <w:r w:rsidRPr="00980A85">
        <w:rPr>
          <w:sz w:val="20"/>
          <w:szCs w:val="20"/>
          <w:shd w:val="clear" w:color="auto" w:fill="FFFFFF"/>
        </w:rPr>
        <w:t xml:space="preserve">Os dados foram submetidos à análise de variância (ANOVA) e, ao se verificar efeito significativo dos tratamentos, as médias foram comparadas pelo teste de </w:t>
      </w:r>
      <w:proofErr w:type="spellStart"/>
      <w:r w:rsidRPr="00980A85">
        <w:rPr>
          <w:sz w:val="20"/>
          <w:szCs w:val="20"/>
          <w:shd w:val="clear" w:color="auto" w:fill="FFFFFF"/>
        </w:rPr>
        <w:t>Tukey</w:t>
      </w:r>
      <w:proofErr w:type="spellEnd"/>
      <w:r w:rsidRPr="00980A85">
        <w:rPr>
          <w:sz w:val="20"/>
          <w:szCs w:val="20"/>
          <w:shd w:val="clear" w:color="auto" w:fill="FFFFFF"/>
        </w:rPr>
        <w:t xml:space="preserve">, </w:t>
      </w:r>
      <w:r>
        <w:rPr>
          <w:sz w:val="20"/>
          <w:szCs w:val="20"/>
          <w:shd w:val="clear" w:color="auto" w:fill="FFFFFF"/>
        </w:rPr>
        <w:t xml:space="preserve">em nível de </w:t>
      </w:r>
      <w:r w:rsidRPr="00980A85">
        <w:rPr>
          <w:sz w:val="20"/>
          <w:szCs w:val="20"/>
          <w:shd w:val="clear" w:color="auto" w:fill="FFFFFF"/>
        </w:rPr>
        <w:t>5% de probabilidade</w:t>
      </w:r>
      <w:r>
        <w:rPr>
          <w:sz w:val="20"/>
          <w:szCs w:val="20"/>
          <w:shd w:val="clear" w:color="auto" w:fill="FFFFFF"/>
        </w:rPr>
        <w:t>.</w:t>
      </w:r>
      <w:r w:rsidR="00661BBC">
        <w:rPr>
          <w:sz w:val="20"/>
          <w:szCs w:val="20"/>
          <w:shd w:val="clear" w:color="auto" w:fill="FFFFFF"/>
        </w:rPr>
        <w:t xml:space="preserve"> </w:t>
      </w:r>
      <w:r w:rsidR="00661BBC">
        <w:rPr>
          <w:sz w:val="20"/>
          <w:szCs w:val="20"/>
        </w:rPr>
        <w:t xml:space="preserve">Os dados foram submetidos a análise de variância e as médias comparadas pelo teste de </w:t>
      </w:r>
      <w:proofErr w:type="spellStart"/>
      <w:r w:rsidR="00661BBC">
        <w:rPr>
          <w:sz w:val="20"/>
          <w:szCs w:val="20"/>
        </w:rPr>
        <w:t>Tukey</w:t>
      </w:r>
      <w:proofErr w:type="spellEnd"/>
      <w:r w:rsidR="00661BBC">
        <w:rPr>
          <w:sz w:val="20"/>
          <w:szCs w:val="20"/>
        </w:rPr>
        <w:t xml:space="preserve"> à 5,0% de probabilidade, através do programa estatístico </w:t>
      </w:r>
      <w:proofErr w:type="spellStart"/>
      <w:r w:rsidR="00661BBC">
        <w:rPr>
          <w:sz w:val="20"/>
          <w:szCs w:val="20"/>
        </w:rPr>
        <w:t>Sisvar</w:t>
      </w:r>
      <w:proofErr w:type="spellEnd"/>
      <w:r w:rsidR="00661BBC">
        <w:rPr>
          <w:sz w:val="20"/>
          <w:szCs w:val="20"/>
        </w:rPr>
        <w:t xml:space="preserve"> (FERREIRA, 2011). </w:t>
      </w:r>
    </w:p>
    <w:p w:rsidR="00B96922" w:rsidRDefault="00B96922" w:rsidP="00B96922">
      <w:pPr>
        <w:ind w:firstLine="708"/>
        <w:jc w:val="both"/>
        <w:rPr>
          <w:sz w:val="20"/>
          <w:szCs w:val="20"/>
          <w:shd w:val="clear" w:color="auto" w:fill="FFFFFF"/>
        </w:rPr>
      </w:pPr>
    </w:p>
    <w:p w:rsidR="00B96922" w:rsidRPr="00980A85" w:rsidRDefault="00B96922" w:rsidP="00B96922">
      <w:pPr>
        <w:widowControl/>
        <w:jc w:val="both"/>
        <w:rPr>
          <w:sz w:val="20"/>
          <w:szCs w:val="20"/>
        </w:rPr>
      </w:pPr>
    </w:p>
    <w:p w:rsidR="00B96922" w:rsidRDefault="00B96922" w:rsidP="00B96922">
      <w:pPr>
        <w:widowControl/>
        <w:jc w:val="both"/>
        <w:rPr>
          <w:sz w:val="20"/>
          <w:szCs w:val="20"/>
        </w:rPr>
      </w:pPr>
      <w:r>
        <w:rPr>
          <w:b/>
          <w:sz w:val="20"/>
          <w:szCs w:val="20"/>
        </w:rPr>
        <w:t>RESULTADOS E DISCUSSÃO</w:t>
      </w:r>
      <w:r>
        <w:rPr>
          <w:sz w:val="20"/>
          <w:szCs w:val="20"/>
        </w:rPr>
        <w:t xml:space="preserve"> </w:t>
      </w:r>
    </w:p>
    <w:p w:rsidR="00B96922" w:rsidRDefault="00B96922" w:rsidP="00B96922">
      <w:pPr>
        <w:widowControl/>
        <w:jc w:val="both"/>
        <w:rPr>
          <w:sz w:val="20"/>
          <w:szCs w:val="20"/>
        </w:rPr>
      </w:pPr>
    </w:p>
    <w:p w:rsidR="00B96922" w:rsidRPr="00EC11F5" w:rsidRDefault="00B96922" w:rsidP="00B96922">
      <w:pPr>
        <w:widowControl/>
        <w:jc w:val="both"/>
        <w:rPr>
          <w:sz w:val="20"/>
          <w:szCs w:val="20"/>
        </w:rPr>
      </w:pPr>
      <w:r>
        <w:rPr>
          <w:sz w:val="20"/>
          <w:szCs w:val="20"/>
        </w:rPr>
        <w:tab/>
      </w:r>
      <w:r w:rsidRPr="00EC11F5">
        <w:rPr>
          <w:sz w:val="20"/>
          <w:szCs w:val="20"/>
        </w:rPr>
        <w:t>Verificou-se que o lote 2 apresenta viabilidade e vigor superior ao lote 1. A germinação do lote 2 foi 20% superior ao lote 1 (Figura 1A). A análise da capacidade germinativa é um pilar central na ciência e tecnologia de sementes, pois a germinação bem-sucedida é o pré-requisito para o estabelecimento da planta e, consequentemente, para a produtividade agrícola e a propagação de espécies (KHAN et al., 2024).</w:t>
      </w:r>
    </w:p>
    <w:p w:rsidR="00B96922" w:rsidRDefault="00B96922" w:rsidP="00B96922">
      <w:pPr>
        <w:widowControl/>
        <w:jc w:val="both"/>
        <w:rPr>
          <w:sz w:val="20"/>
          <w:szCs w:val="20"/>
        </w:rPr>
      </w:pPr>
      <w:r w:rsidRPr="00EC11F5">
        <w:rPr>
          <w:sz w:val="20"/>
          <w:szCs w:val="20"/>
        </w:rPr>
        <w:tab/>
        <w:t xml:space="preserve">Em relação ao comprimento de raiz e parte aérea, o lote 2 também foi estatisticamente superior, sendo mais significativo no comprimento da parte aérea (Figuras 1B e 1C). </w:t>
      </w:r>
      <w:r>
        <w:rPr>
          <w:sz w:val="20"/>
          <w:szCs w:val="20"/>
        </w:rPr>
        <w:t xml:space="preserve">O lote 1 já estava armazenado há um ano, ou seja, mais deteriorado, que pode ter contribuído para menor crescimento das plântulas.  </w:t>
      </w:r>
      <w:r w:rsidRPr="00EC11F5">
        <w:rPr>
          <w:sz w:val="20"/>
          <w:szCs w:val="20"/>
        </w:rPr>
        <w:t>O crescimento de plântulas, avaliado pelo comprimento da parte aérea e da raiz primária, é um dos testes de vigor mais sensíveis para detectar diferenças na qualidade fisiológica de lotes de sementes, refletindo diretamente o potencial de estabelecimento das plântulas no campo.</w:t>
      </w:r>
    </w:p>
    <w:p w:rsidR="00B96922" w:rsidRDefault="00B96922" w:rsidP="00B96922">
      <w:pPr>
        <w:widowControl/>
        <w:ind w:firstLine="720"/>
        <w:jc w:val="both"/>
        <w:rPr>
          <w:sz w:val="20"/>
          <w:szCs w:val="20"/>
        </w:rPr>
      </w:pPr>
      <w:r w:rsidRPr="00EC11F5">
        <w:rPr>
          <w:sz w:val="20"/>
          <w:szCs w:val="20"/>
        </w:rPr>
        <w:t>Sementes mais vigorosas produzem plântulas com maior taxa de crescimento inicial, o que é fundamental para a competição e sobrevivência sob diversas condições ambientais (KRZYZANOWSKI et al., 2020)</w:t>
      </w:r>
      <w:r>
        <w:rPr>
          <w:sz w:val="20"/>
          <w:szCs w:val="20"/>
        </w:rPr>
        <w:t xml:space="preserve">.Além disso, em relação à moringa, o desenvolvimento de plântula </w:t>
      </w:r>
      <w:r w:rsidRPr="00980A85">
        <w:rPr>
          <w:sz w:val="20"/>
          <w:szCs w:val="20"/>
        </w:rPr>
        <w:t>com sistema  radicul</w:t>
      </w:r>
      <w:r>
        <w:rPr>
          <w:sz w:val="20"/>
          <w:szCs w:val="20"/>
        </w:rPr>
        <w:t>ar mais acentuado,  oriundos de sementes com maior vigor,  pode ser</w:t>
      </w:r>
      <w:r w:rsidRPr="00980A85">
        <w:rPr>
          <w:sz w:val="20"/>
          <w:szCs w:val="20"/>
        </w:rPr>
        <w:t xml:space="preserve"> </w:t>
      </w:r>
      <w:r>
        <w:rPr>
          <w:sz w:val="20"/>
          <w:szCs w:val="20"/>
        </w:rPr>
        <w:t xml:space="preserve">uma característica favorável à </w:t>
      </w:r>
      <w:r w:rsidRPr="00980A85">
        <w:rPr>
          <w:sz w:val="20"/>
          <w:szCs w:val="20"/>
        </w:rPr>
        <w:t>adaptação e à sobrevivência da espécie, quando esta iniciar o processo de crescimento, visto que haverá maior velocidade nos processos metabólicos, propiciando emissão mais rápida e uniforme da raiz primária, de modo que um sistema radicular mais vigoroso será eficaz para absorção de água e nutrientes, e com maiores taxas de crescimento e p</w:t>
      </w:r>
      <w:r>
        <w:rPr>
          <w:sz w:val="20"/>
          <w:szCs w:val="20"/>
        </w:rPr>
        <w:t xml:space="preserve">rodução (ROCHA et al., 2016 apud PEREIRA et al., 2020). </w:t>
      </w:r>
    </w:p>
    <w:p w:rsidR="00B96922" w:rsidRDefault="00B96922" w:rsidP="00B96922">
      <w:pPr>
        <w:widowControl/>
        <w:jc w:val="both"/>
        <w:rPr>
          <w:sz w:val="20"/>
          <w:szCs w:val="20"/>
        </w:rPr>
      </w:pPr>
      <w:r>
        <w:rPr>
          <w:sz w:val="20"/>
          <w:szCs w:val="20"/>
        </w:rPr>
        <w:tab/>
        <w:t xml:space="preserve">A massa seca da parte aérea e da raiz do lote 2 também foi superior em relação ao lote 1. Noronha, Medeiros e Pereira (2018), avaliando a qualidade fisiológica de lotes de sementes de moringa, também verificaram redução na massa seca de plântulas em um dos lotes avaliados, atribuindo ao fato de que, substâncias de reservas são acumuladas na semente para fornecimento de energia para germinação e desenvolvimento das plântulas e o menor acúmulo de massa seca resultaria em menor vigor e menor massa seca de plântulas. </w:t>
      </w:r>
    </w:p>
    <w:p w:rsidR="00B96922" w:rsidRDefault="00B96922" w:rsidP="00B96922">
      <w:pPr>
        <w:widowControl/>
        <w:jc w:val="both"/>
        <w:rPr>
          <w:sz w:val="20"/>
          <w:szCs w:val="20"/>
        </w:rPr>
      </w:pPr>
    </w:p>
    <w:p w:rsidR="00B96922" w:rsidRDefault="00B96922" w:rsidP="00B96922">
      <w:pPr>
        <w:widowControl/>
        <w:jc w:val="both"/>
        <w:rPr>
          <w:sz w:val="20"/>
          <w:szCs w:val="20"/>
        </w:rPr>
      </w:pPr>
    </w:p>
    <w:p w:rsidR="00B96922" w:rsidRDefault="00B96922" w:rsidP="00B96922">
      <w:pPr>
        <w:widowControl/>
        <w:jc w:val="both"/>
        <w:rPr>
          <w:sz w:val="20"/>
          <w:szCs w:val="20"/>
        </w:rPr>
      </w:pPr>
    </w:p>
    <w:p w:rsidR="00B96922" w:rsidRDefault="00B96922" w:rsidP="00B96922">
      <w:pPr>
        <w:widowControl/>
        <w:jc w:val="both"/>
        <w:rPr>
          <w:sz w:val="20"/>
          <w:szCs w:val="20"/>
        </w:rPr>
      </w:pPr>
    </w:p>
    <w:p w:rsidR="00B96922" w:rsidRDefault="00B96922" w:rsidP="00B96922">
      <w:pPr>
        <w:widowControl/>
        <w:jc w:val="both"/>
        <w:rPr>
          <w:sz w:val="20"/>
          <w:szCs w:val="20"/>
        </w:rPr>
      </w:pPr>
    </w:p>
    <w:p w:rsidR="00B96922" w:rsidRDefault="00B96922" w:rsidP="00B96922">
      <w:pPr>
        <w:widowControl/>
        <w:jc w:val="both"/>
        <w:rPr>
          <w:sz w:val="20"/>
          <w:szCs w:val="20"/>
        </w:rPr>
      </w:pPr>
    </w:p>
    <w:p w:rsidR="00B96922" w:rsidRDefault="00B96922" w:rsidP="00B96922">
      <w:pPr>
        <w:widowControl/>
        <w:jc w:val="both"/>
        <w:rPr>
          <w:sz w:val="20"/>
          <w:szCs w:val="20"/>
        </w:rPr>
      </w:pPr>
    </w:p>
    <w:p w:rsidR="00B96922" w:rsidRDefault="00365625" w:rsidP="00B96922">
      <w:pPr>
        <w:widowControl/>
        <w:jc w:val="both"/>
        <w:rPr>
          <w:sz w:val="20"/>
          <w:szCs w:val="20"/>
        </w:rPr>
      </w:pPr>
      <w:r>
        <w:rPr>
          <w:noProof/>
          <w:lang w:bidi="ar-SA"/>
        </w:rPr>
        <w:lastRenderedPageBreak/>
        <w:drawing>
          <wp:inline distT="0" distB="0" distL="0" distR="0" wp14:anchorId="7B0B9C49" wp14:editId="72EC8E4A">
            <wp:extent cx="2604211" cy="2260397"/>
            <wp:effectExtent l="0" t="0" r="5715" b="69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96922">
        <w:rPr>
          <w:sz w:val="20"/>
          <w:szCs w:val="20"/>
        </w:rPr>
        <w:t xml:space="preserve"> </w:t>
      </w:r>
      <w:r>
        <w:rPr>
          <w:noProof/>
          <w:lang w:bidi="ar-SA"/>
        </w:rPr>
        <w:drawing>
          <wp:inline distT="0" distB="0" distL="0" distR="0" wp14:anchorId="78A51287" wp14:editId="101A8747">
            <wp:extent cx="2825115" cy="2127682"/>
            <wp:effectExtent l="0" t="0" r="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6922" w:rsidRDefault="00B96922" w:rsidP="00B96922">
      <w:pPr>
        <w:widowControl/>
        <w:numPr>
          <w:ilvl w:val="0"/>
          <w:numId w:val="2"/>
        </w:numPr>
        <w:jc w:val="both"/>
        <w:rPr>
          <w:sz w:val="20"/>
          <w:szCs w:val="20"/>
        </w:rPr>
      </w:pPr>
      <w:r>
        <w:rPr>
          <w:sz w:val="20"/>
          <w:szCs w:val="20"/>
        </w:rPr>
        <w:t xml:space="preserve">                                                                                             (B)</w:t>
      </w:r>
    </w:p>
    <w:p w:rsidR="00B96922" w:rsidRDefault="00B96922" w:rsidP="00B96922">
      <w:pPr>
        <w:widowControl/>
        <w:jc w:val="both"/>
        <w:rPr>
          <w:sz w:val="20"/>
          <w:szCs w:val="20"/>
        </w:rPr>
      </w:pPr>
    </w:p>
    <w:p w:rsidR="00B96922" w:rsidRDefault="00365625" w:rsidP="00B96922">
      <w:pPr>
        <w:widowControl/>
        <w:jc w:val="both"/>
        <w:rPr>
          <w:sz w:val="20"/>
          <w:szCs w:val="20"/>
        </w:rPr>
      </w:pPr>
      <w:r>
        <w:rPr>
          <w:noProof/>
          <w:lang w:bidi="ar-SA"/>
        </w:rPr>
        <w:drawing>
          <wp:inline distT="0" distB="0" distL="0" distR="0" wp14:anchorId="4B07F624" wp14:editId="578BEEDD">
            <wp:extent cx="2406700" cy="1880007"/>
            <wp:effectExtent l="0" t="0" r="0" b="63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B96922">
        <w:rPr>
          <w:sz w:val="20"/>
          <w:szCs w:val="20"/>
        </w:rPr>
        <w:t xml:space="preserve">   </w:t>
      </w:r>
      <w:r>
        <w:rPr>
          <w:noProof/>
          <w:lang w:bidi="ar-SA"/>
        </w:rPr>
        <w:drawing>
          <wp:inline distT="0" distB="0" distL="0" distR="0" wp14:anchorId="5048E940" wp14:editId="1968AA68">
            <wp:extent cx="2648102" cy="2106778"/>
            <wp:effectExtent l="0" t="0" r="0" b="825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6922" w:rsidRDefault="00B96922" w:rsidP="00B96922">
      <w:pPr>
        <w:widowControl/>
        <w:jc w:val="both"/>
        <w:rPr>
          <w:sz w:val="20"/>
          <w:szCs w:val="20"/>
        </w:rPr>
      </w:pPr>
      <w:r>
        <w:rPr>
          <w:sz w:val="20"/>
          <w:szCs w:val="20"/>
        </w:rPr>
        <w:tab/>
      </w:r>
      <w:r>
        <w:rPr>
          <w:sz w:val="20"/>
          <w:szCs w:val="20"/>
        </w:rPr>
        <w:tab/>
      </w:r>
      <w:r>
        <w:rPr>
          <w:sz w:val="20"/>
          <w:szCs w:val="20"/>
        </w:rPr>
        <w:tab/>
        <w:t>(C)</w:t>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ab/>
        <w:t>(</w:t>
      </w:r>
      <w:proofErr w:type="gramEnd"/>
      <w:r>
        <w:rPr>
          <w:sz w:val="20"/>
          <w:szCs w:val="20"/>
        </w:rPr>
        <w:t>D)</w:t>
      </w:r>
    </w:p>
    <w:p w:rsidR="00B96922" w:rsidRDefault="00B96922" w:rsidP="00B96922">
      <w:pPr>
        <w:widowControl/>
        <w:jc w:val="both"/>
        <w:rPr>
          <w:sz w:val="20"/>
          <w:szCs w:val="20"/>
        </w:rPr>
      </w:pPr>
    </w:p>
    <w:p w:rsidR="00B96922" w:rsidRDefault="00B96922" w:rsidP="00B96922">
      <w:pPr>
        <w:widowControl/>
        <w:jc w:val="both"/>
        <w:rPr>
          <w:sz w:val="20"/>
          <w:szCs w:val="20"/>
        </w:rPr>
      </w:pPr>
    </w:p>
    <w:p w:rsidR="00B96922" w:rsidRDefault="00365625" w:rsidP="00B96922">
      <w:pPr>
        <w:widowControl/>
        <w:jc w:val="center"/>
        <w:rPr>
          <w:sz w:val="20"/>
          <w:szCs w:val="20"/>
        </w:rPr>
      </w:pPr>
      <w:r>
        <w:rPr>
          <w:noProof/>
          <w:lang w:bidi="ar-SA"/>
        </w:rPr>
        <w:drawing>
          <wp:inline distT="0" distB="0" distL="0" distR="0" wp14:anchorId="07C59BAD" wp14:editId="66B29B7A">
            <wp:extent cx="3168502" cy="2190307"/>
            <wp:effectExtent l="0" t="0" r="0" b="63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6922" w:rsidRDefault="00B96922" w:rsidP="00B96922">
      <w:pPr>
        <w:widowControl/>
        <w:jc w:val="center"/>
        <w:rPr>
          <w:sz w:val="20"/>
          <w:szCs w:val="20"/>
        </w:rPr>
      </w:pPr>
      <w:r>
        <w:rPr>
          <w:sz w:val="20"/>
          <w:szCs w:val="20"/>
        </w:rPr>
        <w:t>(E)</w:t>
      </w:r>
    </w:p>
    <w:p w:rsidR="00B96922" w:rsidRDefault="00B96922" w:rsidP="00B96922">
      <w:pPr>
        <w:widowControl/>
        <w:tabs>
          <w:tab w:val="left" w:pos="142"/>
        </w:tabs>
        <w:jc w:val="both"/>
        <w:rPr>
          <w:sz w:val="20"/>
          <w:szCs w:val="20"/>
        </w:rPr>
      </w:pPr>
    </w:p>
    <w:p w:rsidR="00B96922" w:rsidRDefault="00B96922" w:rsidP="00B96922">
      <w:pPr>
        <w:widowControl/>
        <w:tabs>
          <w:tab w:val="left" w:pos="142"/>
        </w:tabs>
        <w:jc w:val="both"/>
        <w:rPr>
          <w:sz w:val="20"/>
          <w:szCs w:val="20"/>
        </w:rPr>
      </w:pPr>
    </w:p>
    <w:p w:rsidR="00B96922" w:rsidRDefault="00B96922" w:rsidP="00B96922">
      <w:pPr>
        <w:widowControl/>
        <w:tabs>
          <w:tab w:val="left" w:pos="142"/>
        </w:tabs>
        <w:jc w:val="both"/>
        <w:rPr>
          <w:sz w:val="20"/>
          <w:szCs w:val="20"/>
        </w:rPr>
      </w:pPr>
      <w:r>
        <w:rPr>
          <w:sz w:val="20"/>
          <w:szCs w:val="20"/>
        </w:rPr>
        <w:t>Figura 1. Germinação (A), comprimento de raiz (B), comprimento da parte aérea (C), comprimento de raiz (D), massa seca de raiz (E) e massa seca da parte aérea (E) de dois lotes de sementes de moringa (</w:t>
      </w:r>
      <w:r w:rsidRPr="00346353">
        <w:rPr>
          <w:i/>
          <w:sz w:val="20"/>
          <w:szCs w:val="20"/>
        </w:rPr>
        <w:t xml:space="preserve">Moringa </w:t>
      </w:r>
      <w:proofErr w:type="spellStart"/>
      <w:r w:rsidRPr="00346353">
        <w:rPr>
          <w:i/>
          <w:sz w:val="20"/>
          <w:szCs w:val="20"/>
        </w:rPr>
        <w:t>oleiferea</w:t>
      </w:r>
      <w:proofErr w:type="spellEnd"/>
      <w:r>
        <w:rPr>
          <w:sz w:val="20"/>
          <w:szCs w:val="20"/>
        </w:rPr>
        <w:t xml:space="preserve"> </w:t>
      </w:r>
      <w:proofErr w:type="spellStart"/>
      <w:r>
        <w:rPr>
          <w:sz w:val="20"/>
          <w:szCs w:val="20"/>
        </w:rPr>
        <w:t>Lam</w:t>
      </w:r>
      <w:proofErr w:type="spellEnd"/>
      <w:r>
        <w:rPr>
          <w:sz w:val="20"/>
          <w:szCs w:val="20"/>
        </w:rPr>
        <w:t xml:space="preserve">.). </w:t>
      </w:r>
    </w:p>
    <w:p w:rsidR="00365625" w:rsidRDefault="00365625" w:rsidP="00365625">
      <w:pPr>
        <w:widowControl/>
        <w:rPr>
          <w:sz w:val="20"/>
          <w:szCs w:val="20"/>
        </w:rPr>
      </w:pPr>
      <w:r>
        <w:rPr>
          <w:sz w:val="20"/>
          <w:szCs w:val="20"/>
        </w:rPr>
        <w:t xml:space="preserve">Médias seguidas da mesma letra não diferem entre si pelo teste de </w:t>
      </w:r>
      <w:proofErr w:type="spellStart"/>
      <w:r>
        <w:rPr>
          <w:sz w:val="20"/>
          <w:szCs w:val="20"/>
        </w:rPr>
        <w:t>Tukey</w:t>
      </w:r>
      <w:proofErr w:type="spellEnd"/>
      <w:r>
        <w:rPr>
          <w:sz w:val="20"/>
          <w:szCs w:val="20"/>
        </w:rPr>
        <w:t xml:space="preserve"> à 5,0% de probabilidade. </w:t>
      </w:r>
    </w:p>
    <w:p w:rsidR="00365625" w:rsidRDefault="00365625" w:rsidP="00365625">
      <w:pPr>
        <w:widowControl/>
        <w:jc w:val="center"/>
        <w:rPr>
          <w:sz w:val="20"/>
          <w:szCs w:val="20"/>
        </w:rPr>
      </w:pPr>
    </w:p>
    <w:p w:rsidR="00B96922" w:rsidRDefault="00B96922" w:rsidP="00B96922">
      <w:pPr>
        <w:widowControl/>
        <w:jc w:val="both"/>
        <w:rPr>
          <w:sz w:val="20"/>
          <w:szCs w:val="20"/>
        </w:rPr>
      </w:pPr>
      <w:r>
        <w:rPr>
          <w:b/>
          <w:sz w:val="20"/>
          <w:szCs w:val="20"/>
        </w:rPr>
        <w:lastRenderedPageBreak/>
        <w:t>CONCLUSÕES</w:t>
      </w:r>
    </w:p>
    <w:p w:rsidR="00B96922" w:rsidRDefault="00B96922" w:rsidP="00B96922">
      <w:pPr>
        <w:widowControl/>
        <w:ind w:firstLine="709"/>
        <w:jc w:val="both"/>
        <w:rPr>
          <w:sz w:val="20"/>
          <w:szCs w:val="20"/>
        </w:rPr>
      </w:pPr>
      <w:r>
        <w:rPr>
          <w:sz w:val="20"/>
          <w:szCs w:val="20"/>
        </w:rPr>
        <w:t xml:space="preserve"> </w:t>
      </w:r>
    </w:p>
    <w:p w:rsidR="00B96922" w:rsidRDefault="00B96922" w:rsidP="00B96922">
      <w:pPr>
        <w:ind w:firstLine="720"/>
        <w:jc w:val="both"/>
        <w:rPr>
          <w:sz w:val="20"/>
          <w:szCs w:val="20"/>
        </w:rPr>
      </w:pPr>
      <w:r>
        <w:rPr>
          <w:sz w:val="20"/>
          <w:szCs w:val="20"/>
        </w:rPr>
        <w:t xml:space="preserve">A germinação e o vigor do lote 2 é superior em relação ao lote 1. </w:t>
      </w:r>
    </w:p>
    <w:p w:rsidR="00B96922" w:rsidRDefault="00B96922" w:rsidP="00B96922">
      <w:pPr>
        <w:widowControl/>
        <w:ind w:firstLine="709"/>
        <w:jc w:val="both"/>
        <w:rPr>
          <w:sz w:val="20"/>
          <w:szCs w:val="20"/>
        </w:rPr>
      </w:pPr>
    </w:p>
    <w:p w:rsidR="00B96922" w:rsidRDefault="00B96922" w:rsidP="00B96922">
      <w:pPr>
        <w:widowControl/>
        <w:ind w:firstLine="709"/>
        <w:jc w:val="both"/>
        <w:rPr>
          <w:sz w:val="20"/>
          <w:szCs w:val="20"/>
        </w:rPr>
      </w:pPr>
    </w:p>
    <w:p w:rsidR="00B96922" w:rsidRDefault="00B96922" w:rsidP="00B96922">
      <w:pPr>
        <w:widowControl/>
        <w:ind w:firstLine="709"/>
        <w:jc w:val="both"/>
        <w:rPr>
          <w:sz w:val="20"/>
          <w:szCs w:val="20"/>
        </w:rPr>
      </w:pPr>
    </w:p>
    <w:p w:rsidR="00B96922" w:rsidRDefault="00B96922" w:rsidP="00B96922">
      <w:pPr>
        <w:widowControl/>
        <w:jc w:val="both"/>
        <w:rPr>
          <w:b/>
          <w:sz w:val="20"/>
          <w:szCs w:val="20"/>
        </w:rPr>
      </w:pPr>
      <w:r>
        <w:rPr>
          <w:b/>
          <w:sz w:val="20"/>
          <w:szCs w:val="20"/>
        </w:rPr>
        <w:t xml:space="preserve">REFERÊNCIAS </w:t>
      </w:r>
    </w:p>
    <w:p w:rsidR="00E02502" w:rsidRDefault="00E02502" w:rsidP="00B96922">
      <w:pPr>
        <w:widowControl/>
        <w:jc w:val="both"/>
        <w:rPr>
          <w:b/>
          <w:sz w:val="20"/>
          <w:szCs w:val="20"/>
        </w:rPr>
      </w:pPr>
    </w:p>
    <w:p w:rsidR="00661BBC" w:rsidRPr="00661BBC" w:rsidRDefault="00661BBC" w:rsidP="00B96922"/>
    <w:p w:rsidR="00661BBC" w:rsidRDefault="00661BBC" w:rsidP="00B96922">
      <w:pPr>
        <w:jc w:val="both"/>
      </w:pPr>
      <w:r w:rsidRPr="00661BBC">
        <w:t xml:space="preserve">ALMEIDA, C. B. L., SÁ, C. C., CARVALHO, R. C. </w:t>
      </w:r>
      <w:proofErr w:type="gramStart"/>
      <w:r w:rsidRPr="00661BBC">
        <w:t>D.,ALMEIDA</w:t>
      </w:r>
      <w:proofErr w:type="gramEnd"/>
      <w:r w:rsidRPr="00661BBC">
        <w:t xml:space="preserve">, E. S. Estudo prospectivo da moringa na indústria de cosméticos. </w:t>
      </w:r>
      <w:r w:rsidRPr="00661BBC">
        <w:rPr>
          <w:b/>
        </w:rPr>
        <w:t xml:space="preserve">Cad. </w:t>
      </w:r>
      <w:proofErr w:type="spellStart"/>
      <w:proofErr w:type="gramStart"/>
      <w:r w:rsidRPr="00661BBC">
        <w:rPr>
          <w:b/>
        </w:rPr>
        <w:t>Prospec</w:t>
      </w:r>
      <w:proofErr w:type="spellEnd"/>
      <w:r w:rsidRPr="00661BBC">
        <w:rPr>
          <w:b/>
        </w:rPr>
        <w:t>.</w:t>
      </w:r>
      <w:r w:rsidRPr="00661BBC">
        <w:t>,</w:t>
      </w:r>
      <w:proofErr w:type="gramEnd"/>
      <w:r w:rsidRPr="00661BBC">
        <w:t xml:space="preserve"> Salvador, v. 10, n.04, p. 905-918, 2017.</w:t>
      </w:r>
    </w:p>
    <w:p w:rsidR="00661BBC" w:rsidRPr="00661BBC" w:rsidRDefault="00661BBC" w:rsidP="00B96922">
      <w:pPr>
        <w:jc w:val="both"/>
      </w:pPr>
    </w:p>
    <w:p w:rsidR="00661BBC" w:rsidRDefault="00661BBC" w:rsidP="00B96922">
      <w:pPr>
        <w:jc w:val="both"/>
      </w:pPr>
      <w:r w:rsidRPr="00661BBC">
        <w:t xml:space="preserve">FERREIRA, D. F. </w:t>
      </w:r>
      <w:proofErr w:type="spellStart"/>
      <w:r w:rsidRPr="00661BBC">
        <w:t>Sisvar</w:t>
      </w:r>
      <w:proofErr w:type="spellEnd"/>
      <w:r w:rsidRPr="00661BBC">
        <w:t xml:space="preserve">: A Computer </w:t>
      </w:r>
      <w:proofErr w:type="spellStart"/>
      <w:r w:rsidRPr="00661BBC">
        <w:t>Statistical</w:t>
      </w:r>
      <w:proofErr w:type="spellEnd"/>
      <w:r w:rsidRPr="00661BBC">
        <w:t xml:space="preserve"> </w:t>
      </w:r>
      <w:proofErr w:type="spellStart"/>
      <w:r w:rsidRPr="00661BBC">
        <w:t>Analysis</w:t>
      </w:r>
      <w:proofErr w:type="spellEnd"/>
      <w:r w:rsidRPr="00661BBC">
        <w:t xml:space="preserve"> System. </w:t>
      </w:r>
      <w:r w:rsidRPr="00661BBC">
        <w:rPr>
          <w:b/>
        </w:rPr>
        <w:t xml:space="preserve">Ciência e </w:t>
      </w:r>
      <w:proofErr w:type="spellStart"/>
      <w:r w:rsidRPr="00661BBC">
        <w:rPr>
          <w:b/>
        </w:rPr>
        <w:t>Agrotecnologia</w:t>
      </w:r>
      <w:proofErr w:type="spellEnd"/>
      <w:r w:rsidRPr="00661BBC">
        <w:t>, v. 35, n.6, p. 1039–1042, 2011.</w:t>
      </w:r>
    </w:p>
    <w:p w:rsidR="00661BBC" w:rsidRPr="00661BBC" w:rsidRDefault="00661BBC" w:rsidP="00B96922">
      <w:pPr>
        <w:jc w:val="both"/>
      </w:pPr>
    </w:p>
    <w:p w:rsidR="00661BBC" w:rsidRPr="00661BBC" w:rsidRDefault="00661BBC" w:rsidP="00B96922">
      <w:pPr>
        <w:widowControl/>
        <w:jc w:val="both"/>
      </w:pPr>
      <w:r w:rsidRPr="00661BBC">
        <w:t xml:space="preserve">KHAN, N.A.; BANO, A.; BABAR, M.A.; RAHMAN, M.U.; KHAN, S.A.; ALI, H.; ULLAH, S.; KHAN, Q.; LIU, G. </w:t>
      </w:r>
      <w:proofErr w:type="spellStart"/>
      <w:r w:rsidRPr="00661BBC">
        <w:t>Seed</w:t>
      </w:r>
      <w:proofErr w:type="spellEnd"/>
      <w:r w:rsidRPr="00661BBC">
        <w:t xml:space="preserve"> </w:t>
      </w:r>
      <w:proofErr w:type="spellStart"/>
      <w:r w:rsidRPr="00661BBC">
        <w:t>Germination</w:t>
      </w:r>
      <w:proofErr w:type="spellEnd"/>
      <w:r w:rsidRPr="00661BBC">
        <w:t xml:space="preserve">: </w:t>
      </w:r>
      <w:proofErr w:type="spellStart"/>
      <w:r w:rsidRPr="00661BBC">
        <w:t>Influencing</w:t>
      </w:r>
      <w:proofErr w:type="spellEnd"/>
      <w:r w:rsidRPr="00661BBC">
        <w:t xml:space="preserve"> </w:t>
      </w:r>
      <w:proofErr w:type="spellStart"/>
      <w:r w:rsidRPr="00661BBC">
        <w:t>Factors</w:t>
      </w:r>
      <w:proofErr w:type="spellEnd"/>
      <w:r w:rsidRPr="00661BBC">
        <w:t xml:space="preserve"> </w:t>
      </w:r>
      <w:proofErr w:type="spellStart"/>
      <w:r w:rsidRPr="00661BBC">
        <w:t>and</w:t>
      </w:r>
      <w:proofErr w:type="spellEnd"/>
      <w:r w:rsidRPr="00661BBC">
        <w:t xml:space="preserve"> </w:t>
      </w:r>
      <w:proofErr w:type="spellStart"/>
      <w:r w:rsidRPr="00661BBC">
        <w:t>Methodologies</w:t>
      </w:r>
      <w:proofErr w:type="spellEnd"/>
      <w:r w:rsidRPr="00661BBC">
        <w:t xml:space="preserve"> </w:t>
      </w:r>
      <w:proofErr w:type="spellStart"/>
      <w:r w:rsidRPr="00661BBC">
        <w:t>of</w:t>
      </w:r>
      <w:proofErr w:type="spellEnd"/>
      <w:r w:rsidRPr="00661BBC">
        <w:t xml:space="preserve"> </w:t>
      </w:r>
      <w:proofErr w:type="spellStart"/>
      <w:r w:rsidRPr="00661BBC">
        <w:t>Enhancement</w:t>
      </w:r>
      <w:proofErr w:type="spellEnd"/>
      <w:r w:rsidRPr="00661BBC">
        <w:t>—</w:t>
      </w:r>
      <w:proofErr w:type="spellStart"/>
      <w:r w:rsidRPr="00661BBC">
        <w:t>An</w:t>
      </w:r>
      <w:proofErr w:type="spellEnd"/>
      <w:r w:rsidRPr="00661BBC">
        <w:t xml:space="preserve"> </w:t>
      </w:r>
      <w:proofErr w:type="spellStart"/>
      <w:r w:rsidRPr="00661BBC">
        <w:t>Extensive</w:t>
      </w:r>
      <w:proofErr w:type="spellEnd"/>
      <w:r w:rsidRPr="00661BBC">
        <w:t xml:space="preserve"> </w:t>
      </w:r>
      <w:proofErr w:type="spellStart"/>
      <w:r w:rsidRPr="00661BBC">
        <w:t>Review</w:t>
      </w:r>
      <w:proofErr w:type="spellEnd"/>
      <w:r w:rsidRPr="00661BBC">
        <w:t xml:space="preserve">. </w:t>
      </w:r>
      <w:proofErr w:type="spellStart"/>
      <w:r w:rsidRPr="00661BBC">
        <w:rPr>
          <w:b/>
        </w:rPr>
        <w:t>Horticulturae</w:t>
      </w:r>
      <w:proofErr w:type="spellEnd"/>
      <w:r w:rsidRPr="00661BBC">
        <w:t xml:space="preserve">, 10(1), 69, 2024. Disponível em: </w:t>
      </w:r>
      <w:hyperlink r:id="rId13" w:history="1">
        <w:r w:rsidRPr="00661BBC">
          <w:rPr>
            <w:rStyle w:val="Hyperlink"/>
          </w:rPr>
          <w:t>https://doi.org/10.3390/horticulturae10010069</w:t>
        </w:r>
      </w:hyperlink>
    </w:p>
    <w:p w:rsidR="00661BBC" w:rsidRPr="00661BBC" w:rsidRDefault="00661BBC" w:rsidP="00B96922">
      <w:pPr>
        <w:spacing w:before="100" w:beforeAutospacing="1" w:after="100" w:afterAutospacing="1"/>
      </w:pPr>
      <w:r w:rsidRPr="00661BBC">
        <w:t xml:space="preserve">KRZYZANOWSKI, F.C.; VIEIRA, R.D.; FRANÇA-NETO, J.B.; MARCOS-FILHO, J. M. </w:t>
      </w:r>
      <w:r w:rsidRPr="00661BBC">
        <w:rPr>
          <w:b/>
          <w:bCs/>
        </w:rPr>
        <w:t>Vigor de sementes</w:t>
      </w:r>
      <w:r w:rsidRPr="00661BBC">
        <w:t>: conceitos e testes. Londrina, PR: ABRATES, 2020, 601 p.</w:t>
      </w:r>
    </w:p>
    <w:p w:rsidR="00661BBC" w:rsidRPr="00661BBC" w:rsidRDefault="00661BBC" w:rsidP="00B96922">
      <w:pPr>
        <w:widowControl/>
        <w:jc w:val="both"/>
      </w:pPr>
      <w:r w:rsidRPr="00661BBC">
        <w:t xml:space="preserve">MULLER, E. L. </w:t>
      </w:r>
      <w:r w:rsidRPr="00661BBC">
        <w:rPr>
          <w:b/>
        </w:rPr>
        <w:t xml:space="preserve">Potencial fisiológico e expressão de proteínas durante a germinação de sementes de </w:t>
      </w:r>
      <w:proofErr w:type="spellStart"/>
      <w:r w:rsidRPr="00661BBC">
        <w:rPr>
          <w:b/>
        </w:rPr>
        <w:t>Luehea</w:t>
      </w:r>
      <w:proofErr w:type="spellEnd"/>
      <w:r w:rsidRPr="00661BBC">
        <w:rPr>
          <w:b/>
        </w:rPr>
        <w:t xml:space="preserve"> </w:t>
      </w:r>
      <w:proofErr w:type="spellStart"/>
      <w:r w:rsidRPr="00661BBC">
        <w:rPr>
          <w:b/>
        </w:rPr>
        <w:t>divaricata</w:t>
      </w:r>
      <w:proofErr w:type="spellEnd"/>
      <w:r w:rsidRPr="00661BBC">
        <w:rPr>
          <w:b/>
        </w:rPr>
        <w:t xml:space="preserve"> Mart. &amp; </w:t>
      </w:r>
      <w:proofErr w:type="spellStart"/>
      <w:r w:rsidRPr="00661BBC">
        <w:rPr>
          <w:b/>
        </w:rPr>
        <w:t>Zucc</w:t>
      </w:r>
      <w:proofErr w:type="spellEnd"/>
      <w:r w:rsidRPr="00661BBC">
        <w:rPr>
          <w:b/>
        </w:rPr>
        <w:t>. Submetidas a diferentes temperaturas e potenciais hídricos.</w:t>
      </w:r>
      <w:r w:rsidRPr="00661BBC">
        <w:t xml:space="preserve"> Dissertação (Mestrado em Ciência e Tecnologia de Sementes) - Universidade Federal de Pelotas, Pelotas, p. 19, 2023. Disponível em:</w:t>
      </w:r>
      <w:hyperlink r:id="rId14">
        <w:r w:rsidRPr="00661BBC">
          <w:t xml:space="preserve"> </w:t>
        </w:r>
      </w:hyperlink>
      <w:hyperlink r:id="rId15">
        <w:r w:rsidRPr="00661BBC">
          <w:rPr>
            <w:color w:val="1155CC"/>
            <w:u w:val="single"/>
          </w:rPr>
          <w:t>https://wp.ufpel.edu.br/ppgcts/files/2023/09/Dissertac%CC%A7a%CC%83o_Elson.pdf</w:t>
        </w:r>
      </w:hyperlink>
    </w:p>
    <w:p w:rsidR="00661BBC" w:rsidRPr="00661BBC" w:rsidRDefault="00661BBC" w:rsidP="00B96922">
      <w:pPr>
        <w:spacing w:before="100" w:beforeAutospacing="1" w:after="100" w:afterAutospacing="1"/>
        <w:jc w:val="both"/>
      </w:pPr>
      <w:r w:rsidRPr="00661BBC">
        <w:t>NORONHA, B. G.</w:t>
      </w:r>
      <w:r>
        <w:t>; MEDEIROS, A. D.</w:t>
      </w:r>
      <w:bookmarkStart w:id="2" w:name="_GoBack"/>
      <w:bookmarkEnd w:id="2"/>
      <w:r w:rsidRPr="00661BBC">
        <w:t xml:space="preserve">; PEREIRA, M. D. Avaliação da qualidade fisiológica de sementes de </w:t>
      </w:r>
      <w:r w:rsidRPr="00661BBC">
        <w:rPr>
          <w:rStyle w:val="nfase"/>
        </w:rPr>
        <w:t xml:space="preserve">Moringa </w:t>
      </w:r>
      <w:proofErr w:type="spellStart"/>
      <w:r w:rsidRPr="00661BBC">
        <w:rPr>
          <w:rStyle w:val="nfase"/>
        </w:rPr>
        <w:t>oleifera</w:t>
      </w:r>
      <w:proofErr w:type="spellEnd"/>
      <w:r w:rsidRPr="00661BBC">
        <w:t xml:space="preserve"> </w:t>
      </w:r>
      <w:proofErr w:type="spellStart"/>
      <w:r w:rsidRPr="00661BBC">
        <w:t>Lam</w:t>
      </w:r>
      <w:proofErr w:type="spellEnd"/>
      <w:r w:rsidRPr="00661BBC">
        <w:t xml:space="preserve">. </w:t>
      </w:r>
      <w:r w:rsidRPr="00661BBC">
        <w:rPr>
          <w:rStyle w:val="nfase"/>
          <w:b/>
          <w:i w:val="0"/>
        </w:rPr>
        <w:t>Ciência Florestal</w:t>
      </w:r>
      <w:r w:rsidRPr="00661BBC">
        <w:t>, Santa Maria, v. 28, n. 1, p. 393-402, 2018.</w:t>
      </w:r>
    </w:p>
    <w:p w:rsidR="00661BBC" w:rsidRPr="00661BBC" w:rsidRDefault="00661BBC" w:rsidP="00B96922">
      <w:pPr>
        <w:spacing w:before="100" w:beforeAutospacing="1" w:after="100" w:afterAutospacing="1"/>
        <w:jc w:val="both"/>
      </w:pPr>
      <w:r w:rsidRPr="00661BBC">
        <w:t xml:space="preserve">PEREIRA, M. D.; REIS, J. A; FERRARI, C. S.; VALE, A. M. P. G. </w:t>
      </w:r>
      <w:r w:rsidRPr="00661BBC">
        <w:rPr>
          <w:rStyle w:val="relative"/>
        </w:rPr>
        <w:t xml:space="preserve">Processamento digital de imagens de plântulas na avaliação do vigor de sementes de </w:t>
      </w:r>
      <w:r w:rsidRPr="00661BBC">
        <w:rPr>
          <w:rStyle w:val="nfase"/>
        </w:rPr>
        <w:t xml:space="preserve">Moringa </w:t>
      </w:r>
      <w:proofErr w:type="spellStart"/>
      <w:r w:rsidRPr="00661BBC">
        <w:rPr>
          <w:rStyle w:val="nfase"/>
        </w:rPr>
        <w:t>oleifera</w:t>
      </w:r>
      <w:proofErr w:type="spellEnd"/>
      <w:r w:rsidRPr="00661BBC">
        <w:rPr>
          <w:rStyle w:val="relative"/>
        </w:rPr>
        <w:t xml:space="preserve"> </w:t>
      </w:r>
      <w:proofErr w:type="spellStart"/>
      <w:r w:rsidRPr="00661BBC">
        <w:rPr>
          <w:rStyle w:val="relative"/>
        </w:rPr>
        <w:t>Lam</w:t>
      </w:r>
      <w:proofErr w:type="spellEnd"/>
      <w:r w:rsidRPr="00661BBC">
        <w:rPr>
          <w:rStyle w:val="relative"/>
        </w:rPr>
        <w:t>.</w:t>
      </w:r>
      <w:r w:rsidRPr="00661BBC">
        <w:t xml:space="preserve"> </w:t>
      </w:r>
      <w:r w:rsidRPr="00661BBC">
        <w:rPr>
          <w:rStyle w:val="nfase"/>
          <w:b/>
        </w:rPr>
        <w:t>Ciência Florestal</w:t>
      </w:r>
      <w:r w:rsidRPr="00661BBC">
        <w:t xml:space="preserve">, Santa Maria, v. 30, n. 2, p. 291–306, abr./jun. 2020. Disponível em: </w:t>
      </w:r>
      <w:hyperlink r:id="rId16" w:tgtFrame="_blank" w:history="1">
        <w:r w:rsidRPr="00661BBC">
          <w:rPr>
            <w:rStyle w:val="max-w-full"/>
            <w:color w:val="0000FF"/>
            <w:u w:val="single"/>
          </w:rPr>
          <w:t>Portal de Periódicos UFSM</w:t>
        </w:r>
      </w:hyperlink>
      <w:r w:rsidRPr="00661BBC">
        <w:t>. Acesso em: 31 maio 2025.</w:t>
      </w:r>
    </w:p>
    <w:p w:rsidR="00661BBC" w:rsidRDefault="00661BBC" w:rsidP="00B96922">
      <w:pPr>
        <w:widowControl/>
        <w:jc w:val="both"/>
      </w:pPr>
      <w:r w:rsidRPr="00661BBC">
        <w:t xml:space="preserve">PIRES, R. M. O.; BAUTE, J. L. </w:t>
      </w:r>
      <w:proofErr w:type="spellStart"/>
      <w:r w:rsidRPr="00661BBC">
        <w:t>Importance</w:t>
      </w:r>
      <w:proofErr w:type="spellEnd"/>
      <w:r w:rsidRPr="00661BBC">
        <w:t xml:space="preserve"> </w:t>
      </w:r>
      <w:proofErr w:type="spellStart"/>
      <w:r w:rsidRPr="00661BBC">
        <w:t>of</w:t>
      </w:r>
      <w:proofErr w:type="spellEnd"/>
      <w:r w:rsidRPr="00661BBC">
        <w:t xml:space="preserve"> </w:t>
      </w:r>
      <w:proofErr w:type="spellStart"/>
      <w:r w:rsidRPr="00661BBC">
        <w:t>seed</w:t>
      </w:r>
      <w:proofErr w:type="spellEnd"/>
      <w:r w:rsidRPr="00661BBC">
        <w:t xml:space="preserve"> </w:t>
      </w:r>
      <w:proofErr w:type="spellStart"/>
      <w:r w:rsidRPr="00661BBC">
        <w:t>quality</w:t>
      </w:r>
      <w:proofErr w:type="spellEnd"/>
      <w:r w:rsidRPr="00661BBC">
        <w:t xml:space="preserve"> for </w:t>
      </w:r>
      <w:proofErr w:type="spellStart"/>
      <w:r w:rsidRPr="00661BBC">
        <w:t>the</w:t>
      </w:r>
      <w:proofErr w:type="spellEnd"/>
      <w:r w:rsidRPr="00661BBC">
        <w:t xml:space="preserve"> </w:t>
      </w:r>
      <w:proofErr w:type="spellStart"/>
      <w:r w:rsidRPr="00661BBC">
        <w:t>forestry</w:t>
      </w:r>
      <w:proofErr w:type="spellEnd"/>
      <w:r w:rsidRPr="00661BBC">
        <w:t xml:space="preserve"> sector. </w:t>
      </w:r>
      <w:r w:rsidRPr="00661BBC">
        <w:rPr>
          <w:b/>
        </w:rPr>
        <w:t xml:space="preserve">Boletim </w:t>
      </w:r>
      <w:proofErr w:type="spellStart"/>
      <w:proofErr w:type="gramStart"/>
      <w:r w:rsidRPr="00661BBC">
        <w:rPr>
          <w:b/>
        </w:rPr>
        <w:t>Técnico</w:t>
      </w:r>
      <w:r w:rsidRPr="00661BBC">
        <w:t>,Viçosa</w:t>
      </w:r>
      <w:proofErr w:type="gramEnd"/>
      <w:r w:rsidRPr="00661BBC">
        <w:t>-MG</w:t>
      </w:r>
      <w:proofErr w:type="spellEnd"/>
      <w:r w:rsidRPr="00661BBC">
        <w:t xml:space="preserve">, n.05.p.1-6, 2023. </w:t>
      </w:r>
    </w:p>
    <w:p w:rsidR="00661BBC" w:rsidRPr="00661BBC" w:rsidRDefault="00661BBC" w:rsidP="00B96922">
      <w:pPr>
        <w:widowControl/>
        <w:jc w:val="both"/>
      </w:pPr>
    </w:p>
    <w:p w:rsidR="00661BBC" w:rsidRPr="00661BBC" w:rsidRDefault="00661BBC" w:rsidP="00B96922">
      <w:pPr>
        <w:jc w:val="both"/>
      </w:pPr>
      <w:r w:rsidRPr="00661BBC">
        <w:t xml:space="preserve">SILVA, G. V.; SOUTO, J. S.; SANTOS, J. B. Cultivo de moringa: importância nutricional, uso e aplicações. </w:t>
      </w:r>
      <w:r w:rsidRPr="00661BBC">
        <w:rPr>
          <w:b/>
        </w:rPr>
        <w:t>Meio Ambiente</w:t>
      </w:r>
      <w:r w:rsidRPr="00661BBC">
        <w:t xml:space="preserve">, Brasil, v.1, p. 23-32, 2019. </w:t>
      </w:r>
    </w:p>
    <w:sectPr w:rsidR="00661BBC" w:rsidRPr="00661BBC">
      <w:headerReference w:type="even" r:id="rId17"/>
      <w:headerReference w:type="default" r:id="rId18"/>
      <w:footerReference w:type="even" r:id="rId19"/>
      <w:footerReference w:type="default" r:id="rId20"/>
      <w:headerReference w:type="first" r:id="rId21"/>
      <w:footerReference w:type="first" r:id="rId22"/>
      <w:pgSz w:w="11910" w:h="16840"/>
      <w:pgMar w:top="1909" w:right="1134" w:bottom="1134" w:left="1701" w:header="1418" w:footer="140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1E" w:rsidRDefault="0075071E">
      <w:r>
        <w:separator/>
      </w:r>
    </w:p>
  </w:endnote>
  <w:endnote w:type="continuationSeparator" w:id="0">
    <w:p w:rsidR="0075071E" w:rsidRDefault="0075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3B" w:rsidRDefault="00B6753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3B" w:rsidRDefault="00B6753B">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3B" w:rsidRDefault="00B6753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1E" w:rsidRDefault="0075071E">
      <w:r>
        <w:separator/>
      </w:r>
    </w:p>
  </w:footnote>
  <w:footnote w:type="continuationSeparator" w:id="0">
    <w:p w:rsidR="0075071E" w:rsidRDefault="00750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3B" w:rsidRDefault="00B6753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3B" w:rsidRDefault="00B6753B">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3B" w:rsidRDefault="00697387">
    <w:pPr>
      <w:pBdr>
        <w:top w:val="nil"/>
        <w:left w:val="nil"/>
        <w:bottom w:val="nil"/>
        <w:right w:val="nil"/>
        <w:between w:val="nil"/>
      </w:pBdr>
      <w:tabs>
        <w:tab w:val="center" w:pos="4252"/>
        <w:tab w:val="right" w:pos="8504"/>
      </w:tabs>
      <w:jc w:val="center"/>
      <w:rPr>
        <w:color w:val="000000"/>
      </w:rPr>
    </w:pPr>
    <w:r>
      <w:rPr>
        <w:noProof/>
        <w:color w:val="000000"/>
        <w:lang w:bidi="ar-SA"/>
      </w:rPr>
      <w:drawing>
        <wp:inline distT="0" distB="0" distL="0" distR="0">
          <wp:extent cx="5274310" cy="791210"/>
          <wp:effectExtent l="0" t="0" r="0" b="0"/>
          <wp:docPr id="43765513" name="image3.pn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Desenho de personagem de desenho animado&#10;&#10;Descrição gerada automaticamente com confiança média"/>
                  <pic:cNvPicPr preferRelativeResize="0"/>
                </pic:nvPicPr>
                <pic:blipFill>
                  <a:blip r:embed="rId1"/>
                  <a:srcRect/>
                  <a:stretch>
                    <a:fillRect/>
                  </a:stretch>
                </pic:blipFill>
                <pic:spPr>
                  <a:xfrm>
                    <a:off x="0" y="0"/>
                    <a:ext cx="5274310" cy="79121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003C8"/>
    <w:multiLevelType w:val="multilevel"/>
    <w:tmpl w:val="5C9C4E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54A4962"/>
    <w:multiLevelType w:val="multilevel"/>
    <w:tmpl w:val="D722CA1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2E2917A1"/>
    <w:multiLevelType w:val="multilevel"/>
    <w:tmpl w:val="7EBECCD0"/>
    <w:lvl w:ilvl="0">
      <w:start w:val="1"/>
      <w:numFmt w:val="bullet"/>
      <w:lvlText w:val="●"/>
      <w:lvlJc w:val="left"/>
      <w:pPr>
        <w:ind w:left="1429" w:hanging="360"/>
      </w:pPr>
      <w:rPr>
        <w:u w:val="none"/>
      </w:rPr>
    </w:lvl>
    <w:lvl w:ilvl="1">
      <w:start w:val="1"/>
      <w:numFmt w:val="bullet"/>
      <w:lvlText w:val="o"/>
      <w:lvlJc w:val="left"/>
      <w:pPr>
        <w:ind w:left="2149" w:hanging="360"/>
      </w:pPr>
      <w:rPr>
        <w:u w:val="none"/>
      </w:rPr>
    </w:lvl>
    <w:lvl w:ilvl="2">
      <w:start w:val="1"/>
      <w:numFmt w:val="bullet"/>
      <w:lvlText w:val="▪"/>
      <w:lvlJc w:val="left"/>
      <w:pPr>
        <w:ind w:left="2869" w:hanging="360"/>
      </w:pPr>
      <w:rPr>
        <w:u w:val="none"/>
      </w:rPr>
    </w:lvl>
    <w:lvl w:ilvl="3">
      <w:start w:val="1"/>
      <w:numFmt w:val="bullet"/>
      <w:lvlText w:val="●"/>
      <w:lvlJc w:val="left"/>
      <w:pPr>
        <w:ind w:left="3589" w:hanging="360"/>
      </w:pPr>
      <w:rPr>
        <w:u w:val="none"/>
      </w:rPr>
    </w:lvl>
    <w:lvl w:ilvl="4">
      <w:start w:val="1"/>
      <w:numFmt w:val="bullet"/>
      <w:lvlText w:val="o"/>
      <w:lvlJc w:val="left"/>
      <w:pPr>
        <w:ind w:left="4309" w:hanging="360"/>
      </w:pPr>
      <w:rPr>
        <w:u w:val="none"/>
      </w:rPr>
    </w:lvl>
    <w:lvl w:ilvl="5">
      <w:start w:val="1"/>
      <w:numFmt w:val="bullet"/>
      <w:lvlText w:val="▪"/>
      <w:lvlJc w:val="left"/>
      <w:pPr>
        <w:ind w:left="5029" w:hanging="360"/>
      </w:pPr>
      <w:rPr>
        <w:u w:val="none"/>
      </w:rPr>
    </w:lvl>
    <w:lvl w:ilvl="6">
      <w:start w:val="1"/>
      <w:numFmt w:val="bullet"/>
      <w:lvlText w:val="●"/>
      <w:lvlJc w:val="left"/>
      <w:pPr>
        <w:ind w:left="5749" w:hanging="360"/>
      </w:pPr>
      <w:rPr>
        <w:u w:val="none"/>
      </w:rPr>
    </w:lvl>
    <w:lvl w:ilvl="7">
      <w:start w:val="1"/>
      <w:numFmt w:val="bullet"/>
      <w:lvlText w:val="o"/>
      <w:lvlJc w:val="left"/>
      <w:pPr>
        <w:ind w:left="6469" w:hanging="360"/>
      </w:pPr>
      <w:rPr>
        <w:u w:val="none"/>
      </w:rPr>
    </w:lvl>
    <w:lvl w:ilvl="8">
      <w:start w:val="1"/>
      <w:numFmt w:val="bullet"/>
      <w:lvlText w:val="▪"/>
      <w:lvlJc w:val="left"/>
      <w:pPr>
        <w:ind w:left="7189"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3B"/>
    <w:rsid w:val="0008187C"/>
    <w:rsid w:val="00127227"/>
    <w:rsid w:val="00365625"/>
    <w:rsid w:val="005A2856"/>
    <w:rsid w:val="00661BBC"/>
    <w:rsid w:val="00697387"/>
    <w:rsid w:val="0075071E"/>
    <w:rsid w:val="00927599"/>
    <w:rsid w:val="00B10C21"/>
    <w:rsid w:val="00B500D4"/>
    <w:rsid w:val="00B6753B"/>
    <w:rsid w:val="00B96922"/>
    <w:rsid w:val="00E02502"/>
    <w:rsid w:val="00E203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9DDAA-48AB-472C-BE9C-6DE9AD12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pt-BR"/>
    </w:rPr>
  </w:style>
  <w:style w:type="paragraph" w:styleId="Ttulo1">
    <w:name w:val="heading 1"/>
    <w:basedOn w:val="Normal"/>
    <w:uiPriority w:val="9"/>
    <w:qFormat/>
    <w:pPr>
      <w:spacing w:before="18"/>
      <w:ind w:left="10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73" w:hanging="355"/>
    </w:pPr>
  </w:style>
  <w:style w:type="paragraph" w:customStyle="1" w:styleId="TableParagraph">
    <w:name w:val="Table Paragraph"/>
    <w:basedOn w:val="Normal"/>
    <w:uiPriority w:val="1"/>
    <w:qFormat/>
    <w:pPr>
      <w:ind w:left="108"/>
      <w:jc w:val="both"/>
    </w:pPr>
  </w:style>
  <w:style w:type="paragraph" w:styleId="Cabealho">
    <w:name w:val="header"/>
    <w:basedOn w:val="Normal"/>
    <w:link w:val="CabealhoChar"/>
    <w:uiPriority w:val="99"/>
    <w:unhideWhenUsed/>
    <w:rsid w:val="00324625"/>
    <w:pPr>
      <w:tabs>
        <w:tab w:val="center" w:pos="4252"/>
        <w:tab w:val="right" w:pos="8504"/>
      </w:tabs>
    </w:pPr>
  </w:style>
  <w:style w:type="character" w:customStyle="1" w:styleId="CabealhoChar">
    <w:name w:val="Cabeçalho Char"/>
    <w:basedOn w:val="Fontepargpadro"/>
    <w:link w:val="Cabealho"/>
    <w:uiPriority w:val="99"/>
    <w:rsid w:val="00324625"/>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324625"/>
    <w:pPr>
      <w:tabs>
        <w:tab w:val="center" w:pos="4252"/>
        <w:tab w:val="right" w:pos="8504"/>
      </w:tabs>
    </w:pPr>
  </w:style>
  <w:style w:type="character" w:customStyle="1" w:styleId="RodapChar">
    <w:name w:val="Rodapé Char"/>
    <w:basedOn w:val="Fontepargpadro"/>
    <w:link w:val="Rodap"/>
    <w:uiPriority w:val="99"/>
    <w:rsid w:val="00324625"/>
    <w:rPr>
      <w:rFonts w:ascii="Times New Roman" w:eastAsia="Times New Roman" w:hAnsi="Times New Roman" w:cs="Times New Roman"/>
      <w:lang w:val="pt-BR" w:eastAsia="pt-BR" w:bidi="pt-BR"/>
    </w:rPr>
  </w:style>
  <w:style w:type="paragraph" w:styleId="NormalWeb">
    <w:name w:val="Normal (Web)"/>
    <w:basedOn w:val="Normal"/>
    <w:uiPriority w:val="99"/>
    <w:rsid w:val="00832A03"/>
    <w:pPr>
      <w:widowControl/>
      <w:suppressAutoHyphens/>
      <w:spacing w:before="100" w:after="119"/>
    </w:pPr>
    <w:rPr>
      <w:sz w:val="24"/>
      <w:szCs w:val="24"/>
      <w:lang w:val="en-US" w:eastAsia="ar-SA" w:bidi="ar-SA"/>
    </w:rPr>
  </w:style>
  <w:style w:type="character" w:styleId="nfase">
    <w:name w:val="Emphasis"/>
    <w:uiPriority w:val="20"/>
    <w:qFormat/>
    <w:rsid w:val="00832A03"/>
    <w:rPr>
      <w:i/>
      <w:iCs/>
    </w:rPr>
  </w:style>
  <w:style w:type="character" w:styleId="Hyperlink">
    <w:name w:val="Hyperlink"/>
    <w:basedOn w:val="Fontepargpadro"/>
    <w:uiPriority w:val="99"/>
    <w:unhideWhenUsed/>
    <w:rsid w:val="00085E2B"/>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paragraph" w:styleId="Reviso">
    <w:name w:val="Revision"/>
    <w:hidden/>
    <w:uiPriority w:val="99"/>
    <w:semiHidden/>
    <w:rsid w:val="00B84A84"/>
    <w:pPr>
      <w:widowControl/>
    </w:pPr>
    <w:rPr>
      <w:lang w:bidi="pt-BR"/>
    </w:rPr>
  </w:style>
  <w:style w:type="table" w:customStyle="1" w:styleId="a1">
    <w:basedOn w:val="TableNormal0"/>
    <w:tblPr>
      <w:tblStyleRowBandSize w:val="1"/>
      <w:tblStyleColBandSize w:val="1"/>
      <w:tblCellMar>
        <w:left w:w="108" w:type="dxa"/>
        <w:right w:w="108" w:type="dxa"/>
      </w:tblCellMar>
    </w:tblPr>
  </w:style>
  <w:style w:type="character" w:customStyle="1" w:styleId="relative">
    <w:name w:val="relative"/>
    <w:basedOn w:val="Fontepargpadro"/>
    <w:rsid w:val="00B96922"/>
  </w:style>
  <w:style w:type="character" w:customStyle="1" w:styleId="max-w-full">
    <w:name w:val="max-w-full"/>
    <w:basedOn w:val="Fontepargpadro"/>
    <w:rsid w:val="00B9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horticulturae1001006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eriodicos.ufsm.br/cienciaflorestal/article/view/25750?utm_source=chatgp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p.ufpel.edu.br/ppgcts/files/2023/09/Dissertac%CC%A7a%CC%83o_Elson.pdf"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p.ufpel.edu.br/ppgcts/files/2023/09/Dissertac%CC%A7a%CC%83o_Elson.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Home\OneDrive\&#193;rea%20de%20Trabalho\EXPERIMENTO%20MORINGA\GR&#193;FICOS%20DE%20TODOS%20OS%20RESUM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Home\OneDrive\&#193;rea%20de%20Trabalho\EXPERIMENTO%20MORINGA\GR&#193;FICOS%20DE%20TODOS%20OS%20RESUMO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Users\Home\OneDrive\&#193;rea%20de%20Trabalho\EXPERIMENTO%20MORINGA\GR&#193;FICOS%20DE%20TODOS%20OS%20RESUMO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C:\Users\Home\OneDrive\&#193;rea%20de%20Trabalho\EXPERIMENTO%20MORINGA\GR&#193;FICOS%20DE%20TODOS%20OS%20RESUMO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C:\Users\Home\OneDrive\&#193;rea%20de%20Trabalho\EXPERIMENTO%20MORINGA\GR&#193;FICOS%20DE%20TODOS%20OS%20RESUM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dPt>
            <c:idx val="0"/>
            <c:invertIfNegative val="0"/>
            <c:bubble3D val="0"/>
            <c:spPr>
              <a:solidFill>
                <a:schemeClr val="bg1">
                  <a:lumMod val="50000"/>
                </a:schemeClr>
              </a:solidFill>
              <a:ln>
                <a:noFill/>
              </a:ln>
              <a:effectLst/>
            </c:spPr>
          </c:dPt>
          <c:cat>
            <c:strRef>
              <c:f>'RESUMO 5'!$C$6:$C$7</c:f>
              <c:strCache>
                <c:ptCount val="2"/>
                <c:pt idx="0">
                  <c:v>L1</c:v>
                </c:pt>
                <c:pt idx="1">
                  <c:v>L2</c:v>
                </c:pt>
              </c:strCache>
            </c:strRef>
          </c:cat>
          <c:val>
            <c:numRef>
              <c:f>'RESUMO 5'!$D$6:$D$7</c:f>
              <c:numCache>
                <c:formatCode>General</c:formatCode>
                <c:ptCount val="2"/>
                <c:pt idx="0">
                  <c:v>76</c:v>
                </c:pt>
                <c:pt idx="1">
                  <c:v>96</c:v>
                </c:pt>
              </c:numCache>
            </c:numRef>
          </c:val>
        </c:ser>
        <c:dLbls>
          <c:showLegendKey val="0"/>
          <c:showVal val="0"/>
          <c:showCatName val="0"/>
          <c:showSerName val="0"/>
          <c:showPercent val="0"/>
          <c:showBubbleSize val="0"/>
        </c:dLbls>
        <c:gapWidth val="219"/>
        <c:overlap val="-27"/>
        <c:axId val="2141067136"/>
        <c:axId val="90765120"/>
      </c:barChart>
      <c:catAx>
        <c:axId val="2141067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Lotes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90765120"/>
        <c:crosses val="autoZero"/>
        <c:auto val="1"/>
        <c:lblAlgn val="ctr"/>
        <c:lblOffset val="100"/>
        <c:noMultiLvlLbl val="0"/>
      </c:catAx>
      <c:valAx>
        <c:axId val="9076512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Germinação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2141067136"/>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826849526479452"/>
          <c:y val="6.5671641791044774E-2"/>
          <c:w val="0.7543006213906337"/>
          <c:h val="0.68172147138324124"/>
        </c:manualLayout>
      </c:layout>
      <c:barChart>
        <c:barDir val="col"/>
        <c:grouping val="clustered"/>
        <c:varyColors val="0"/>
        <c:ser>
          <c:idx val="0"/>
          <c:order val="0"/>
          <c:tx>
            <c:strRef>
              <c:f>'RESUMO 6'!$D$3</c:f>
              <c:strCache>
                <c:ptCount val="1"/>
                <c:pt idx="0">
                  <c:v>CR</c:v>
                </c:pt>
              </c:strCache>
            </c:strRef>
          </c:tx>
          <c:spPr>
            <a:solidFill>
              <a:schemeClr val="bg1">
                <a:lumMod val="50000"/>
              </a:schemeClr>
            </a:solidFill>
            <a:ln>
              <a:noFill/>
            </a:ln>
            <a:effectLst/>
          </c:spPr>
          <c:invertIfNegative val="0"/>
          <c:dPt>
            <c:idx val="1"/>
            <c:invertIfNegative val="0"/>
            <c:bubble3D val="0"/>
            <c:spPr>
              <a:solidFill>
                <a:schemeClr val="tx1"/>
              </a:solidFill>
              <a:ln>
                <a:noFill/>
              </a:ln>
              <a:effectLst/>
            </c:spPr>
          </c:dPt>
          <c:cat>
            <c:strRef>
              <c:f>'RESUMO 6'!$C$4:$C$5</c:f>
              <c:strCache>
                <c:ptCount val="2"/>
                <c:pt idx="0">
                  <c:v>L1</c:v>
                </c:pt>
                <c:pt idx="1">
                  <c:v>L2</c:v>
                </c:pt>
              </c:strCache>
            </c:strRef>
          </c:cat>
          <c:val>
            <c:numRef>
              <c:f>'RESUMO 6'!$D$4:$D$5</c:f>
              <c:numCache>
                <c:formatCode>General</c:formatCode>
                <c:ptCount val="2"/>
                <c:pt idx="0">
                  <c:v>6.51</c:v>
                </c:pt>
                <c:pt idx="1">
                  <c:v>10.62</c:v>
                </c:pt>
              </c:numCache>
            </c:numRef>
          </c:val>
        </c:ser>
        <c:dLbls>
          <c:showLegendKey val="0"/>
          <c:showVal val="0"/>
          <c:showCatName val="0"/>
          <c:showSerName val="0"/>
          <c:showPercent val="0"/>
          <c:showBubbleSize val="0"/>
        </c:dLbls>
        <c:gapWidth val="219"/>
        <c:overlap val="-27"/>
        <c:axId val="90768384"/>
        <c:axId val="90761312"/>
      </c:barChart>
      <c:catAx>
        <c:axId val="9076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Lotes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90761312"/>
        <c:crosses val="autoZero"/>
        <c:auto val="1"/>
        <c:lblAlgn val="ctr"/>
        <c:lblOffset val="100"/>
        <c:noMultiLvlLbl val="0"/>
      </c:catAx>
      <c:valAx>
        <c:axId val="90761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Comprimento de raiz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907683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905449483722187"/>
          <c:y val="3.3665673547563314E-2"/>
          <c:w val="0.71289801175908407"/>
          <c:h val="0.85274207278144287"/>
        </c:manualLayout>
      </c:layout>
      <c:barChart>
        <c:barDir val="col"/>
        <c:grouping val="clustered"/>
        <c:varyColors val="0"/>
        <c:ser>
          <c:idx val="0"/>
          <c:order val="0"/>
          <c:tx>
            <c:strRef>
              <c:f>'RESUMO 6'!$D$9</c:f>
              <c:strCache>
                <c:ptCount val="1"/>
                <c:pt idx="0">
                  <c:v>CPA</c:v>
                </c:pt>
              </c:strCache>
            </c:strRef>
          </c:tx>
          <c:spPr>
            <a:solidFill>
              <a:schemeClr val="bg1">
                <a:lumMod val="50000"/>
              </a:schemeClr>
            </a:solidFill>
            <a:ln>
              <a:noFill/>
            </a:ln>
            <a:effectLst/>
          </c:spPr>
          <c:invertIfNegative val="0"/>
          <c:dPt>
            <c:idx val="1"/>
            <c:invertIfNegative val="0"/>
            <c:bubble3D val="0"/>
            <c:spPr>
              <a:solidFill>
                <a:schemeClr val="tx1"/>
              </a:solidFill>
              <a:ln>
                <a:noFill/>
              </a:ln>
              <a:effectLst/>
            </c:spPr>
          </c:dPt>
          <c:cat>
            <c:strRef>
              <c:f>'RESUMO 6'!$C$10:$C$11</c:f>
              <c:strCache>
                <c:ptCount val="2"/>
                <c:pt idx="0">
                  <c:v>L1</c:v>
                </c:pt>
                <c:pt idx="1">
                  <c:v>L2</c:v>
                </c:pt>
              </c:strCache>
            </c:strRef>
          </c:cat>
          <c:val>
            <c:numRef>
              <c:f>'RESUMO 6'!$D$10:$D$11</c:f>
              <c:numCache>
                <c:formatCode>General</c:formatCode>
                <c:ptCount val="2"/>
                <c:pt idx="0">
                  <c:v>5.78</c:v>
                </c:pt>
                <c:pt idx="1">
                  <c:v>6.8</c:v>
                </c:pt>
              </c:numCache>
            </c:numRef>
          </c:val>
        </c:ser>
        <c:dLbls>
          <c:showLegendKey val="0"/>
          <c:showVal val="0"/>
          <c:showCatName val="0"/>
          <c:showSerName val="0"/>
          <c:showPercent val="0"/>
          <c:showBubbleSize val="0"/>
        </c:dLbls>
        <c:gapWidth val="219"/>
        <c:overlap val="-27"/>
        <c:axId val="90767296"/>
        <c:axId val="90774912"/>
      </c:barChart>
      <c:catAx>
        <c:axId val="90767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Lotes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90774912"/>
        <c:crosses val="autoZero"/>
        <c:auto val="1"/>
        <c:lblAlgn val="ctr"/>
        <c:lblOffset val="100"/>
        <c:noMultiLvlLbl val="0"/>
      </c:catAx>
      <c:valAx>
        <c:axId val="90774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Comprimento da parte aérea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90767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333729866500499"/>
          <c:y val="6.6324992463069041E-2"/>
          <c:w val="0.68390490757000699"/>
          <c:h val="0.83230838985042455"/>
        </c:manualLayout>
      </c:layout>
      <c:barChart>
        <c:barDir val="col"/>
        <c:grouping val="clustered"/>
        <c:varyColors val="0"/>
        <c:ser>
          <c:idx val="0"/>
          <c:order val="0"/>
          <c:tx>
            <c:strRef>
              <c:f>'RESUMO 6'!$D$15</c:f>
              <c:strCache>
                <c:ptCount val="1"/>
                <c:pt idx="0">
                  <c:v>MSR</c:v>
                </c:pt>
              </c:strCache>
            </c:strRef>
          </c:tx>
          <c:spPr>
            <a:solidFill>
              <a:schemeClr val="tx1"/>
            </a:solidFill>
            <a:ln>
              <a:noFill/>
            </a:ln>
            <a:effectLst/>
          </c:spPr>
          <c:invertIfNegative val="0"/>
          <c:dPt>
            <c:idx val="0"/>
            <c:invertIfNegative val="0"/>
            <c:bubble3D val="0"/>
            <c:spPr>
              <a:solidFill>
                <a:schemeClr val="bg1">
                  <a:lumMod val="50000"/>
                </a:schemeClr>
              </a:solidFill>
              <a:ln>
                <a:noFill/>
              </a:ln>
              <a:effectLst/>
            </c:spPr>
          </c:dPt>
          <c:cat>
            <c:strRef>
              <c:f>'RESUMO 6'!$C$16:$C$17</c:f>
              <c:strCache>
                <c:ptCount val="2"/>
                <c:pt idx="0">
                  <c:v>L1</c:v>
                </c:pt>
                <c:pt idx="1">
                  <c:v>L2</c:v>
                </c:pt>
              </c:strCache>
            </c:strRef>
          </c:cat>
          <c:val>
            <c:numRef>
              <c:f>'RESUMO 6'!$D$16:$D$17</c:f>
              <c:numCache>
                <c:formatCode>General</c:formatCode>
                <c:ptCount val="2"/>
                <c:pt idx="0">
                  <c:v>0.13100000000000001</c:v>
                </c:pt>
                <c:pt idx="1">
                  <c:v>0.153</c:v>
                </c:pt>
              </c:numCache>
            </c:numRef>
          </c:val>
        </c:ser>
        <c:dLbls>
          <c:showLegendKey val="0"/>
          <c:showVal val="0"/>
          <c:showCatName val="0"/>
          <c:showSerName val="0"/>
          <c:showPercent val="0"/>
          <c:showBubbleSize val="0"/>
        </c:dLbls>
        <c:gapWidth val="219"/>
        <c:overlap val="-27"/>
        <c:axId val="90766752"/>
        <c:axId val="90771104"/>
      </c:barChart>
      <c:catAx>
        <c:axId val="9076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Lotes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90771104"/>
        <c:crosses val="autoZero"/>
        <c:auto val="1"/>
        <c:lblAlgn val="ctr"/>
        <c:lblOffset val="100"/>
        <c:noMultiLvlLbl val="0"/>
      </c:catAx>
      <c:valAx>
        <c:axId val="90771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Massa seca de raiz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907667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'RESUMO 6'!$D$20</c:f>
              <c:strCache>
                <c:ptCount val="1"/>
                <c:pt idx="0">
                  <c:v>MSPAE</c:v>
                </c:pt>
              </c:strCache>
            </c:strRef>
          </c:tx>
          <c:spPr>
            <a:solidFill>
              <a:schemeClr val="bg1">
                <a:lumMod val="50000"/>
              </a:schemeClr>
            </a:solidFill>
            <a:ln>
              <a:noFill/>
            </a:ln>
            <a:effectLst/>
          </c:spPr>
          <c:invertIfNegative val="0"/>
          <c:dPt>
            <c:idx val="1"/>
            <c:invertIfNegative val="0"/>
            <c:bubble3D val="0"/>
            <c:spPr>
              <a:solidFill>
                <a:schemeClr val="tx1"/>
              </a:solidFill>
              <a:ln>
                <a:noFill/>
              </a:ln>
              <a:effectLst/>
            </c:spPr>
          </c:dPt>
          <c:cat>
            <c:strRef>
              <c:f>'RESUMO 6'!$C$21:$C$22</c:f>
              <c:strCache>
                <c:ptCount val="2"/>
                <c:pt idx="0">
                  <c:v>L1</c:v>
                </c:pt>
                <c:pt idx="1">
                  <c:v>L2</c:v>
                </c:pt>
              </c:strCache>
            </c:strRef>
          </c:cat>
          <c:val>
            <c:numRef>
              <c:f>'RESUMO 6'!$D$21:$D$22</c:f>
              <c:numCache>
                <c:formatCode>General</c:formatCode>
                <c:ptCount val="2"/>
                <c:pt idx="0">
                  <c:v>4.2000000000000003E-2</c:v>
                </c:pt>
                <c:pt idx="1">
                  <c:v>0.26100000000000001</c:v>
                </c:pt>
              </c:numCache>
            </c:numRef>
          </c:val>
        </c:ser>
        <c:dLbls>
          <c:showLegendKey val="0"/>
          <c:showVal val="0"/>
          <c:showCatName val="0"/>
          <c:showSerName val="0"/>
          <c:showPercent val="0"/>
          <c:showBubbleSize val="0"/>
        </c:dLbls>
        <c:gapWidth val="219"/>
        <c:overlap val="-27"/>
        <c:axId val="90771648"/>
        <c:axId val="1870529456"/>
      </c:barChart>
      <c:catAx>
        <c:axId val="9077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Lotes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870529456"/>
        <c:crosses val="autoZero"/>
        <c:auto val="1"/>
        <c:lblAlgn val="ctr"/>
        <c:lblOffset val="100"/>
        <c:noMultiLvlLbl val="0"/>
      </c:catAx>
      <c:valAx>
        <c:axId val="1870529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solidFill>
                      <a:schemeClr val="tx1"/>
                    </a:solidFill>
                  </a:rPr>
                  <a:t>Massa seca da parte aérea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90771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0.36518</cdr:x>
      <cdr:y>0.13676</cdr:y>
    </cdr:from>
    <cdr:to>
      <cdr:x>0.56905</cdr:x>
      <cdr:y>0.27131</cdr:y>
    </cdr:to>
    <cdr:sp macro="" textlink="">
      <cdr:nvSpPr>
        <cdr:cNvPr id="2" name="CaixaDeTexto 1"/>
        <cdr:cNvSpPr txBox="1"/>
      </cdr:nvSpPr>
      <cdr:spPr>
        <a:xfrm xmlns:a="http://schemas.openxmlformats.org/drawingml/2006/main">
          <a:off x="950974" y="309065"/>
          <a:ext cx="530905" cy="3040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0.72469</cdr:x>
      <cdr:y>0</cdr:y>
    </cdr:from>
    <cdr:to>
      <cdr:x>0.92856</cdr:x>
      <cdr:y>0.13455</cdr:y>
    </cdr:to>
    <cdr:sp macro="" textlink="">
      <cdr:nvSpPr>
        <cdr:cNvPr id="3" name="CaixaDeTexto 1"/>
        <cdr:cNvSpPr txBox="1"/>
      </cdr:nvSpPr>
      <cdr:spPr>
        <a:xfrm xmlns:a="http://schemas.openxmlformats.org/drawingml/2006/main">
          <a:off x="3301206" y="0"/>
          <a:ext cx="928688" cy="369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0.32306</cdr:x>
      <cdr:y>0.2802</cdr:y>
    </cdr:from>
    <cdr:to>
      <cdr:x>0.56943</cdr:x>
      <cdr:y>0.43127</cdr:y>
    </cdr:to>
    <cdr:sp macro="" textlink="">
      <cdr:nvSpPr>
        <cdr:cNvPr id="4" name="CaixaDeTexto 1"/>
        <cdr:cNvSpPr txBox="1"/>
      </cdr:nvSpPr>
      <cdr:spPr>
        <a:xfrm xmlns:a="http://schemas.openxmlformats.org/drawingml/2006/main">
          <a:off x="912686" y="596060"/>
          <a:ext cx="696023" cy="3213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0.68931</cdr:x>
      <cdr:y>0.04142</cdr:y>
    </cdr:from>
    <cdr:to>
      <cdr:x>0.93568</cdr:x>
      <cdr:y>0.19249</cdr:y>
    </cdr:to>
    <cdr:sp macro="" textlink="">
      <cdr:nvSpPr>
        <cdr:cNvPr id="5" name="CaixaDeTexto 1"/>
        <cdr:cNvSpPr txBox="1"/>
      </cdr:nvSpPr>
      <cdr:spPr>
        <a:xfrm xmlns:a="http://schemas.openxmlformats.org/drawingml/2006/main">
          <a:off x="1947379" y="88117"/>
          <a:ext cx="696024" cy="3213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0.41187</cdr:x>
      <cdr:y>0.3325</cdr:y>
    </cdr:from>
    <cdr:to>
      <cdr:x>0.622</cdr:x>
      <cdr:y>0.48183</cdr:y>
    </cdr:to>
    <cdr:sp macro="" textlink="">
      <cdr:nvSpPr>
        <cdr:cNvPr id="2" name="CaixaDeTexto 1"/>
        <cdr:cNvSpPr txBox="1"/>
      </cdr:nvSpPr>
      <cdr:spPr>
        <a:xfrm xmlns:a="http://schemas.openxmlformats.org/drawingml/2006/main">
          <a:off x="991215" y="624973"/>
          <a:ext cx="505710" cy="280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0.73523</cdr:x>
      <cdr:y>0.0135</cdr:y>
    </cdr:from>
    <cdr:to>
      <cdr:x>0.94536</cdr:x>
      <cdr:y>0.16282</cdr:y>
    </cdr:to>
    <cdr:sp macro="" textlink="">
      <cdr:nvSpPr>
        <cdr:cNvPr id="3" name="CaixaDeTexto 1"/>
        <cdr:cNvSpPr txBox="1"/>
      </cdr:nvSpPr>
      <cdr:spPr>
        <a:xfrm xmlns:a="http://schemas.openxmlformats.org/drawingml/2006/main">
          <a:off x="1769439" y="25383"/>
          <a:ext cx="505709" cy="2806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A</a:t>
          </a:r>
        </a:p>
      </cdr:txBody>
    </cdr:sp>
  </cdr:relSizeAnchor>
</c:userShapes>
</file>

<file path=word/drawings/drawing4.xml><?xml version="1.0" encoding="utf-8"?>
<c:userShapes xmlns:c="http://schemas.openxmlformats.org/drawingml/2006/chart">
  <cdr:relSizeAnchor xmlns:cdr="http://schemas.openxmlformats.org/drawingml/2006/chartDrawing">
    <cdr:from>
      <cdr:x>0.38375</cdr:x>
      <cdr:y>0.43605</cdr:y>
    </cdr:from>
    <cdr:to>
      <cdr:x>0.62981</cdr:x>
      <cdr:y>0.5706</cdr:y>
    </cdr:to>
    <cdr:sp macro="" textlink="">
      <cdr:nvSpPr>
        <cdr:cNvPr id="2" name="CaixaDeTexto 1"/>
        <cdr:cNvSpPr txBox="1"/>
      </cdr:nvSpPr>
      <cdr:spPr>
        <a:xfrm xmlns:a="http://schemas.openxmlformats.org/drawingml/2006/main">
          <a:off x="1016160" y="918454"/>
          <a:ext cx="651555" cy="28340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0.73039</cdr:x>
      <cdr:y>0.0055</cdr:y>
    </cdr:from>
    <cdr:to>
      <cdr:x>0.97645</cdr:x>
      <cdr:y>0.14005</cdr:y>
    </cdr:to>
    <cdr:sp macro="" textlink="">
      <cdr:nvSpPr>
        <cdr:cNvPr id="3" name="CaixaDeTexto 1"/>
        <cdr:cNvSpPr txBox="1"/>
      </cdr:nvSpPr>
      <cdr:spPr>
        <a:xfrm xmlns:a="http://schemas.openxmlformats.org/drawingml/2006/main">
          <a:off x="2756695" y="15081"/>
          <a:ext cx="928688" cy="369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A</a:t>
          </a:r>
        </a:p>
      </cdr:txBody>
    </cdr:sp>
  </cdr:relSizeAnchor>
</c:userShapes>
</file>

<file path=word/drawings/drawing5.xml><?xml version="1.0" encoding="utf-8"?>
<c:userShapes xmlns:c="http://schemas.openxmlformats.org/drawingml/2006/chart">
  <cdr:relSizeAnchor xmlns:cdr="http://schemas.openxmlformats.org/drawingml/2006/chartDrawing">
    <cdr:from>
      <cdr:x>0.33915</cdr:x>
      <cdr:y>0.56282</cdr:y>
    </cdr:from>
    <cdr:to>
      <cdr:x>0.54388</cdr:x>
      <cdr:y>0.69737</cdr:y>
    </cdr:to>
    <cdr:sp macro="" textlink="">
      <cdr:nvSpPr>
        <cdr:cNvPr id="2" name="CaixaDeTexto 1"/>
        <cdr:cNvSpPr txBox="1"/>
      </cdr:nvSpPr>
      <cdr:spPr>
        <a:xfrm xmlns:a="http://schemas.openxmlformats.org/drawingml/2006/main">
          <a:off x="1074444" y="1232633"/>
          <a:ext cx="648587" cy="2946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0.72318</cdr:x>
      <cdr:y>0.0489</cdr:y>
    </cdr:from>
    <cdr:to>
      <cdr:x>0.92791</cdr:x>
      <cdr:y>0.18345</cdr:y>
    </cdr:to>
    <cdr:sp macro="" textlink="">
      <cdr:nvSpPr>
        <cdr:cNvPr id="3" name="CaixaDeTexto 1"/>
        <cdr:cNvSpPr txBox="1"/>
      </cdr:nvSpPr>
      <cdr:spPr>
        <a:xfrm xmlns:a="http://schemas.openxmlformats.org/drawingml/2006/main">
          <a:off x="3280569" y="134144"/>
          <a:ext cx="928688" cy="3690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000">
              <a:latin typeface="Times New Roman" panose="02020603050405020304" pitchFamily="18"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c28lwHzFXw0O3CQ6gx6YcoyVg==">CgMxLjAaHwoBMBIaChgICVIUChJ0YWJsZS5jbTF2MGc4Y3Zhc3IyCGguZ2pkZ3hzMg5oLnlwOTZpd3Uybzd3ZzgAciExdl9ONWE2SF92RUJwT05DbnByX3l3TEFURlptY3gySXE=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1706</Words>
  <Characters>9213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Oliveira Costa</dc:creator>
  <cp:lastModifiedBy>Home</cp:lastModifiedBy>
  <cp:revision>6</cp:revision>
  <dcterms:created xsi:type="dcterms:W3CDTF">2025-06-08T17:39:00Z</dcterms:created>
  <dcterms:modified xsi:type="dcterms:W3CDTF">2025-06-24T23:15:00Z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