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EF0EF5" w14:textId="670EB66B" w:rsidR="00623EAF" w:rsidRPr="00623EAF" w:rsidRDefault="00623EAF" w:rsidP="00623EAF">
      <w:pPr>
        <w:jc w:val="center"/>
        <w:rPr>
          <w:b/>
          <w:bCs/>
          <w:sz w:val="24"/>
          <w:szCs w:val="24"/>
        </w:rPr>
      </w:pPr>
      <w:r w:rsidRPr="00623EAF">
        <w:rPr>
          <w:b/>
          <w:bCs/>
          <w:sz w:val="24"/>
          <w:szCs w:val="24"/>
        </w:rPr>
        <w:t>INFLUÊNCIA DAS CONDIÇÕES CLIMÁTICAS NO CRESCIMENTO E SOBREVIVÊNCIA DE CLONES DE EUCALIPTO NO SUDOESTE PIAUIENSE</w:t>
      </w:r>
    </w:p>
    <w:p w14:paraId="238916F2" w14:textId="77777777" w:rsidR="00C802EF" w:rsidRDefault="00C802EF" w:rsidP="00623EAF">
      <w:pPr>
        <w:widowControl/>
        <w:rPr>
          <w:b/>
          <w:sz w:val="24"/>
          <w:szCs w:val="24"/>
        </w:rPr>
      </w:pPr>
      <w:bookmarkStart w:id="0" w:name="_heading=h.gjdgxs" w:colFirst="0" w:colLast="0"/>
      <w:bookmarkEnd w:id="0"/>
    </w:p>
    <w:p w14:paraId="5D41FAEF" w14:textId="6880EA6F" w:rsidR="00C802EF" w:rsidRDefault="0020039B">
      <w:pPr>
        <w:spacing w:line="276" w:lineRule="auto"/>
        <w:ind w:left="221" w:right="214"/>
        <w:jc w:val="center"/>
        <w:rPr>
          <w:b/>
          <w:sz w:val="20"/>
          <w:szCs w:val="20"/>
        </w:rPr>
      </w:pPr>
      <w:r>
        <w:rPr>
          <w:b/>
          <w:sz w:val="20"/>
          <w:szCs w:val="20"/>
        </w:rPr>
        <w:t>Jos</w:t>
      </w:r>
      <w:r w:rsidR="00862BC5">
        <w:rPr>
          <w:b/>
          <w:sz w:val="20"/>
          <w:szCs w:val="20"/>
        </w:rPr>
        <w:t>é</w:t>
      </w:r>
      <w:r>
        <w:rPr>
          <w:b/>
          <w:sz w:val="20"/>
          <w:szCs w:val="20"/>
        </w:rPr>
        <w:t xml:space="preserve"> Lucas </w:t>
      </w:r>
      <w:r w:rsidR="00A46290">
        <w:rPr>
          <w:b/>
          <w:sz w:val="20"/>
          <w:szCs w:val="20"/>
        </w:rPr>
        <w:t>Vieira Pinheiro</w:t>
      </w:r>
      <w:r w:rsidR="00DC2143">
        <w:rPr>
          <w:b/>
          <w:sz w:val="20"/>
          <w:szCs w:val="20"/>
        </w:rPr>
        <w:t>*</w:t>
      </w:r>
      <w:r w:rsidR="00623EAF">
        <w:rPr>
          <w:b/>
          <w:sz w:val="20"/>
          <w:szCs w:val="20"/>
        </w:rPr>
        <w:t xml:space="preserve">, </w:t>
      </w:r>
      <w:r w:rsidR="003F445C">
        <w:rPr>
          <w:b/>
          <w:sz w:val="20"/>
          <w:szCs w:val="20"/>
        </w:rPr>
        <w:t xml:space="preserve">Jean Miranda Silva Santos, </w:t>
      </w:r>
      <w:r w:rsidR="00004E6B" w:rsidRPr="00004E6B">
        <w:rPr>
          <w:b/>
          <w:sz w:val="20"/>
          <w:szCs w:val="20"/>
        </w:rPr>
        <w:t xml:space="preserve">Mateus </w:t>
      </w:r>
      <w:proofErr w:type="spellStart"/>
      <w:r w:rsidR="00004E6B" w:rsidRPr="00004E6B">
        <w:rPr>
          <w:b/>
          <w:sz w:val="20"/>
          <w:szCs w:val="20"/>
        </w:rPr>
        <w:t>Sirqueira</w:t>
      </w:r>
      <w:proofErr w:type="spellEnd"/>
      <w:r w:rsidR="00004E6B" w:rsidRPr="00004E6B">
        <w:rPr>
          <w:b/>
          <w:sz w:val="20"/>
          <w:szCs w:val="20"/>
        </w:rPr>
        <w:t xml:space="preserve"> Nogueira, Rony Ventura, Rick Cavalcante, Eden da Silva Bizerra, Andressa</w:t>
      </w:r>
      <w:r w:rsidR="00D95A3B">
        <w:rPr>
          <w:b/>
          <w:sz w:val="20"/>
          <w:szCs w:val="20"/>
        </w:rPr>
        <w:t xml:space="preserve"> </w:t>
      </w:r>
      <w:r w:rsidR="00004E6B" w:rsidRPr="00004E6B">
        <w:rPr>
          <w:b/>
          <w:sz w:val="20"/>
          <w:szCs w:val="20"/>
        </w:rPr>
        <w:t>Ribeiro</w:t>
      </w:r>
      <w:r w:rsidR="00862BC5">
        <w:rPr>
          <w:b/>
          <w:sz w:val="20"/>
          <w:szCs w:val="20"/>
        </w:rPr>
        <w:t xml:space="preserve">, </w:t>
      </w:r>
      <w:proofErr w:type="spellStart"/>
      <w:r w:rsidR="00862BC5" w:rsidRPr="00004E6B">
        <w:rPr>
          <w:b/>
          <w:sz w:val="20"/>
          <w:szCs w:val="20"/>
        </w:rPr>
        <w:t>Ant</w:t>
      </w:r>
      <w:r w:rsidR="00862BC5">
        <w:rPr>
          <w:b/>
          <w:sz w:val="20"/>
          <w:szCs w:val="20"/>
        </w:rPr>
        <w:t>o</w:t>
      </w:r>
      <w:r w:rsidR="00862BC5" w:rsidRPr="00004E6B">
        <w:rPr>
          <w:b/>
          <w:sz w:val="20"/>
          <w:szCs w:val="20"/>
        </w:rPr>
        <w:t>nio</w:t>
      </w:r>
      <w:proofErr w:type="spellEnd"/>
      <w:r w:rsidR="00862BC5" w:rsidRPr="00004E6B">
        <w:rPr>
          <w:b/>
          <w:sz w:val="20"/>
          <w:szCs w:val="20"/>
        </w:rPr>
        <w:t xml:space="preserve"> Carlos Ferraz Filho</w:t>
      </w:r>
    </w:p>
    <w:p w14:paraId="4744856E" w14:textId="6145459C" w:rsidR="00C802EF" w:rsidRDefault="00662FF7">
      <w:pPr>
        <w:spacing w:line="276" w:lineRule="auto"/>
        <w:ind w:left="221" w:right="214"/>
        <w:jc w:val="center"/>
        <w:rPr>
          <w:sz w:val="20"/>
          <w:szCs w:val="20"/>
        </w:rPr>
      </w:pPr>
      <w:r>
        <w:rPr>
          <w:sz w:val="20"/>
          <w:szCs w:val="20"/>
        </w:rPr>
        <w:t xml:space="preserve">Universidade </w:t>
      </w:r>
      <w:r w:rsidR="00862BC5">
        <w:rPr>
          <w:sz w:val="20"/>
          <w:szCs w:val="20"/>
        </w:rPr>
        <w:t>F</w:t>
      </w:r>
      <w:r>
        <w:rPr>
          <w:sz w:val="20"/>
          <w:szCs w:val="20"/>
        </w:rPr>
        <w:t>ederal do Piauí</w:t>
      </w:r>
      <w:r w:rsidR="00862BC5">
        <w:rPr>
          <w:sz w:val="20"/>
          <w:szCs w:val="20"/>
        </w:rPr>
        <w:t>, Curso de Bacharelado em Engenharia Florestal</w:t>
      </w:r>
    </w:p>
    <w:bookmarkStart w:id="1" w:name="_heading=h.yp96iwu2o7wg" w:colFirst="0" w:colLast="0"/>
    <w:bookmarkEnd w:id="1"/>
    <w:p w14:paraId="2ABFA84D" w14:textId="1BD2373D" w:rsidR="00C802EF" w:rsidRDefault="006B68E0">
      <w:pPr>
        <w:spacing w:line="276" w:lineRule="auto"/>
        <w:ind w:left="221" w:right="214"/>
        <w:jc w:val="center"/>
        <w:rPr>
          <w:sz w:val="20"/>
          <w:szCs w:val="20"/>
        </w:rPr>
      </w:pPr>
      <w:r>
        <w:rPr>
          <w:sz w:val="20"/>
          <w:szCs w:val="20"/>
        </w:rPr>
        <w:fldChar w:fldCharType="begin"/>
      </w:r>
      <w:r>
        <w:rPr>
          <w:sz w:val="20"/>
          <w:szCs w:val="20"/>
        </w:rPr>
        <w:instrText>HYPERLINK "mailto:</w:instrText>
      </w:r>
      <w:r w:rsidRPr="006B68E0">
        <w:rPr>
          <w:sz w:val="20"/>
          <w:szCs w:val="20"/>
        </w:rPr>
        <w:instrText>vieiralucas@ufpi.edu.br</w:instrText>
      </w:r>
      <w:r>
        <w:rPr>
          <w:sz w:val="20"/>
          <w:szCs w:val="20"/>
        </w:rPr>
        <w:instrText>"</w:instrText>
      </w:r>
      <w:r>
        <w:rPr>
          <w:sz w:val="20"/>
          <w:szCs w:val="20"/>
        </w:rPr>
      </w:r>
      <w:r>
        <w:rPr>
          <w:sz w:val="20"/>
          <w:szCs w:val="20"/>
        </w:rPr>
        <w:fldChar w:fldCharType="separate"/>
      </w:r>
      <w:r w:rsidRPr="00622A60">
        <w:rPr>
          <w:rStyle w:val="Hyperlink"/>
          <w:sz w:val="20"/>
          <w:szCs w:val="20"/>
        </w:rPr>
        <w:t>vieiralucas@ufpi.edu.br</w:t>
      </w:r>
      <w:r>
        <w:rPr>
          <w:sz w:val="20"/>
          <w:szCs w:val="20"/>
        </w:rPr>
        <w:fldChar w:fldCharType="end"/>
      </w:r>
      <w:r>
        <w:rPr>
          <w:sz w:val="20"/>
          <w:szCs w:val="20"/>
        </w:rPr>
        <w:t xml:space="preserve"> </w:t>
      </w:r>
    </w:p>
    <w:p w14:paraId="15A85590" w14:textId="77777777" w:rsidR="00C802EF" w:rsidRDefault="00A46290">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28E9A9" w14:textId="66D0C05F" w:rsidR="00C802EF" w:rsidRDefault="00A46290" w:rsidP="00BD1093">
      <w:pPr>
        <w:jc w:val="both"/>
        <w:rPr>
          <w:sz w:val="20"/>
          <w:szCs w:val="20"/>
        </w:rPr>
      </w:pPr>
      <w:r>
        <w:rPr>
          <w:b/>
          <w:sz w:val="20"/>
          <w:szCs w:val="20"/>
        </w:rPr>
        <w:t>RESUMO</w:t>
      </w:r>
      <w:r>
        <w:rPr>
          <w:sz w:val="20"/>
          <w:szCs w:val="20"/>
        </w:rPr>
        <w:t xml:space="preserve"> </w:t>
      </w:r>
    </w:p>
    <w:p w14:paraId="6990551D" w14:textId="7D2979A6" w:rsidR="00924B28" w:rsidRDefault="00BD1093" w:rsidP="00094B49">
      <w:pPr>
        <w:pStyle w:val="p1"/>
        <w:spacing w:before="0" w:beforeAutospacing="0" w:after="0" w:afterAutospacing="0"/>
        <w:ind w:left="567" w:right="567"/>
        <w:jc w:val="both"/>
        <w:divId w:val="1487668004"/>
        <w:rPr>
          <w:rStyle w:val="s1"/>
          <w:sz w:val="20"/>
          <w:szCs w:val="20"/>
        </w:rPr>
      </w:pPr>
      <w:r w:rsidRPr="00247BF8">
        <w:rPr>
          <w:sz w:val="20"/>
          <w:szCs w:val="20"/>
        </w:rPr>
        <w:t xml:space="preserve">O presente trabalho avaliou a influência das variáveis climáticas no crescimento e mortalidade de quatro clones de </w:t>
      </w:r>
      <w:r w:rsidRPr="00247BF8">
        <w:rPr>
          <w:i/>
          <w:iCs/>
          <w:sz w:val="20"/>
          <w:szCs w:val="20"/>
        </w:rPr>
        <w:t>Eucalyptus</w:t>
      </w:r>
      <w:r w:rsidRPr="00247BF8">
        <w:rPr>
          <w:sz w:val="20"/>
          <w:szCs w:val="20"/>
        </w:rPr>
        <w:t xml:space="preserve"> spp. no sudoeste piauiense. O experimento foi conduzido no </w:t>
      </w:r>
      <w:r w:rsidRPr="00674716">
        <w:rPr>
          <w:i/>
          <w:iCs/>
          <w:sz w:val="20"/>
          <w:szCs w:val="20"/>
        </w:rPr>
        <w:t>Campus</w:t>
      </w:r>
      <w:r w:rsidRPr="00247BF8">
        <w:rPr>
          <w:sz w:val="20"/>
          <w:szCs w:val="20"/>
        </w:rPr>
        <w:t xml:space="preserve"> Professora Cinobelina Elvas, da UFPI, utilizando os clones AR 01, KL 103, KL 104 e KL 105, implantados em março de 2022. Foram coletados dados de mortalidade correlacionados com precipitação, temperatura, radiação solar e velocidade do vento durante três anos de monitoramento. A análise demonstrou que, embora exista alguma correlação entre as variáveis climáticas e a mortalidade dos clones, essas variáveis, isoladamente, não explicam completamente os padrões observados. O maior pico de mortalidade ocorreu, de forma inesperada, no período de maior precipitação, indicando que a limitação hídrica não foi o fator determinante. Esse comportamento sugere a influência de outros fatores, como estresse acumulado do período seco anterior, características do solo e possível aumento de agentes patogênicos favorecidos pela umidade. </w:t>
      </w:r>
      <w:r w:rsidR="00FC626B" w:rsidRPr="00247BF8">
        <w:rPr>
          <w:rStyle w:val="s1"/>
          <w:sz w:val="20"/>
          <w:szCs w:val="20"/>
        </w:rPr>
        <w:t xml:space="preserve">Conclui-se que compreender a dinâmica de mortalidade em plantios de </w:t>
      </w:r>
      <w:r w:rsidR="00FC626B" w:rsidRPr="00674716">
        <w:rPr>
          <w:rStyle w:val="s2"/>
          <w:i/>
          <w:iCs/>
          <w:sz w:val="20"/>
          <w:szCs w:val="20"/>
        </w:rPr>
        <w:t>Eucalyptus</w:t>
      </w:r>
      <w:r w:rsidR="00FC626B" w:rsidRPr="00247BF8">
        <w:rPr>
          <w:rStyle w:val="s1"/>
          <w:sz w:val="20"/>
          <w:szCs w:val="20"/>
        </w:rPr>
        <w:t xml:space="preserve"> spp. na região semiárida exige uma abordagem integrada, que considere não apenas as variáveis climáticas, mas também as características edafoclimáticas, o desempenho genético dos clones e as práticas de manejo adotadas. Essa visão sistêmica é fundamental para mitigar os efeitos de estresses ambientais, reduzir perdas por mortalidade e promover a sustentabilidade e o sucesso dos plantios florestais em ambientes com alta variabilidade climática.</w:t>
      </w:r>
    </w:p>
    <w:p w14:paraId="572E7C15" w14:textId="77777777" w:rsidR="00004E6B" w:rsidRDefault="00A46290" w:rsidP="00004E6B">
      <w:pPr>
        <w:pStyle w:val="p1"/>
        <w:spacing w:before="0" w:beforeAutospacing="0" w:after="0" w:afterAutospacing="0"/>
        <w:ind w:left="567" w:right="567"/>
        <w:jc w:val="both"/>
        <w:rPr>
          <w:sz w:val="20"/>
          <w:szCs w:val="20"/>
        </w:rPr>
      </w:pPr>
      <w:r>
        <w:rPr>
          <w:i/>
          <w:sz w:val="20"/>
          <w:szCs w:val="20"/>
        </w:rPr>
        <w:t>Palavras-chave</w:t>
      </w:r>
      <w:r>
        <w:rPr>
          <w:sz w:val="20"/>
          <w:szCs w:val="20"/>
        </w:rPr>
        <w:t xml:space="preserve">: </w:t>
      </w:r>
      <w:r w:rsidR="00BD1093">
        <w:rPr>
          <w:sz w:val="20"/>
          <w:szCs w:val="20"/>
        </w:rPr>
        <w:t>silvicultura, manejo florestal, plantações florestais, mortalidade</w:t>
      </w:r>
      <w:r>
        <w:rPr>
          <w:sz w:val="20"/>
          <w:szCs w:val="20"/>
        </w:rPr>
        <w:t>.</w:t>
      </w:r>
    </w:p>
    <w:p w14:paraId="59DD1B10" w14:textId="77777777" w:rsidR="00004E6B" w:rsidRDefault="00004E6B" w:rsidP="00004E6B">
      <w:pPr>
        <w:pStyle w:val="p1"/>
        <w:spacing w:before="0" w:beforeAutospacing="0" w:after="0" w:afterAutospacing="0"/>
        <w:jc w:val="both"/>
        <w:rPr>
          <w:sz w:val="20"/>
          <w:szCs w:val="20"/>
        </w:rPr>
      </w:pPr>
    </w:p>
    <w:p w14:paraId="3CD6974F" w14:textId="703C5FA7" w:rsidR="00C802EF" w:rsidRDefault="00A46290" w:rsidP="00004E6B">
      <w:pPr>
        <w:pStyle w:val="p1"/>
        <w:spacing w:before="0" w:beforeAutospacing="0" w:after="0" w:afterAutospacing="0"/>
        <w:jc w:val="both"/>
        <w:rPr>
          <w:sz w:val="20"/>
          <w:szCs w:val="20"/>
        </w:rPr>
      </w:pPr>
      <w:r>
        <w:rPr>
          <w:b/>
          <w:sz w:val="20"/>
          <w:szCs w:val="20"/>
        </w:rPr>
        <w:t>INTRODUÇÃO</w:t>
      </w:r>
    </w:p>
    <w:p w14:paraId="284DE83D" w14:textId="3889C2BF" w:rsidR="00623EAF" w:rsidRPr="00174281" w:rsidRDefault="00DB5808" w:rsidP="00623EAF">
      <w:pPr>
        <w:ind w:firstLine="720"/>
        <w:jc w:val="both"/>
        <w:rPr>
          <w:sz w:val="20"/>
          <w:szCs w:val="20"/>
        </w:rPr>
      </w:pPr>
      <w:r w:rsidRPr="00DB5808">
        <w:rPr>
          <w:sz w:val="20"/>
          <w:szCs w:val="20"/>
        </w:rPr>
        <w:t xml:space="preserve">O cultivo do gênero </w:t>
      </w:r>
      <w:r w:rsidRPr="00DB5808">
        <w:rPr>
          <w:i/>
          <w:iCs/>
          <w:sz w:val="20"/>
          <w:szCs w:val="20"/>
        </w:rPr>
        <w:t>Eucalyptus</w:t>
      </w:r>
      <w:r w:rsidRPr="00DB5808">
        <w:rPr>
          <w:sz w:val="20"/>
          <w:szCs w:val="20"/>
        </w:rPr>
        <w:t xml:space="preserve"> tem se expandido amplamente em diversas regiões do país, impulsionado por características como rápido crescimento, alta produtividade e a ampla versatilidade dos seus produtos, que vão desde papel, celulose</w:t>
      </w:r>
      <w:r>
        <w:rPr>
          <w:sz w:val="20"/>
          <w:szCs w:val="20"/>
        </w:rPr>
        <w:t xml:space="preserve">, </w:t>
      </w:r>
      <w:r w:rsidRPr="00DB5808">
        <w:rPr>
          <w:sz w:val="20"/>
          <w:szCs w:val="20"/>
        </w:rPr>
        <w:t>móveis</w:t>
      </w:r>
      <w:r>
        <w:rPr>
          <w:sz w:val="20"/>
          <w:szCs w:val="20"/>
        </w:rPr>
        <w:t xml:space="preserve">, </w:t>
      </w:r>
      <w:r w:rsidRPr="00DB5808">
        <w:rPr>
          <w:sz w:val="20"/>
          <w:szCs w:val="20"/>
        </w:rPr>
        <w:t>carvão, pisos, painéis de madeira e insumos para a construção</w:t>
      </w:r>
      <w:r>
        <w:rPr>
          <w:sz w:val="20"/>
          <w:szCs w:val="20"/>
        </w:rPr>
        <w:t xml:space="preserve"> </w:t>
      </w:r>
      <w:r w:rsidRPr="00DB5808">
        <w:rPr>
          <w:sz w:val="20"/>
          <w:szCs w:val="20"/>
        </w:rPr>
        <w:t>civil, além dos significativos retornos econômicos que proporciona</w:t>
      </w:r>
      <w:r>
        <w:rPr>
          <w:sz w:val="20"/>
          <w:szCs w:val="20"/>
        </w:rPr>
        <w:t xml:space="preserve"> </w:t>
      </w:r>
      <w:r w:rsidRPr="00DB5808">
        <w:rPr>
          <w:sz w:val="20"/>
          <w:szCs w:val="20"/>
        </w:rPr>
        <w:t xml:space="preserve">(AMORIM </w:t>
      </w:r>
      <w:r w:rsidRPr="00DB5808">
        <w:rPr>
          <w:i/>
          <w:iCs/>
          <w:sz w:val="20"/>
          <w:szCs w:val="20"/>
        </w:rPr>
        <w:t>et</w:t>
      </w:r>
      <w:r w:rsidRPr="00DB5808">
        <w:rPr>
          <w:sz w:val="20"/>
          <w:szCs w:val="20"/>
        </w:rPr>
        <w:t xml:space="preserve"> </w:t>
      </w:r>
      <w:r w:rsidRPr="00DB5808">
        <w:rPr>
          <w:i/>
          <w:iCs/>
          <w:sz w:val="20"/>
          <w:szCs w:val="20"/>
        </w:rPr>
        <w:t>al</w:t>
      </w:r>
      <w:r w:rsidRPr="00DB5808">
        <w:rPr>
          <w:sz w:val="20"/>
          <w:szCs w:val="20"/>
        </w:rPr>
        <w:t>., 2021)</w:t>
      </w:r>
      <w:r w:rsidR="00623EAF" w:rsidRPr="00174281">
        <w:rPr>
          <w:sz w:val="20"/>
          <w:szCs w:val="20"/>
        </w:rPr>
        <w:t xml:space="preserve">. No Brasil, espécies como </w:t>
      </w:r>
      <w:r w:rsidR="00623EAF" w:rsidRPr="00174281">
        <w:rPr>
          <w:i/>
          <w:iCs/>
          <w:sz w:val="20"/>
          <w:szCs w:val="20"/>
        </w:rPr>
        <w:t>Eucalyptus urophylla</w:t>
      </w:r>
      <w:r w:rsidR="00623EAF" w:rsidRPr="00174281">
        <w:rPr>
          <w:sz w:val="20"/>
          <w:szCs w:val="20"/>
        </w:rPr>
        <w:t xml:space="preserve">, </w:t>
      </w:r>
      <w:r w:rsidR="00623EAF" w:rsidRPr="00174281">
        <w:rPr>
          <w:i/>
          <w:iCs/>
          <w:sz w:val="20"/>
          <w:szCs w:val="20"/>
        </w:rPr>
        <w:t>Eucalyptus tereticorni</w:t>
      </w:r>
      <w:r w:rsidR="00623EAF">
        <w:rPr>
          <w:i/>
          <w:iCs/>
          <w:sz w:val="20"/>
          <w:szCs w:val="20"/>
        </w:rPr>
        <w:t>s,</w:t>
      </w:r>
      <w:r w:rsidR="00623EAF" w:rsidRPr="00174281">
        <w:rPr>
          <w:sz w:val="20"/>
          <w:szCs w:val="20"/>
        </w:rPr>
        <w:t xml:space="preserve"> </w:t>
      </w:r>
      <w:r w:rsidR="00623EAF" w:rsidRPr="00174281">
        <w:rPr>
          <w:i/>
          <w:iCs/>
          <w:sz w:val="20"/>
          <w:szCs w:val="20"/>
        </w:rPr>
        <w:t xml:space="preserve">Eucalyptus </w:t>
      </w:r>
      <w:r w:rsidR="00623EAF">
        <w:rPr>
          <w:i/>
          <w:iCs/>
          <w:sz w:val="20"/>
          <w:szCs w:val="20"/>
        </w:rPr>
        <w:t>resinífera</w:t>
      </w:r>
      <w:r w:rsidR="00623EAF" w:rsidRPr="00174281">
        <w:rPr>
          <w:sz w:val="20"/>
          <w:szCs w:val="20"/>
        </w:rPr>
        <w:t xml:space="preserve"> e </w:t>
      </w:r>
      <w:r w:rsidR="00623EAF" w:rsidRPr="00174281">
        <w:rPr>
          <w:i/>
          <w:iCs/>
          <w:sz w:val="20"/>
          <w:szCs w:val="20"/>
        </w:rPr>
        <w:t>Eucalyptus pellita</w:t>
      </w:r>
      <w:r w:rsidR="00623EAF" w:rsidRPr="00174281">
        <w:rPr>
          <w:sz w:val="20"/>
          <w:szCs w:val="20"/>
        </w:rPr>
        <w:t>, além de seus híbridos, são amplamente utilizadas em plantios comerciais, principalmente nas regiões Sudeste, Sul e, mais recentemente, no Nordeste (EMBRAPA, 2019; IBÁ, 2024).</w:t>
      </w:r>
    </w:p>
    <w:p w14:paraId="4FD33969" w14:textId="77777777" w:rsidR="00623EAF" w:rsidRPr="00174281" w:rsidRDefault="00623EAF" w:rsidP="00623EAF">
      <w:pPr>
        <w:ind w:firstLine="720"/>
        <w:jc w:val="both"/>
        <w:rPr>
          <w:sz w:val="20"/>
          <w:szCs w:val="20"/>
        </w:rPr>
      </w:pPr>
      <w:r w:rsidRPr="00174281">
        <w:rPr>
          <w:sz w:val="20"/>
          <w:szCs w:val="20"/>
        </w:rPr>
        <w:t>O desempenho de clones de eucalipto está diretamente relacionado às condições edafoclimáticas do local de cultivo. Fatores como precipitação, temperatura e características do solo exercem influência significativa sobre o crescimento, desenvolvimento e sobrevivência das plantas (Gadelha et al., 2015; Sousa et al., 2023). Em regiões de clima semiárido, como o sudoeste piauiense, a sazonalidade das chuvas e os longos períodos de estiagem representam desafios adicionais à produtividade florestal, exigindo materiais genéticos adaptados e práticas silviculturais específicas (Silva et al., 2023).</w:t>
      </w:r>
    </w:p>
    <w:p w14:paraId="754E5565" w14:textId="5BC09C17" w:rsidR="00623EAF" w:rsidRPr="00174281" w:rsidRDefault="00623EAF" w:rsidP="00623EAF">
      <w:pPr>
        <w:ind w:firstLine="720"/>
        <w:jc w:val="both"/>
        <w:rPr>
          <w:sz w:val="20"/>
          <w:szCs w:val="20"/>
        </w:rPr>
      </w:pPr>
      <w:r w:rsidRPr="00174281">
        <w:rPr>
          <w:sz w:val="20"/>
          <w:szCs w:val="20"/>
        </w:rPr>
        <w:t>A seleção de clones resistentes ao déficit hídrico e às variações climáticas é fundamental para o sucesso dos plantios. Estudos recentes indicam que mesmo clones considerados adaptados podem apresentar variações significativas em parâmetros</w:t>
      </w:r>
      <w:r w:rsidR="00A5702C">
        <w:rPr>
          <w:sz w:val="20"/>
          <w:szCs w:val="20"/>
        </w:rPr>
        <w:t xml:space="preserve"> de </w:t>
      </w:r>
      <w:r w:rsidRPr="00174281">
        <w:rPr>
          <w:sz w:val="20"/>
          <w:szCs w:val="20"/>
        </w:rPr>
        <w:t>mortalidade, especialmente quando submetidos a eventos climáticos extremos (Sousa et al., 2023; Silva et al., 2023).</w:t>
      </w:r>
    </w:p>
    <w:p w14:paraId="3DA7A0AE" w14:textId="0D7994C5" w:rsidR="00094B49" w:rsidRDefault="007F6B15" w:rsidP="00FA2AC5">
      <w:pPr>
        <w:ind w:firstLine="720"/>
        <w:jc w:val="both"/>
        <w:rPr>
          <w:sz w:val="20"/>
          <w:szCs w:val="20"/>
        </w:rPr>
      </w:pPr>
      <w:r w:rsidRPr="007F6B15">
        <w:rPr>
          <w:sz w:val="20"/>
          <w:szCs w:val="20"/>
        </w:rPr>
        <w:t xml:space="preserve">Diante desse contexto, este trabalho parte da hipótese de que as condições climáticas, especialmente a distribuição sazonal da precipitação e a temperatura média, exercem influência significativa na sobrevivência de clones de </w:t>
      </w:r>
      <w:r w:rsidRPr="007F6B15">
        <w:rPr>
          <w:i/>
          <w:iCs/>
          <w:sz w:val="20"/>
          <w:szCs w:val="20"/>
        </w:rPr>
        <w:t>Eucalyptus</w:t>
      </w:r>
      <w:r w:rsidRPr="007F6B15">
        <w:rPr>
          <w:sz w:val="20"/>
          <w:szCs w:val="20"/>
        </w:rPr>
        <w:t xml:space="preserve"> spp. cultivados no sudoeste piauiense. Assim, objetivou-se avaliar a influência de variáveis climáticas sobre a mortalidade de quatro clones de </w:t>
      </w:r>
      <w:r w:rsidRPr="007F6B15">
        <w:rPr>
          <w:i/>
          <w:iCs/>
          <w:sz w:val="20"/>
          <w:szCs w:val="20"/>
        </w:rPr>
        <w:t>Eucalyptus</w:t>
      </w:r>
      <w:r w:rsidRPr="007F6B15">
        <w:rPr>
          <w:sz w:val="20"/>
          <w:szCs w:val="20"/>
        </w:rPr>
        <w:t xml:space="preserve"> spp., ao longo de três anos de monitoramento em um plantio localizado no município de Bom Jesus, Piauí. Os resultados obtidos pretendem subsidiar a escolha de materiais genéticos mais adaptados e contribuir para a adoção de estratégias de manejo florestal mais eficientes e </w:t>
      </w:r>
      <w:r w:rsidRPr="007F6B15">
        <w:rPr>
          <w:sz w:val="20"/>
          <w:szCs w:val="20"/>
        </w:rPr>
        <w:lastRenderedPageBreak/>
        <w:t>resilientes às condições ambientais</w:t>
      </w:r>
      <w:r>
        <w:rPr>
          <w:sz w:val="20"/>
          <w:szCs w:val="20"/>
        </w:rPr>
        <w:t>.</w:t>
      </w:r>
    </w:p>
    <w:p w14:paraId="58D98A87" w14:textId="1D5961C7" w:rsidR="00C802EF" w:rsidRDefault="00A46290" w:rsidP="00FA2AC5">
      <w:pPr>
        <w:jc w:val="both"/>
        <w:rPr>
          <w:sz w:val="20"/>
          <w:szCs w:val="20"/>
        </w:rPr>
      </w:pPr>
      <w:r>
        <w:rPr>
          <w:b/>
          <w:sz w:val="20"/>
          <w:szCs w:val="20"/>
        </w:rPr>
        <w:t>MATERIAL E MÉTODOS</w:t>
      </w:r>
    </w:p>
    <w:p w14:paraId="58FCDF80" w14:textId="65C882DD" w:rsidR="00BD1093" w:rsidRDefault="00623EAF" w:rsidP="00937CEB">
      <w:pPr>
        <w:ind w:firstLine="709"/>
        <w:jc w:val="both"/>
        <w:rPr>
          <w:sz w:val="20"/>
          <w:szCs w:val="20"/>
        </w:rPr>
      </w:pPr>
      <w:r w:rsidRPr="00174281">
        <w:rPr>
          <w:sz w:val="20"/>
          <w:szCs w:val="20"/>
        </w:rPr>
        <w:t xml:space="preserve">O experimento foi conduzido no </w:t>
      </w:r>
      <w:r w:rsidRPr="00674716">
        <w:rPr>
          <w:i/>
          <w:iCs/>
          <w:sz w:val="20"/>
          <w:szCs w:val="20"/>
        </w:rPr>
        <w:t>Campus</w:t>
      </w:r>
      <w:r w:rsidRPr="00174281">
        <w:rPr>
          <w:sz w:val="20"/>
          <w:szCs w:val="20"/>
        </w:rPr>
        <w:t xml:space="preserve"> Professora Cinobelina Elvas da Universidade Federal do Piauí (UFPI), localizado no município de Bom Jesus, estado do Piauí. A área experimental possui 1,1 hectares, situada nas coordenadas 9°04'30''S e 44°21'26''W, a uma altitude de 505 metros</w:t>
      </w:r>
      <w:r w:rsidR="007F6B15">
        <w:rPr>
          <w:sz w:val="20"/>
          <w:szCs w:val="20"/>
        </w:rPr>
        <w:t xml:space="preserve"> (Figura 1)</w:t>
      </w:r>
      <w:r w:rsidRPr="00174281">
        <w:rPr>
          <w:sz w:val="20"/>
          <w:szCs w:val="20"/>
        </w:rPr>
        <w:t>.</w:t>
      </w:r>
      <w:r>
        <w:rPr>
          <w:sz w:val="20"/>
          <w:szCs w:val="20"/>
        </w:rPr>
        <w:t xml:space="preserve"> </w:t>
      </w:r>
      <w:r w:rsidRPr="00174281">
        <w:rPr>
          <w:sz w:val="20"/>
          <w:szCs w:val="20"/>
        </w:rPr>
        <w:t>O clima da região é classificado como Aw, segundo Köppen-Geiger, caracterizado por estação seca bem definida e uma estação chuvosa entre outubro e abril. A precipitação média anual é de 1.033 mm, e a temperatura média varia entre 23,2 ºC (mínima) e 26,4 ºC (máxima) (</w:t>
      </w:r>
      <w:r w:rsidR="00D11652" w:rsidRPr="00174281">
        <w:rPr>
          <w:sz w:val="20"/>
          <w:szCs w:val="20"/>
        </w:rPr>
        <w:t>LIMA</w:t>
      </w:r>
      <w:r w:rsidRPr="00174281">
        <w:rPr>
          <w:sz w:val="20"/>
          <w:szCs w:val="20"/>
        </w:rPr>
        <w:t xml:space="preserve"> </w:t>
      </w:r>
      <w:r w:rsidRPr="00D11652">
        <w:rPr>
          <w:i/>
          <w:iCs/>
          <w:sz w:val="20"/>
          <w:szCs w:val="20"/>
        </w:rPr>
        <w:t>et al</w:t>
      </w:r>
      <w:r w:rsidRPr="00174281">
        <w:rPr>
          <w:sz w:val="20"/>
          <w:szCs w:val="20"/>
        </w:rPr>
        <w:t>., 2020).</w:t>
      </w:r>
      <w:r>
        <w:rPr>
          <w:sz w:val="20"/>
          <w:szCs w:val="20"/>
        </w:rPr>
        <w:t xml:space="preserve"> </w:t>
      </w:r>
      <w:r w:rsidRPr="00174281">
        <w:rPr>
          <w:sz w:val="20"/>
          <w:szCs w:val="20"/>
        </w:rPr>
        <w:t>O solo predominante é o Neossolo Quartzarênico, caracterizado por textura arenosa, alta drenagem, baixa fertilidade natural e elevada suscetibilidade a restrições hídricas (EMBRAPA, 2021).</w:t>
      </w:r>
    </w:p>
    <w:p w14:paraId="1C93E9C5" w14:textId="66609FF8" w:rsidR="007F6B15" w:rsidRDefault="000E2D52" w:rsidP="00937CEB">
      <w:pPr>
        <w:ind w:firstLine="709"/>
        <w:jc w:val="both"/>
        <w:rPr>
          <w:sz w:val="20"/>
          <w:szCs w:val="20"/>
        </w:rPr>
      </w:pPr>
      <w:r>
        <w:rPr>
          <w:noProof/>
          <w:sz w:val="20"/>
          <w:szCs w:val="20"/>
        </w:rPr>
        <w:drawing>
          <wp:inline distT="0" distB="0" distL="0" distR="0" wp14:anchorId="23E5CD4E" wp14:editId="07AB560D">
            <wp:extent cx="2422800" cy="1712952"/>
            <wp:effectExtent l="0" t="0" r="0" b="1905"/>
            <wp:docPr id="1818906702" name="Imagem 6" descr="Diagrama,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06702" name="Imagem 6" descr="Diagrama, Mapa&#10;&#10;O conteúdo gerado por IA pode estar incorre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2800" cy="1712952"/>
                    </a:xfrm>
                    <a:prstGeom prst="rect">
                      <a:avLst/>
                    </a:prstGeom>
                  </pic:spPr>
                </pic:pic>
              </a:graphicData>
            </a:graphic>
          </wp:inline>
        </w:drawing>
      </w:r>
    </w:p>
    <w:p w14:paraId="445E0B53" w14:textId="77777777" w:rsidR="000E2D52" w:rsidRDefault="000E2D52" w:rsidP="00937CEB">
      <w:pPr>
        <w:ind w:firstLine="709"/>
        <w:jc w:val="both"/>
        <w:rPr>
          <w:sz w:val="20"/>
          <w:szCs w:val="20"/>
        </w:rPr>
      </w:pPr>
      <w:r w:rsidRPr="00C626D4">
        <w:rPr>
          <w:sz w:val="20"/>
          <w:szCs w:val="20"/>
        </w:rPr>
        <w:t xml:space="preserve">Figura </w:t>
      </w:r>
      <w:r>
        <w:rPr>
          <w:sz w:val="20"/>
          <w:szCs w:val="20"/>
        </w:rPr>
        <w:t>1</w:t>
      </w:r>
      <w:r w:rsidRPr="00C626D4">
        <w:rPr>
          <w:sz w:val="20"/>
          <w:szCs w:val="20"/>
        </w:rPr>
        <w:t>.</w:t>
      </w:r>
      <w:r>
        <w:rPr>
          <w:sz w:val="20"/>
          <w:szCs w:val="20"/>
        </w:rPr>
        <w:t xml:space="preserve"> </w:t>
      </w:r>
      <w:r w:rsidRPr="000E2D52">
        <w:rPr>
          <w:sz w:val="20"/>
          <w:szCs w:val="20"/>
        </w:rPr>
        <w:t xml:space="preserve">Mapa de localização da área de estudo. O experimento com quatro clones de </w:t>
      </w:r>
      <w:r w:rsidRPr="000E2D52">
        <w:rPr>
          <w:i/>
          <w:iCs/>
          <w:sz w:val="20"/>
          <w:szCs w:val="20"/>
        </w:rPr>
        <w:t>Eucalyptus</w:t>
      </w:r>
      <w:r w:rsidRPr="000E2D52">
        <w:rPr>
          <w:sz w:val="20"/>
          <w:szCs w:val="20"/>
        </w:rPr>
        <w:t xml:space="preserve"> spp. está situado no município de Bom Jesus, sudoeste do estado do Piauí, Brasil. </w:t>
      </w:r>
    </w:p>
    <w:p w14:paraId="5591A635" w14:textId="77777777" w:rsidR="000E2D52" w:rsidRDefault="000E2D52" w:rsidP="00937CEB">
      <w:pPr>
        <w:ind w:firstLine="709"/>
        <w:jc w:val="both"/>
        <w:rPr>
          <w:sz w:val="20"/>
          <w:szCs w:val="20"/>
        </w:rPr>
      </w:pPr>
      <w:bookmarkStart w:id="2" w:name="_Hlk201572108"/>
    </w:p>
    <w:bookmarkEnd w:id="2"/>
    <w:p w14:paraId="1D9E4F7C" w14:textId="77777777" w:rsidR="00254A9C" w:rsidRPr="00252CC7" w:rsidRDefault="00254A9C" w:rsidP="00254A9C">
      <w:pPr>
        <w:ind w:firstLine="709"/>
        <w:jc w:val="both"/>
        <w:rPr>
          <w:sz w:val="20"/>
          <w:szCs w:val="20"/>
        </w:rPr>
      </w:pPr>
      <w:r w:rsidRPr="00252CC7">
        <w:rPr>
          <w:sz w:val="20"/>
          <w:szCs w:val="20"/>
        </w:rPr>
        <w:t xml:space="preserve">As mudas foram fornecidas pela empresa Eco Empreendimentos Ambientais, passaram por processo de </w:t>
      </w:r>
      <w:proofErr w:type="spellStart"/>
      <w:r w:rsidRPr="00252CC7">
        <w:rPr>
          <w:sz w:val="20"/>
          <w:szCs w:val="20"/>
        </w:rPr>
        <w:t>rustificação</w:t>
      </w:r>
      <w:proofErr w:type="spellEnd"/>
      <w:r w:rsidRPr="00252CC7">
        <w:rPr>
          <w:sz w:val="20"/>
          <w:szCs w:val="20"/>
        </w:rPr>
        <w:t xml:space="preserve"> no viveiro florestal do Campus e foram plantadas em março de 2022.No plantio foram utilizados quatro clones de </w:t>
      </w:r>
      <w:r w:rsidRPr="00252CC7">
        <w:rPr>
          <w:i/>
          <w:iCs/>
          <w:sz w:val="20"/>
          <w:szCs w:val="20"/>
        </w:rPr>
        <w:t>Eucalyptus</w:t>
      </w:r>
      <w:r w:rsidRPr="00252CC7">
        <w:rPr>
          <w:sz w:val="20"/>
          <w:szCs w:val="20"/>
        </w:rPr>
        <w:t xml:space="preserve"> spp., sendo eles: AR 01 (</w:t>
      </w:r>
      <w:r w:rsidRPr="00252CC7">
        <w:rPr>
          <w:i/>
          <w:iCs/>
          <w:sz w:val="20"/>
          <w:szCs w:val="20"/>
        </w:rPr>
        <w:t xml:space="preserve">Eucalyptus </w:t>
      </w:r>
      <w:proofErr w:type="spellStart"/>
      <w:r w:rsidRPr="00252CC7">
        <w:rPr>
          <w:i/>
          <w:iCs/>
          <w:sz w:val="20"/>
          <w:szCs w:val="20"/>
        </w:rPr>
        <w:t>urophylla</w:t>
      </w:r>
      <w:proofErr w:type="spellEnd"/>
      <w:r w:rsidRPr="00252CC7">
        <w:rPr>
          <w:sz w:val="20"/>
          <w:szCs w:val="20"/>
        </w:rPr>
        <w:t xml:space="preserve"> × </w:t>
      </w:r>
      <w:r w:rsidRPr="00252CC7">
        <w:rPr>
          <w:i/>
          <w:iCs/>
          <w:sz w:val="20"/>
          <w:szCs w:val="20"/>
        </w:rPr>
        <w:t xml:space="preserve">Eucalyptus </w:t>
      </w:r>
      <w:proofErr w:type="spellStart"/>
      <w:r w:rsidRPr="00252CC7">
        <w:rPr>
          <w:i/>
          <w:iCs/>
          <w:sz w:val="20"/>
          <w:szCs w:val="20"/>
        </w:rPr>
        <w:t>urophylla</w:t>
      </w:r>
      <w:proofErr w:type="spellEnd"/>
      <w:r w:rsidRPr="00252CC7">
        <w:rPr>
          <w:sz w:val="20"/>
          <w:szCs w:val="20"/>
        </w:rPr>
        <w:t>); KL 103 (</w:t>
      </w:r>
      <w:r w:rsidRPr="00252CC7">
        <w:rPr>
          <w:i/>
          <w:iCs/>
          <w:sz w:val="20"/>
          <w:szCs w:val="20"/>
        </w:rPr>
        <w:t xml:space="preserve">Eucalyptus </w:t>
      </w:r>
      <w:proofErr w:type="spellStart"/>
      <w:r w:rsidRPr="00252CC7">
        <w:rPr>
          <w:i/>
          <w:iCs/>
          <w:sz w:val="20"/>
          <w:szCs w:val="20"/>
        </w:rPr>
        <w:t>urophylla</w:t>
      </w:r>
      <w:proofErr w:type="spellEnd"/>
      <w:r w:rsidRPr="00252CC7">
        <w:rPr>
          <w:sz w:val="20"/>
          <w:szCs w:val="20"/>
        </w:rPr>
        <w:t xml:space="preserve"> × </w:t>
      </w:r>
      <w:r w:rsidRPr="00252CC7">
        <w:rPr>
          <w:i/>
          <w:iCs/>
          <w:sz w:val="20"/>
          <w:szCs w:val="20"/>
        </w:rPr>
        <w:t xml:space="preserve">Eucalyptus </w:t>
      </w:r>
      <w:proofErr w:type="spellStart"/>
      <w:r w:rsidRPr="00252CC7">
        <w:rPr>
          <w:i/>
          <w:iCs/>
          <w:sz w:val="20"/>
          <w:szCs w:val="20"/>
        </w:rPr>
        <w:t>tereticornis</w:t>
      </w:r>
      <w:proofErr w:type="spellEnd"/>
      <w:r w:rsidRPr="00252CC7">
        <w:rPr>
          <w:sz w:val="20"/>
          <w:szCs w:val="20"/>
        </w:rPr>
        <w:t xml:space="preserve"> × </w:t>
      </w:r>
      <w:r w:rsidRPr="00252CC7">
        <w:rPr>
          <w:i/>
          <w:iCs/>
          <w:sz w:val="20"/>
          <w:szCs w:val="20"/>
        </w:rPr>
        <w:t xml:space="preserve">Eucalyptus </w:t>
      </w:r>
      <w:proofErr w:type="spellStart"/>
      <w:r w:rsidRPr="00252CC7">
        <w:rPr>
          <w:i/>
          <w:iCs/>
          <w:sz w:val="20"/>
          <w:szCs w:val="20"/>
        </w:rPr>
        <w:t>pellita</w:t>
      </w:r>
      <w:proofErr w:type="spellEnd"/>
      <w:r w:rsidRPr="00252CC7">
        <w:rPr>
          <w:sz w:val="20"/>
          <w:szCs w:val="20"/>
        </w:rPr>
        <w:t>); KL 104 (</w:t>
      </w:r>
      <w:r w:rsidRPr="00252CC7">
        <w:rPr>
          <w:i/>
          <w:iCs/>
          <w:sz w:val="20"/>
          <w:szCs w:val="20"/>
        </w:rPr>
        <w:t xml:space="preserve">Eucalyptus </w:t>
      </w:r>
      <w:proofErr w:type="spellStart"/>
      <w:r w:rsidRPr="00252CC7">
        <w:rPr>
          <w:i/>
          <w:iCs/>
          <w:sz w:val="20"/>
          <w:szCs w:val="20"/>
        </w:rPr>
        <w:t>urophylla</w:t>
      </w:r>
      <w:proofErr w:type="spellEnd"/>
      <w:r w:rsidRPr="00252CC7">
        <w:rPr>
          <w:sz w:val="20"/>
          <w:szCs w:val="20"/>
        </w:rPr>
        <w:t xml:space="preserve"> × </w:t>
      </w:r>
      <w:r w:rsidRPr="00252CC7">
        <w:rPr>
          <w:i/>
          <w:iCs/>
          <w:sz w:val="20"/>
          <w:szCs w:val="20"/>
        </w:rPr>
        <w:t xml:space="preserve">Eucalyptus </w:t>
      </w:r>
      <w:proofErr w:type="spellStart"/>
      <w:r w:rsidRPr="00252CC7">
        <w:rPr>
          <w:i/>
          <w:iCs/>
          <w:sz w:val="20"/>
          <w:szCs w:val="20"/>
        </w:rPr>
        <w:t>tereticornis</w:t>
      </w:r>
      <w:proofErr w:type="spellEnd"/>
      <w:r w:rsidRPr="00252CC7">
        <w:rPr>
          <w:sz w:val="20"/>
          <w:szCs w:val="20"/>
        </w:rPr>
        <w:t>) e KL 105 (</w:t>
      </w:r>
      <w:r w:rsidRPr="00252CC7">
        <w:rPr>
          <w:i/>
          <w:iCs/>
          <w:sz w:val="20"/>
          <w:szCs w:val="20"/>
        </w:rPr>
        <w:t xml:space="preserve">Eucalyptus </w:t>
      </w:r>
      <w:proofErr w:type="spellStart"/>
      <w:r w:rsidRPr="00252CC7">
        <w:rPr>
          <w:i/>
          <w:iCs/>
          <w:sz w:val="20"/>
          <w:szCs w:val="20"/>
        </w:rPr>
        <w:t>urophylla</w:t>
      </w:r>
      <w:proofErr w:type="spellEnd"/>
      <w:r w:rsidRPr="00252CC7">
        <w:rPr>
          <w:sz w:val="20"/>
          <w:szCs w:val="20"/>
        </w:rPr>
        <w:t xml:space="preserve"> × </w:t>
      </w:r>
      <w:r w:rsidRPr="00252CC7">
        <w:rPr>
          <w:i/>
          <w:iCs/>
          <w:sz w:val="20"/>
          <w:szCs w:val="20"/>
        </w:rPr>
        <w:t xml:space="preserve">Eucalyptus </w:t>
      </w:r>
      <w:proofErr w:type="spellStart"/>
      <w:r w:rsidRPr="00252CC7">
        <w:rPr>
          <w:i/>
          <w:iCs/>
          <w:sz w:val="20"/>
          <w:szCs w:val="20"/>
        </w:rPr>
        <w:t>resinifera</w:t>
      </w:r>
      <w:proofErr w:type="spellEnd"/>
      <w:r w:rsidRPr="00252CC7">
        <w:rPr>
          <w:sz w:val="20"/>
          <w:szCs w:val="20"/>
        </w:rPr>
        <w:t>).</w:t>
      </w:r>
    </w:p>
    <w:p w14:paraId="5D5C02F0" w14:textId="77777777" w:rsidR="00254A9C" w:rsidRPr="00252CC7" w:rsidRDefault="00254A9C" w:rsidP="00254A9C">
      <w:pPr>
        <w:ind w:firstLine="709"/>
        <w:jc w:val="both"/>
        <w:rPr>
          <w:sz w:val="20"/>
          <w:szCs w:val="20"/>
        </w:rPr>
      </w:pPr>
      <w:r w:rsidRPr="00252CC7">
        <w:rPr>
          <w:sz w:val="20"/>
          <w:szCs w:val="20"/>
        </w:rPr>
        <w:t>O espaçamento adotado foi de 4m x 4 m, totalizando 624 indivíduos distribuídos em 33 linhas, sendo 136 mudas do clone AR 01, 174 do clone KL 103, 149 do clone KL 104 e 165 do clone KL 105. Cada clone foi disposto de forma sistemática na área experimental. Durante o período de condução do experimento, foram realizados os seguintes tratos silviculturais: coroamento manual; controle de plantas daninhas; podas de formação; adubação de cobertura e algumas irrigações suplementares em períodos de estiagem prolongada.</w:t>
      </w:r>
    </w:p>
    <w:p w14:paraId="2DE9A88D" w14:textId="77777777" w:rsidR="00254A9C" w:rsidRPr="00252CC7" w:rsidRDefault="00254A9C" w:rsidP="00254A9C">
      <w:pPr>
        <w:ind w:firstLine="709"/>
        <w:jc w:val="both"/>
        <w:rPr>
          <w:sz w:val="20"/>
          <w:szCs w:val="20"/>
        </w:rPr>
      </w:pPr>
      <w:r w:rsidRPr="00252CC7">
        <w:rPr>
          <w:sz w:val="20"/>
          <w:szCs w:val="20"/>
        </w:rPr>
        <w:t>A avaliação da mortalidade foi realizada mensalmente durante o primeiro ano de plantio e, posteriormente, de forma trimestral, após os clones completarem um ano. O monitoramento consistiu na contagem dos indivíduos vivos e mortos em cada linha de plantio correspondente aos diferentes clones. Esse acompanhamento possibilitou identificar as variações na taxa de sobrevivência dos clones ao longo do período avaliado.</w:t>
      </w:r>
    </w:p>
    <w:p w14:paraId="77F3EA42" w14:textId="77777777" w:rsidR="00254A9C" w:rsidRPr="00252CC7" w:rsidRDefault="00254A9C" w:rsidP="00254A9C">
      <w:pPr>
        <w:ind w:firstLine="708"/>
        <w:jc w:val="both"/>
        <w:rPr>
          <w:sz w:val="20"/>
          <w:szCs w:val="20"/>
        </w:rPr>
      </w:pPr>
      <w:r w:rsidRPr="00252CC7">
        <w:rPr>
          <w:sz w:val="20"/>
          <w:szCs w:val="20"/>
        </w:rPr>
        <w:t xml:space="preserve">Os dados climáticos de precipitação (mm), temperatura média e máxima (°C), radiação solar (KJ/m²) e velocidade média do vento (m/s), foram obtidos através dos dados da estação meteorológica automática do Instituto Nacional de Meteorologia (INMET) disponível no sítio eletrônico. Tais dados foram organizados em séries mensais para serem correlacionados com os índices de mortalidade observados no mesmo período (para o primeiro ano) ou no mês anterior às medições (para o segundo e terceiro ano), considerando o efeito cumulativo das condições climáticas sobre a sobrevivência das </w:t>
      </w:r>
      <w:proofErr w:type="spellStart"/>
      <w:r w:rsidRPr="00252CC7">
        <w:rPr>
          <w:sz w:val="20"/>
          <w:szCs w:val="20"/>
        </w:rPr>
        <w:t>plantaso</w:t>
      </w:r>
      <w:proofErr w:type="spellEnd"/>
      <w:r w:rsidRPr="00252CC7">
        <w:rPr>
          <w:sz w:val="20"/>
          <w:szCs w:val="20"/>
        </w:rPr>
        <w:t xml:space="preserve"> efeito cumulativo das condições climáticas sobre a sobrevivência das plantas.</w:t>
      </w:r>
    </w:p>
    <w:p w14:paraId="636ED94A" w14:textId="77777777" w:rsidR="00254A9C" w:rsidRPr="00252CC7" w:rsidRDefault="00254A9C" w:rsidP="00254A9C">
      <w:pPr>
        <w:ind w:firstLine="708"/>
        <w:jc w:val="both"/>
        <w:rPr>
          <w:sz w:val="20"/>
          <w:szCs w:val="20"/>
        </w:rPr>
      </w:pPr>
      <w:r w:rsidRPr="00252CC7">
        <w:rPr>
          <w:sz w:val="20"/>
          <w:szCs w:val="20"/>
        </w:rPr>
        <w:t xml:space="preserve">O processamento dos dados foi realizado em planilha eletrônica e as taxas de mortalidade dos quatro clones de </w:t>
      </w:r>
      <w:r w:rsidRPr="00252CC7">
        <w:rPr>
          <w:i/>
          <w:iCs/>
          <w:sz w:val="20"/>
          <w:szCs w:val="20"/>
        </w:rPr>
        <w:t>Eucalyptus spp.</w:t>
      </w:r>
      <w:r w:rsidRPr="00252CC7">
        <w:rPr>
          <w:sz w:val="20"/>
          <w:szCs w:val="20"/>
        </w:rPr>
        <w:t xml:space="preserve"> foram analisadas e correlacionadas com as variáveis climáticas: precipitação, temperatura, radiação solar e velocidade do vento empregando o coeficiente de correlação de Pearson. No primeiro ano, como as medições foram mensais, a correlação foi realizada entre a mortalidade e as variáveis climáticas do mesmo mês. Nos anos dois e três, com medições trimestrais. a mortalidade foi correlacionada com os dados climáticos do mês anterior, considerando que os efeitos das condições climáticas sobre a sobrevivência ocorrem de forma acumulada e com atraso fisiológico.</w:t>
      </w:r>
    </w:p>
    <w:p w14:paraId="60DC6ECE" w14:textId="77777777" w:rsidR="00937CEB" w:rsidRPr="00277274" w:rsidRDefault="00937CEB" w:rsidP="00937CEB">
      <w:pPr>
        <w:ind w:firstLine="709"/>
        <w:jc w:val="both"/>
        <w:rPr>
          <w:sz w:val="20"/>
          <w:szCs w:val="20"/>
        </w:rPr>
      </w:pPr>
    </w:p>
    <w:p w14:paraId="53C09E8F" w14:textId="62CC034F" w:rsidR="00937CEB" w:rsidRPr="00094B49" w:rsidRDefault="00A46290">
      <w:pPr>
        <w:widowControl/>
        <w:jc w:val="both"/>
        <w:rPr>
          <w:b/>
          <w:sz w:val="20"/>
          <w:szCs w:val="20"/>
        </w:rPr>
      </w:pPr>
      <w:r>
        <w:rPr>
          <w:b/>
          <w:sz w:val="20"/>
          <w:szCs w:val="20"/>
        </w:rPr>
        <w:t xml:space="preserve">RESULTADOS E DISCUSSÃO </w:t>
      </w:r>
    </w:p>
    <w:p w14:paraId="4D9A8E4D" w14:textId="03E5A811" w:rsidR="007F68E4" w:rsidRPr="00C52432" w:rsidRDefault="007F68E4" w:rsidP="00937CEB">
      <w:pPr>
        <w:widowControl/>
        <w:ind w:firstLine="709"/>
        <w:jc w:val="both"/>
        <w:rPr>
          <w:sz w:val="20"/>
          <w:szCs w:val="20"/>
        </w:rPr>
      </w:pPr>
      <w:r w:rsidRPr="00C52432">
        <w:rPr>
          <w:sz w:val="20"/>
          <w:szCs w:val="20"/>
        </w:rPr>
        <w:t>Os resultados mostraram que, embora exista alguma relação entre as variáveis climáticas analisadas e os índices de mortalidade dos clones, essas variáveis, isoladamente, não explicam completamente os padrões observados ao longo dos três anos de monitoramento</w:t>
      </w:r>
      <w:r>
        <w:rPr>
          <w:sz w:val="20"/>
          <w:szCs w:val="20"/>
        </w:rPr>
        <w:t xml:space="preserve"> (</w:t>
      </w:r>
      <w:r w:rsidR="009D4D14">
        <w:rPr>
          <w:sz w:val="20"/>
          <w:szCs w:val="20"/>
        </w:rPr>
        <w:t>F</w:t>
      </w:r>
      <w:r>
        <w:rPr>
          <w:sz w:val="20"/>
          <w:szCs w:val="20"/>
        </w:rPr>
        <w:t xml:space="preserve">igura </w:t>
      </w:r>
      <w:r w:rsidR="000E2D52">
        <w:rPr>
          <w:sz w:val="20"/>
          <w:szCs w:val="20"/>
        </w:rPr>
        <w:t>2</w:t>
      </w:r>
      <w:r>
        <w:rPr>
          <w:sz w:val="20"/>
          <w:szCs w:val="20"/>
        </w:rPr>
        <w:t xml:space="preserve">). </w:t>
      </w:r>
      <w:r w:rsidRPr="00C52432">
        <w:rPr>
          <w:sz w:val="20"/>
          <w:szCs w:val="20"/>
        </w:rPr>
        <w:t>O maior pico de mortalidade, de forma contraintuitiva, ocorreu durante o período de maior precipitação</w:t>
      </w:r>
      <w:r>
        <w:rPr>
          <w:sz w:val="20"/>
          <w:szCs w:val="20"/>
        </w:rPr>
        <w:t xml:space="preserve"> (</w:t>
      </w:r>
      <w:r w:rsidR="009D4D14">
        <w:rPr>
          <w:sz w:val="20"/>
          <w:szCs w:val="20"/>
        </w:rPr>
        <w:t xml:space="preserve">Figura </w:t>
      </w:r>
      <w:r w:rsidR="000E2D52">
        <w:rPr>
          <w:sz w:val="20"/>
          <w:szCs w:val="20"/>
        </w:rPr>
        <w:t>2</w:t>
      </w:r>
      <w:r w:rsidR="009D4D14">
        <w:rPr>
          <w:sz w:val="20"/>
          <w:szCs w:val="20"/>
        </w:rPr>
        <w:t>b</w:t>
      </w:r>
      <w:r>
        <w:rPr>
          <w:sz w:val="20"/>
          <w:szCs w:val="20"/>
        </w:rPr>
        <w:t>)</w:t>
      </w:r>
      <w:r w:rsidRPr="00C52432">
        <w:rPr>
          <w:sz w:val="20"/>
          <w:szCs w:val="20"/>
        </w:rPr>
        <w:t xml:space="preserve">, o que demonstra que a limitação </w:t>
      </w:r>
      <w:r w:rsidRPr="00C52432">
        <w:rPr>
          <w:sz w:val="20"/>
          <w:szCs w:val="20"/>
        </w:rPr>
        <w:lastRenderedPageBreak/>
        <w:t>hídrica não foi o fator determinante neste momento. Isso sugere que outros fatores, como estresse hídrico acumulado no período seco anterior, características do solo</w:t>
      </w:r>
      <w:r>
        <w:rPr>
          <w:sz w:val="20"/>
          <w:szCs w:val="20"/>
        </w:rPr>
        <w:t xml:space="preserve"> (</w:t>
      </w:r>
      <w:r w:rsidRPr="00C52432">
        <w:rPr>
          <w:sz w:val="20"/>
          <w:szCs w:val="20"/>
        </w:rPr>
        <w:t>com baixa retenção hídrica), podem ter desempenhado papéis importantes na dinâmica de mortalidade observada.</w:t>
      </w:r>
    </w:p>
    <w:p w14:paraId="1E21A97B" w14:textId="77777777" w:rsidR="00062D5F" w:rsidRDefault="00062D5F" w:rsidP="00937CEB">
      <w:pPr>
        <w:widowControl/>
        <w:ind w:firstLine="709"/>
        <w:jc w:val="both"/>
        <w:rPr>
          <w:sz w:val="20"/>
          <w:szCs w:val="20"/>
        </w:rPr>
      </w:pPr>
    </w:p>
    <w:p w14:paraId="681ED7A5" w14:textId="279C80FD" w:rsidR="00062D5F" w:rsidRDefault="007F68E4" w:rsidP="007F68E4">
      <w:pPr>
        <w:widowControl/>
        <w:ind w:firstLine="709"/>
        <w:jc w:val="both"/>
        <w:rPr>
          <w:noProof/>
          <w:sz w:val="20"/>
          <w:szCs w:val="20"/>
        </w:rPr>
      </w:pPr>
      <w:r>
        <w:rPr>
          <w:noProof/>
          <w:sz w:val="20"/>
          <w:szCs w:val="20"/>
        </w:rPr>
        <mc:AlternateContent>
          <mc:Choice Requires="wps">
            <w:drawing>
              <wp:anchor distT="0" distB="0" distL="114300" distR="114300" simplePos="0" relativeHeight="251661312" behindDoc="0" locked="0" layoutInCell="1" allowOverlap="1" wp14:anchorId="4DEE01EA" wp14:editId="256C4249">
                <wp:simplePos x="0" y="0"/>
                <wp:positionH relativeFrom="column">
                  <wp:posOffset>4873813</wp:posOffset>
                </wp:positionH>
                <wp:positionV relativeFrom="paragraph">
                  <wp:posOffset>137160</wp:posOffset>
                </wp:positionV>
                <wp:extent cx="309093" cy="296214"/>
                <wp:effectExtent l="0" t="0" r="0" b="0"/>
                <wp:wrapNone/>
                <wp:docPr id="316171285" name="Caixa de Texto 5"/>
                <wp:cNvGraphicFramePr/>
                <a:graphic xmlns:a="http://schemas.openxmlformats.org/drawingml/2006/main">
                  <a:graphicData uri="http://schemas.microsoft.com/office/word/2010/wordprocessingShape">
                    <wps:wsp>
                      <wps:cNvSpPr txBox="1"/>
                      <wps:spPr>
                        <a:xfrm>
                          <a:off x="0" y="0"/>
                          <a:ext cx="309093" cy="296214"/>
                        </a:xfrm>
                        <a:prstGeom prst="rect">
                          <a:avLst/>
                        </a:prstGeom>
                        <a:noFill/>
                        <a:ln w="6350">
                          <a:noFill/>
                        </a:ln>
                      </wps:spPr>
                      <wps:txbx>
                        <w:txbxContent>
                          <w:p w14:paraId="7FC93C50" w14:textId="7C80A5F0" w:rsidR="007F68E4" w:rsidRPr="007F68E4" w:rsidRDefault="007F68E4">
                            <w:pPr>
                              <w:rPr>
                                <w:sz w:val="18"/>
                                <w:szCs w:val="18"/>
                              </w:rPr>
                            </w:pPr>
                            <w:r>
                              <w:rPr>
                                <w:sz w:val="18"/>
                                <w:szCs w:val="18"/>
                              </w:rPr>
                              <w:t>b</w:t>
                            </w:r>
                            <w:r w:rsidRPr="007F68E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E01EA" id="_x0000_t202" coordsize="21600,21600" o:spt="202" path="m,l,21600r21600,l21600,xe">
                <v:stroke joinstyle="miter"/>
                <v:path gradientshapeok="t" o:connecttype="rect"/>
              </v:shapetype>
              <v:shape id="Caixa de Texto 5" o:spid="_x0000_s1026" type="#_x0000_t202" style="position:absolute;left:0;text-align:left;margin-left:383.75pt;margin-top:10.8pt;width:24.35pt;height:2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dOFwIAACsEAAAOAAAAZHJzL2Uyb0RvYy54bWysU02P2jAQvVfqf7B8L0mApS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" filled="f" stroked="f" strokeweight=".5pt">
                <v:textbox>
                  <w:txbxContent>
                    <w:p w14:paraId="7FC93C50" w14:textId="7C80A5F0" w:rsidR="007F68E4" w:rsidRPr="007F68E4" w:rsidRDefault="007F68E4">
                      <w:pPr>
                        <w:rPr>
                          <w:sz w:val="18"/>
                          <w:szCs w:val="18"/>
                        </w:rPr>
                      </w:pPr>
                      <w:r>
                        <w:rPr>
                          <w:sz w:val="18"/>
                          <w:szCs w:val="18"/>
                        </w:rPr>
                        <w:t>b</w:t>
                      </w:r>
                      <w:r w:rsidRPr="007F68E4">
                        <w:rPr>
                          <w:sz w:val="18"/>
                          <w:szCs w:val="18"/>
                        </w:rPr>
                        <w:t>)</w:t>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054A2C25" wp14:editId="668A3A05">
                <wp:simplePos x="0" y="0"/>
                <wp:positionH relativeFrom="column">
                  <wp:posOffset>2313403</wp:posOffset>
                </wp:positionH>
                <wp:positionV relativeFrom="paragraph">
                  <wp:posOffset>139888</wp:posOffset>
                </wp:positionV>
                <wp:extent cx="309093" cy="296214"/>
                <wp:effectExtent l="0" t="0" r="0" b="0"/>
                <wp:wrapNone/>
                <wp:docPr id="558921131" name="Caixa de Texto 5"/>
                <wp:cNvGraphicFramePr/>
                <a:graphic xmlns:a="http://schemas.openxmlformats.org/drawingml/2006/main">
                  <a:graphicData uri="http://schemas.microsoft.com/office/word/2010/wordprocessingShape">
                    <wps:wsp>
                      <wps:cNvSpPr txBox="1"/>
                      <wps:spPr>
                        <a:xfrm>
                          <a:off x="0" y="0"/>
                          <a:ext cx="309093" cy="296214"/>
                        </a:xfrm>
                        <a:prstGeom prst="rect">
                          <a:avLst/>
                        </a:prstGeom>
                        <a:noFill/>
                        <a:ln w="6350">
                          <a:noFill/>
                        </a:ln>
                      </wps:spPr>
                      <wps:txbx>
                        <w:txbxContent>
                          <w:p w14:paraId="23163A2C" w14:textId="2CFA3044" w:rsidR="007F68E4" w:rsidRPr="007F68E4" w:rsidRDefault="007F68E4">
                            <w:pPr>
                              <w:rPr>
                                <w:sz w:val="18"/>
                                <w:szCs w:val="18"/>
                              </w:rPr>
                            </w:pPr>
                            <w:r w:rsidRPr="007F68E4">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2C25" id="_x0000_s1027" type="#_x0000_t202" style="position:absolute;left:0;text-align:left;margin-left:182.15pt;margin-top:11pt;width:24.35pt;height:2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TQVGQIAADIEAAAOAAAAZHJzL2Uyb0RvYy54bWysU8lu2zAQvRfoPxC815KXuLV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" filled="f" stroked="f" strokeweight=".5pt">
                <v:textbox>
                  <w:txbxContent>
                    <w:p w14:paraId="23163A2C" w14:textId="2CFA3044" w:rsidR="007F68E4" w:rsidRPr="007F68E4" w:rsidRDefault="007F68E4">
                      <w:pPr>
                        <w:rPr>
                          <w:sz w:val="18"/>
                          <w:szCs w:val="18"/>
                        </w:rPr>
                      </w:pPr>
                      <w:r w:rsidRPr="007F68E4">
                        <w:rPr>
                          <w:sz w:val="18"/>
                          <w:szCs w:val="18"/>
                        </w:rPr>
                        <w:t>a)</w:t>
                      </w:r>
                    </w:p>
                  </w:txbxContent>
                </v:textbox>
              </v:shape>
            </w:pict>
          </mc:Fallback>
        </mc:AlternateContent>
      </w:r>
      <w:r w:rsidR="00062D5F">
        <w:rPr>
          <w:noProof/>
          <w:sz w:val="20"/>
          <w:szCs w:val="20"/>
        </w:rPr>
        <w:drawing>
          <wp:inline distT="0" distB="0" distL="0" distR="0" wp14:anchorId="1F778AA9" wp14:editId="4426D85D">
            <wp:extent cx="2422565" cy="1187469"/>
            <wp:effectExtent l="0" t="0" r="0" b="0"/>
            <wp:docPr id="4720984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8490" name="Image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2565" cy="1187469"/>
                    </a:xfrm>
                    <a:prstGeom prst="rect">
                      <a:avLst/>
                    </a:prstGeom>
                  </pic:spPr>
                </pic:pic>
              </a:graphicData>
            </a:graphic>
          </wp:inline>
        </w:drawing>
      </w:r>
      <w:r w:rsidRPr="007F68E4">
        <w:rPr>
          <w:noProof/>
          <w:sz w:val="20"/>
          <w:szCs w:val="20"/>
        </w:rPr>
        <w:t xml:space="preserve"> </w:t>
      </w:r>
      <w:r>
        <w:rPr>
          <w:noProof/>
          <w:sz w:val="20"/>
          <w:szCs w:val="20"/>
        </w:rPr>
        <w:drawing>
          <wp:inline distT="0" distB="0" distL="0" distR="0" wp14:anchorId="655244F7" wp14:editId="2C293293">
            <wp:extent cx="2573904" cy="1260000"/>
            <wp:effectExtent l="0" t="0" r="0" b="0"/>
            <wp:docPr id="174525861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58617" name="Imagem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3904" cy="1260000"/>
                    </a:xfrm>
                    <a:prstGeom prst="rect">
                      <a:avLst/>
                    </a:prstGeom>
                  </pic:spPr>
                </pic:pic>
              </a:graphicData>
            </a:graphic>
          </wp:inline>
        </w:drawing>
      </w:r>
    </w:p>
    <w:p w14:paraId="555313A1" w14:textId="50B5A77D" w:rsidR="00062D5F" w:rsidRDefault="00B1160F">
      <w:pPr>
        <w:widowControl/>
        <w:ind w:firstLine="709"/>
        <w:jc w:val="both"/>
        <w:rPr>
          <w:sz w:val="20"/>
          <w:szCs w:val="20"/>
        </w:rPr>
      </w:pPr>
      <w:r>
        <w:rPr>
          <w:noProof/>
          <w:sz w:val="20"/>
          <w:szCs w:val="20"/>
        </w:rPr>
        <mc:AlternateContent>
          <mc:Choice Requires="wps">
            <w:drawing>
              <wp:anchor distT="0" distB="0" distL="114300" distR="114300" simplePos="0" relativeHeight="251663360" behindDoc="0" locked="0" layoutInCell="1" allowOverlap="1" wp14:anchorId="5DBD4925" wp14:editId="608DF000">
                <wp:simplePos x="0" y="0"/>
                <wp:positionH relativeFrom="column">
                  <wp:posOffset>2362397</wp:posOffset>
                </wp:positionH>
                <wp:positionV relativeFrom="paragraph">
                  <wp:posOffset>133350</wp:posOffset>
                </wp:positionV>
                <wp:extent cx="309093" cy="296214"/>
                <wp:effectExtent l="0" t="0" r="0" b="0"/>
                <wp:wrapNone/>
                <wp:docPr id="378129610" name="Caixa de Texto 5"/>
                <wp:cNvGraphicFramePr/>
                <a:graphic xmlns:a="http://schemas.openxmlformats.org/drawingml/2006/main">
                  <a:graphicData uri="http://schemas.microsoft.com/office/word/2010/wordprocessingShape">
                    <wps:wsp>
                      <wps:cNvSpPr txBox="1"/>
                      <wps:spPr>
                        <a:xfrm>
                          <a:off x="0" y="0"/>
                          <a:ext cx="309093" cy="296214"/>
                        </a:xfrm>
                        <a:prstGeom prst="rect">
                          <a:avLst/>
                        </a:prstGeom>
                        <a:noFill/>
                        <a:ln w="6350">
                          <a:noFill/>
                        </a:ln>
                      </wps:spPr>
                      <wps:txbx>
                        <w:txbxContent>
                          <w:p w14:paraId="6DD49BB6" w14:textId="39149ED3" w:rsidR="00B1160F" w:rsidRPr="007F68E4" w:rsidRDefault="00B1160F">
                            <w:pPr>
                              <w:rPr>
                                <w:sz w:val="18"/>
                                <w:szCs w:val="18"/>
                              </w:rPr>
                            </w:pPr>
                            <w:r>
                              <w:rPr>
                                <w:sz w:val="18"/>
                                <w:szCs w:val="18"/>
                              </w:rPr>
                              <w:t>c</w:t>
                            </w:r>
                            <w:r w:rsidRPr="007F68E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D4925" id="_x0000_s1028" type="#_x0000_t202" style="position:absolute;left:0;text-align:left;margin-left:186pt;margin-top:10.5pt;width:24.35pt;height:2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WxGgIAADIEAAAOAAAAZHJzL2Uyb0RvYy54bWysU8lu2zAQvRfoPxC815KXuLVgOXATuChg&#10;JAGcImeaIi0BJIclaUvu13dIeUPaU9ELNcMZzfLe4/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" filled="f" stroked="f" strokeweight=".5pt">
                <v:textbox>
                  <w:txbxContent>
                    <w:p w14:paraId="6DD49BB6" w14:textId="39149ED3" w:rsidR="00B1160F" w:rsidRPr="007F68E4" w:rsidRDefault="00B1160F">
                      <w:pPr>
                        <w:rPr>
                          <w:sz w:val="18"/>
                          <w:szCs w:val="18"/>
                        </w:rPr>
                      </w:pPr>
                      <w:r>
                        <w:rPr>
                          <w:sz w:val="18"/>
                          <w:szCs w:val="18"/>
                        </w:rPr>
                        <w:t>c</w:t>
                      </w:r>
                      <w:r w:rsidRPr="007F68E4">
                        <w:rPr>
                          <w:sz w:val="18"/>
                          <w:szCs w:val="18"/>
                        </w:rPr>
                        <w:t>)</w:t>
                      </w:r>
                    </w:p>
                  </w:txbxContent>
                </v:textbox>
              </v:shape>
            </w:pict>
          </mc:Fallback>
        </mc:AlternateContent>
      </w:r>
      <w:r>
        <w:rPr>
          <w:noProof/>
          <w:sz w:val="20"/>
          <w:szCs w:val="20"/>
        </w:rPr>
        <mc:AlternateContent>
          <mc:Choice Requires="wps">
            <w:drawing>
              <wp:anchor distT="0" distB="0" distL="114300" distR="114300" simplePos="0" relativeHeight="251665408" behindDoc="0" locked="0" layoutInCell="1" allowOverlap="1" wp14:anchorId="56A9FCC7" wp14:editId="7DFA0F7E">
                <wp:simplePos x="0" y="0"/>
                <wp:positionH relativeFrom="column">
                  <wp:posOffset>4910106</wp:posOffset>
                </wp:positionH>
                <wp:positionV relativeFrom="paragraph">
                  <wp:posOffset>137250</wp:posOffset>
                </wp:positionV>
                <wp:extent cx="309093" cy="296214"/>
                <wp:effectExtent l="0" t="0" r="0" b="0"/>
                <wp:wrapNone/>
                <wp:docPr id="1955893094" name="Caixa de Texto 5"/>
                <wp:cNvGraphicFramePr/>
                <a:graphic xmlns:a="http://schemas.openxmlformats.org/drawingml/2006/main">
                  <a:graphicData uri="http://schemas.microsoft.com/office/word/2010/wordprocessingShape">
                    <wps:wsp>
                      <wps:cNvSpPr txBox="1"/>
                      <wps:spPr>
                        <a:xfrm>
                          <a:off x="0" y="0"/>
                          <a:ext cx="309093" cy="296214"/>
                        </a:xfrm>
                        <a:prstGeom prst="rect">
                          <a:avLst/>
                        </a:prstGeom>
                        <a:noFill/>
                        <a:ln w="6350">
                          <a:noFill/>
                        </a:ln>
                      </wps:spPr>
                      <wps:txbx>
                        <w:txbxContent>
                          <w:p w14:paraId="0B4D0CD1" w14:textId="00EA4E12" w:rsidR="00B1160F" w:rsidRPr="007F68E4" w:rsidRDefault="00B1160F">
                            <w:pPr>
                              <w:rPr>
                                <w:sz w:val="18"/>
                                <w:szCs w:val="18"/>
                              </w:rPr>
                            </w:pPr>
                            <w:r>
                              <w:rPr>
                                <w:sz w:val="18"/>
                                <w:szCs w:val="18"/>
                              </w:rPr>
                              <w:t>d</w:t>
                            </w:r>
                            <w:r w:rsidRPr="007F68E4">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FCC7" id="_x0000_s1029" type="#_x0000_t202" style="position:absolute;left:0;text-align:left;margin-left:386.6pt;margin-top:10.8pt;width:24.35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pkGgIAADIEAAAOAAAAZHJzL2Uyb0RvYy54bWysU8lu2zAQvRfoPxC815KXuLVgOXATuChg&#10;JAGcImeaIi0BJIclaUvu13dIeUPaU9ELNcMZzfLe4/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" filled="f" stroked="f" strokeweight=".5pt">
                <v:textbox>
                  <w:txbxContent>
                    <w:p w14:paraId="0B4D0CD1" w14:textId="00EA4E12" w:rsidR="00B1160F" w:rsidRPr="007F68E4" w:rsidRDefault="00B1160F">
                      <w:pPr>
                        <w:rPr>
                          <w:sz w:val="18"/>
                          <w:szCs w:val="18"/>
                        </w:rPr>
                      </w:pPr>
                      <w:r>
                        <w:rPr>
                          <w:sz w:val="18"/>
                          <w:szCs w:val="18"/>
                        </w:rPr>
                        <w:t>d</w:t>
                      </w:r>
                      <w:r w:rsidRPr="007F68E4">
                        <w:rPr>
                          <w:sz w:val="18"/>
                          <w:szCs w:val="18"/>
                        </w:rPr>
                        <w:t>)</w:t>
                      </w:r>
                    </w:p>
                  </w:txbxContent>
                </v:textbox>
              </v:shape>
            </w:pict>
          </mc:Fallback>
        </mc:AlternateContent>
      </w:r>
      <w:r w:rsidR="007F68E4">
        <w:rPr>
          <w:noProof/>
          <w:sz w:val="20"/>
          <w:szCs w:val="20"/>
        </w:rPr>
        <w:drawing>
          <wp:inline distT="0" distB="0" distL="0" distR="0" wp14:anchorId="65FE585D" wp14:editId="3E9318BF">
            <wp:extent cx="2543332" cy="1260000"/>
            <wp:effectExtent l="0" t="0" r="0" b="0"/>
            <wp:docPr id="137956639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66393" name="Image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43332" cy="1260000"/>
                    </a:xfrm>
                    <a:prstGeom prst="rect">
                      <a:avLst/>
                    </a:prstGeom>
                  </pic:spPr>
                </pic:pic>
              </a:graphicData>
            </a:graphic>
          </wp:inline>
        </w:drawing>
      </w:r>
      <w:r w:rsidR="007F68E4" w:rsidRPr="007F68E4">
        <w:rPr>
          <w:noProof/>
          <w:sz w:val="20"/>
          <w:szCs w:val="20"/>
        </w:rPr>
        <w:t xml:space="preserve"> </w:t>
      </w:r>
      <w:r w:rsidR="007F68E4">
        <w:rPr>
          <w:noProof/>
          <w:sz w:val="20"/>
          <w:szCs w:val="20"/>
        </w:rPr>
        <w:drawing>
          <wp:inline distT="0" distB="0" distL="0" distR="0" wp14:anchorId="3FD9D663" wp14:editId="577F0296">
            <wp:extent cx="2500363" cy="1260000"/>
            <wp:effectExtent l="0" t="0" r="0" b="0"/>
            <wp:docPr id="100126400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64004" name="Imagem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0363" cy="1260000"/>
                    </a:xfrm>
                    <a:prstGeom prst="rect">
                      <a:avLst/>
                    </a:prstGeom>
                  </pic:spPr>
                </pic:pic>
              </a:graphicData>
            </a:graphic>
          </wp:inline>
        </w:drawing>
      </w:r>
    </w:p>
    <w:p w14:paraId="4A139C4D" w14:textId="77777777" w:rsidR="00062D5F" w:rsidRDefault="00062D5F" w:rsidP="00937CEB">
      <w:pPr>
        <w:widowControl/>
        <w:ind w:left="851" w:hanging="851"/>
        <w:jc w:val="both"/>
        <w:rPr>
          <w:sz w:val="20"/>
          <w:szCs w:val="20"/>
        </w:rPr>
      </w:pPr>
    </w:p>
    <w:p w14:paraId="2D4766A7" w14:textId="1985FC98" w:rsidR="009B2A17" w:rsidRDefault="00197172" w:rsidP="00937CEB">
      <w:pPr>
        <w:widowControl/>
        <w:ind w:left="851"/>
        <w:jc w:val="both"/>
        <w:rPr>
          <w:sz w:val="20"/>
          <w:szCs w:val="20"/>
        </w:rPr>
      </w:pPr>
      <w:r w:rsidRPr="00C626D4">
        <w:rPr>
          <w:sz w:val="20"/>
          <w:szCs w:val="20"/>
        </w:rPr>
        <w:t xml:space="preserve">Figura </w:t>
      </w:r>
      <w:r w:rsidR="000E2D52">
        <w:rPr>
          <w:sz w:val="20"/>
          <w:szCs w:val="20"/>
        </w:rPr>
        <w:t>2</w:t>
      </w:r>
      <w:r w:rsidRPr="00C626D4">
        <w:rPr>
          <w:sz w:val="20"/>
          <w:szCs w:val="20"/>
        </w:rPr>
        <w:t>.</w:t>
      </w:r>
      <w:r w:rsidR="00937CEB">
        <w:rPr>
          <w:sz w:val="20"/>
          <w:szCs w:val="20"/>
        </w:rPr>
        <w:t xml:space="preserve"> </w:t>
      </w:r>
      <w:r w:rsidRPr="00C626D4">
        <w:rPr>
          <w:sz w:val="20"/>
          <w:szCs w:val="20"/>
        </w:rPr>
        <w:t>Variação</w:t>
      </w:r>
      <w:r w:rsidRPr="00197172">
        <w:rPr>
          <w:sz w:val="20"/>
          <w:szCs w:val="20"/>
        </w:rPr>
        <w:t xml:space="preserve"> da mortalidade (%) dos quatro clones de </w:t>
      </w:r>
      <w:r w:rsidRPr="00197172">
        <w:rPr>
          <w:i/>
          <w:iCs/>
          <w:sz w:val="20"/>
          <w:szCs w:val="20"/>
        </w:rPr>
        <w:t>Eucalyptus</w:t>
      </w:r>
      <w:r w:rsidRPr="00197172">
        <w:rPr>
          <w:sz w:val="20"/>
          <w:szCs w:val="20"/>
        </w:rPr>
        <w:t xml:space="preserve"> spp. em função das variáveis climáticas</w:t>
      </w:r>
      <w:r w:rsidR="00937CEB">
        <w:rPr>
          <w:sz w:val="20"/>
          <w:szCs w:val="20"/>
        </w:rPr>
        <w:t xml:space="preserve"> </w:t>
      </w:r>
      <w:r w:rsidRPr="00197172">
        <w:rPr>
          <w:sz w:val="20"/>
          <w:szCs w:val="20"/>
        </w:rPr>
        <w:t xml:space="preserve">ao longo do tempo no sudoeste piauiense. (a) Mortalidade associada à temperatura média (Tmed) e máxima (Tmax) em °C; (b) Mortalidade associada à radiação total acumulada (R) em KJ/m²; (c) Mortalidade associada à velocidade média dos ventos (V) em m/s; (d) Mortalidade associada à precipitação total mensal (P) em mm. </w:t>
      </w:r>
    </w:p>
    <w:p w14:paraId="1C957C07" w14:textId="77777777" w:rsidR="00937CEB" w:rsidRDefault="00937CEB" w:rsidP="00937CEB">
      <w:pPr>
        <w:widowControl/>
        <w:ind w:left="851" w:hanging="851"/>
        <w:jc w:val="both"/>
        <w:rPr>
          <w:sz w:val="20"/>
          <w:szCs w:val="20"/>
        </w:rPr>
      </w:pPr>
    </w:p>
    <w:p w14:paraId="60394940" w14:textId="655C36E8" w:rsidR="00C52432" w:rsidRDefault="00197172" w:rsidP="00094B49">
      <w:pPr>
        <w:widowControl/>
        <w:ind w:firstLine="709"/>
        <w:jc w:val="both"/>
        <w:rPr>
          <w:sz w:val="20"/>
          <w:szCs w:val="20"/>
        </w:rPr>
      </w:pPr>
      <w:r w:rsidRPr="00197172">
        <w:rPr>
          <w:sz w:val="20"/>
          <w:szCs w:val="20"/>
        </w:rPr>
        <w:t>Os maiores picos de mortalidade coincidem, principalmente, com o início do período chuvoso, indicando que as variáveis climáticas, isoladamente, não explicam plenamente os padrões de mortalidade dos clones.</w:t>
      </w:r>
      <w:r w:rsidR="009D4D14">
        <w:rPr>
          <w:sz w:val="20"/>
          <w:szCs w:val="20"/>
        </w:rPr>
        <w:t xml:space="preserve"> </w:t>
      </w:r>
      <w:r w:rsidR="00C52432" w:rsidRPr="00C52432">
        <w:rPr>
          <w:sz w:val="20"/>
          <w:szCs w:val="20"/>
        </w:rPr>
        <w:t>As análises de correlação reforçam esse comportamento, apresentando, no geral, baixos coeficientes. Para o plantio como um todo</w:t>
      </w:r>
      <w:r w:rsidR="00C52432">
        <w:rPr>
          <w:sz w:val="20"/>
          <w:szCs w:val="20"/>
        </w:rPr>
        <w:t xml:space="preserve"> (</w:t>
      </w:r>
      <w:r w:rsidR="000C76AD">
        <w:rPr>
          <w:sz w:val="20"/>
          <w:szCs w:val="20"/>
        </w:rPr>
        <w:t>T</w:t>
      </w:r>
      <w:r w:rsidR="00C52432">
        <w:rPr>
          <w:sz w:val="20"/>
          <w:szCs w:val="20"/>
        </w:rPr>
        <w:t>abela 1)</w:t>
      </w:r>
      <w:r w:rsidR="00C52432" w:rsidRPr="00C52432">
        <w:rPr>
          <w:sz w:val="20"/>
          <w:szCs w:val="20"/>
        </w:rPr>
        <w:t>, a precipitação apresentou a maior correlação (r = 0,35), seguida pela radiação (r = 0,14), enquanto temperatura média (r = -0,08) e velocidade do vento (r = -0,01) tiveram pouca ou nenhuma influência direta. Entre os clones, o KL 105 foi o mais sensível às variáveis climáticas, apresentando os maiores coeficientes, enquanto os clones AR 01 e KL 104 demonstraram maior estabilidade frente às variações ambientais.</w:t>
      </w:r>
    </w:p>
    <w:p w14:paraId="0635A8F0" w14:textId="77777777" w:rsidR="00197172" w:rsidRDefault="00197172" w:rsidP="00C52432">
      <w:pPr>
        <w:widowControl/>
        <w:ind w:firstLine="709"/>
        <w:jc w:val="both"/>
        <w:rPr>
          <w:sz w:val="20"/>
          <w:szCs w:val="20"/>
        </w:rPr>
      </w:pPr>
    </w:p>
    <w:p w14:paraId="2E57FCE1" w14:textId="17F923DA" w:rsidR="007F68E4" w:rsidRPr="00094B49" w:rsidRDefault="007F68E4" w:rsidP="00094B49">
      <w:pPr>
        <w:widowControl/>
        <w:ind w:left="851" w:hanging="851"/>
        <w:jc w:val="both"/>
        <w:rPr>
          <w:sz w:val="18"/>
          <w:szCs w:val="18"/>
        </w:rPr>
      </w:pPr>
      <w:r w:rsidRPr="00197172">
        <w:rPr>
          <w:sz w:val="18"/>
          <w:szCs w:val="18"/>
        </w:rPr>
        <w:t>Tabela 1. Coeficientes de correlação de Pearson entre as variáveis climáticas precipitação</w:t>
      </w:r>
      <w:r w:rsidR="004A270C">
        <w:rPr>
          <w:sz w:val="18"/>
          <w:szCs w:val="18"/>
        </w:rPr>
        <w:t xml:space="preserve"> </w:t>
      </w:r>
      <w:r w:rsidR="002F08F6">
        <w:rPr>
          <w:sz w:val="18"/>
          <w:szCs w:val="18"/>
        </w:rPr>
        <w:t>(P)</w:t>
      </w:r>
      <w:r w:rsidRPr="00197172">
        <w:rPr>
          <w:sz w:val="18"/>
          <w:szCs w:val="18"/>
        </w:rPr>
        <w:t>, temperatura média, temperatura máxima</w:t>
      </w:r>
      <w:r w:rsidR="004A270C">
        <w:rPr>
          <w:sz w:val="18"/>
          <w:szCs w:val="18"/>
        </w:rPr>
        <w:t xml:space="preserve"> (T)</w:t>
      </w:r>
      <w:r w:rsidRPr="00197172">
        <w:rPr>
          <w:sz w:val="18"/>
          <w:szCs w:val="18"/>
        </w:rPr>
        <w:t>, radiação solar</w:t>
      </w:r>
      <w:r w:rsidR="0034413B">
        <w:rPr>
          <w:sz w:val="18"/>
          <w:szCs w:val="18"/>
        </w:rPr>
        <w:t xml:space="preserve"> (R)</w:t>
      </w:r>
      <w:r w:rsidRPr="00197172">
        <w:rPr>
          <w:sz w:val="18"/>
          <w:szCs w:val="18"/>
        </w:rPr>
        <w:t xml:space="preserve"> e velocidade do vento</w:t>
      </w:r>
      <w:r w:rsidR="0034413B">
        <w:rPr>
          <w:sz w:val="18"/>
          <w:szCs w:val="18"/>
        </w:rPr>
        <w:t xml:space="preserve"> (V</w:t>
      </w:r>
      <w:r w:rsidRPr="00197172">
        <w:rPr>
          <w:sz w:val="18"/>
          <w:szCs w:val="18"/>
        </w:rPr>
        <w:t xml:space="preserve">) e as taxas de mortalidade dos quatro clones de </w:t>
      </w:r>
      <w:r w:rsidRPr="00197172">
        <w:rPr>
          <w:i/>
          <w:iCs/>
          <w:sz w:val="18"/>
          <w:szCs w:val="18"/>
        </w:rPr>
        <w:t>Eucalyptus</w:t>
      </w:r>
      <w:r w:rsidRPr="00197172">
        <w:rPr>
          <w:sz w:val="18"/>
          <w:szCs w:val="18"/>
        </w:rPr>
        <w:t xml:space="preserve"> spp. no sudoeste piauiense, ao longo de três anos de monitoramento. </w:t>
      </w:r>
    </w:p>
    <w:tbl>
      <w:tblPr>
        <w:tblW w:w="5000" w:type="pct"/>
        <w:tblCellMar>
          <w:left w:w="70" w:type="dxa"/>
          <w:right w:w="70" w:type="dxa"/>
        </w:tblCellMar>
        <w:tblLook w:val="04A0" w:firstRow="1" w:lastRow="0" w:firstColumn="1" w:lastColumn="0" w:noHBand="0" w:noVBand="1"/>
      </w:tblPr>
      <w:tblGrid>
        <w:gridCol w:w="1492"/>
        <w:gridCol w:w="1492"/>
        <w:gridCol w:w="1492"/>
        <w:gridCol w:w="1492"/>
        <w:gridCol w:w="1615"/>
        <w:gridCol w:w="1492"/>
      </w:tblGrid>
      <w:tr w:rsidR="007F68E4" w:rsidRPr="009D4D14" w14:paraId="379E7379" w14:textId="77777777" w:rsidTr="007F68E4">
        <w:trPr>
          <w:trHeight w:val="360"/>
        </w:trPr>
        <w:tc>
          <w:tcPr>
            <w:tcW w:w="822" w:type="pct"/>
            <w:tcBorders>
              <w:top w:val="single" w:sz="4" w:space="0" w:color="auto"/>
              <w:left w:val="nil"/>
              <w:bottom w:val="single" w:sz="4" w:space="0" w:color="auto"/>
              <w:right w:val="nil"/>
            </w:tcBorders>
            <w:shd w:val="clear" w:color="auto" w:fill="auto"/>
            <w:noWrap/>
            <w:vAlign w:val="center"/>
            <w:hideMark/>
          </w:tcPr>
          <w:p w14:paraId="67BC67C3" w14:textId="77777777" w:rsidR="007F68E4" w:rsidRPr="00674716" w:rsidRDefault="007F68E4" w:rsidP="007F68E4">
            <w:pPr>
              <w:widowControl/>
              <w:jc w:val="center"/>
              <w:rPr>
                <w:b/>
                <w:bCs/>
                <w:color w:val="000000"/>
                <w:lang w:bidi="ar-SA"/>
              </w:rPr>
            </w:pPr>
            <w:r w:rsidRPr="00674716">
              <w:rPr>
                <w:b/>
                <w:bCs/>
                <w:color w:val="000000"/>
                <w:lang w:bidi="ar-SA"/>
              </w:rPr>
              <w:t>Clone</w:t>
            </w:r>
          </w:p>
        </w:tc>
        <w:tc>
          <w:tcPr>
            <w:tcW w:w="822" w:type="pct"/>
            <w:tcBorders>
              <w:top w:val="single" w:sz="4" w:space="0" w:color="auto"/>
              <w:left w:val="nil"/>
              <w:bottom w:val="single" w:sz="4" w:space="0" w:color="auto"/>
              <w:right w:val="nil"/>
            </w:tcBorders>
            <w:shd w:val="clear" w:color="auto" w:fill="auto"/>
            <w:noWrap/>
            <w:vAlign w:val="center"/>
            <w:hideMark/>
          </w:tcPr>
          <w:p w14:paraId="41E593DC" w14:textId="77777777" w:rsidR="007F68E4" w:rsidRPr="00674716" w:rsidRDefault="007F68E4" w:rsidP="007F68E4">
            <w:pPr>
              <w:widowControl/>
              <w:jc w:val="center"/>
              <w:rPr>
                <w:b/>
                <w:bCs/>
                <w:color w:val="000000"/>
                <w:lang w:bidi="ar-SA"/>
              </w:rPr>
            </w:pPr>
            <w:r w:rsidRPr="00674716">
              <w:rPr>
                <w:b/>
                <w:bCs/>
                <w:color w:val="000000"/>
                <w:lang w:bidi="ar-SA"/>
              </w:rPr>
              <w:t>T (ºC)</w:t>
            </w:r>
          </w:p>
        </w:tc>
        <w:tc>
          <w:tcPr>
            <w:tcW w:w="822" w:type="pct"/>
            <w:tcBorders>
              <w:top w:val="single" w:sz="4" w:space="0" w:color="auto"/>
              <w:left w:val="nil"/>
              <w:bottom w:val="single" w:sz="4" w:space="0" w:color="auto"/>
              <w:right w:val="nil"/>
            </w:tcBorders>
            <w:shd w:val="clear" w:color="auto" w:fill="auto"/>
            <w:noWrap/>
            <w:vAlign w:val="center"/>
            <w:hideMark/>
          </w:tcPr>
          <w:p w14:paraId="1F66279B" w14:textId="77777777" w:rsidR="007F68E4" w:rsidRPr="00674716" w:rsidRDefault="007F68E4" w:rsidP="007F68E4">
            <w:pPr>
              <w:widowControl/>
              <w:jc w:val="center"/>
              <w:rPr>
                <w:b/>
                <w:bCs/>
                <w:color w:val="000000"/>
                <w:lang w:bidi="ar-SA"/>
              </w:rPr>
            </w:pPr>
            <w:r w:rsidRPr="00674716">
              <w:rPr>
                <w:b/>
                <w:bCs/>
                <w:color w:val="000000"/>
                <w:lang w:bidi="ar-SA"/>
              </w:rPr>
              <w:t>T</w:t>
            </w:r>
            <w:r w:rsidRPr="00674716">
              <w:rPr>
                <w:b/>
                <w:bCs/>
                <w:color w:val="000000"/>
                <w:vertAlign w:val="subscript"/>
                <w:lang w:bidi="ar-SA"/>
              </w:rPr>
              <w:t>max</w:t>
            </w:r>
            <w:r w:rsidRPr="00674716">
              <w:rPr>
                <w:b/>
                <w:bCs/>
                <w:color w:val="000000"/>
                <w:lang w:bidi="ar-SA"/>
              </w:rPr>
              <w:t xml:space="preserve"> (ºC)</w:t>
            </w:r>
          </w:p>
        </w:tc>
        <w:tc>
          <w:tcPr>
            <w:tcW w:w="822" w:type="pct"/>
            <w:tcBorders>
              <w:top w:val="single" w:sz="4" w:space="0" w:color="auto"/>
              <w:left w:val="nil"/>
              <w:bottom w:val="single" w:sz="4" w:space="0" w:color="auto"/>
              <w:right w:val="nil"/>
            </w:tcBorders>
            <w:shd w:val="clear" w:color="auto" w:fill="auto"/>
            <w:noWrap/>
            <w:vAlign w:val="center"/>
            <w:hideMark/>
          </w:tcPr>
          <w:p w14:paraId="2D0A2021" w14:textId="77777777" w:rsidR="007F68E4" w:rsidRPr="00674716" w:rsidRDefault="007F68E4" w:rsidP="007F68E4">
            <w:pPr>
              <w:widowControl/>
              <w:jc w:val="center"/>
              <w:rPr>
                <w:b/>
                <w:bCs/>
                <w:color w:val="000000"/>
                <w:lang w:bidi="ar-SA"/>
              </w:rPr>
            </w:pPr>
            <w:r w:rsidRPr="00674716">
              <w:rPr>
                <w:b/>
                <w:bCs/>
                <w:color w:val="000000"/>
                <w:lang w:bidi="ar-SA"/>
              </w:rPr>
              <w:t>V (m/s)</w:t>
            </w:r>
          </w:p>
        </w:tc>
        <w:tc>
          <w:tcPr>
            <w:tcW w:w="890" w:type="pct"/>
            <w:tcBorders>
              <w:top w:val="single" w:sz="4" w:space="0" w:color="auto"/>
              <w:left w:val="nil"/>
              <w:bottom w:val="single" w:sz="4" w:space="0" w:color="auto"/>
              <w:right w:val="nil"/>
            </w:tcBorders>
            <w:shd w:val="clear" w:color="auto" w:fill="auto"/>
            <w:noWrap/>
            <w:vAlign w:val="center"/>
            <w:hideMark/>
          </w:tcPr>
          <w:p w14:paraId="787F5C04" w14:textId="77777777" w:rsidR="007F68E4" w:rsidRPr="00674716" w:rsidRDefault="007F68E4" w:rsidP="007F68E4">
            <w:pPr>
              <w:widowControl/>
              <w:jc w:val="center"/>
              <w:rPr>
                <w:b/>
                <w:bCs/>
                <w:color w:val="000000"/>
                <w:lang w:bidi="ar-SA"/>
              </w:rPr>
            </w:pPr>
            <w:r w:rsidRPr="00674716">
              <w:rPr>
                <w:b/>
                <w:bCs/>
                <w:color w:val="000000"/>
                <w:lang w:bidi="ar-SA"/>
              </w:rPr>
              <w:t>R (KJ/m²)</w:t>
            </w:r>
          </w:p>
        </w:tc>
        <w:tc>
          <w:tcPr>
            <w:tcW w:w="822" w:type="pct"/>
            <w:tcBorders>
              <w:top w:val="single" w:sz="4" w:space="0" w:color="auto"/>
              <w:left w:val="nil"/>
              <w:bottom w:val="single" w:sz="4" w:space="0" w:color="auto"/>
              <w:right w:val="nil"/>
            </w:tcBorders>
            <w:shd w:val="clear" w:color="auto" w:fill="auto"/>
            <w:noWrap/>
            <w:vAlign w:val="center"/>
            <w:hideMark/>
          </w:tcPr>
          <w:p w14:paraId="48F9F0FA" w14:textId="77777777" w:rsidR="007F68E4" w:rsidRPr="00674716" w:rsidRDefault="007F68E4" w:rsidP="007F68E4">
            <w:pPr>
              <w:widowControl/>
              <w:jc w:val="center"/>
              <w:rPr>
                <w:b/>
                <w:bCs/>
                <w:color w:val="000000"/>
                <w:lang w:bidi="ar-SA"/>
              </w:rPr>
            </w:pPr>
            <w:r w:rsidRPr="00674716">
              <w:rPr>
                <w:b/>
                <w:bCs/>
                <w:color w:val="000000"/>
                <w:lang w:bidi="ar-SA"/>
              </w:rPr>
              <w:t>P (mm)</w:t>
            </w:r>
          </w:p>
        </w:tc>
      </w:tr>
      <w:tr w:rsidR="007F68E4" w:rsidRPr="009D4D14" w14:paraId="63002851" w14:textId="77777777" w:rsidTr="007F68E4">
        <w:trPr>
          <w:trHeight w:val="300"/>
        </w:trPr>
        <w:tc>
          <w:tcPr>
            <w:tcW w:w="822" w:type="pct"/>
            <w:tcBorders>
              <w:top w:val="nil"/>
              <w:left w:val="nil"/>
              <w:bottom w:val="nil"/>
              <w:right w:val="nil"/>
            </w:tcBorders>
            <w:shd w:val="clear" w:color="auto" w:fill="auto"/>
            <w:noWrap/>
            <w:vAlign w:val="center"/>
            <w:hideMark/>
          </w:tcPr>
          <w:p w14:paraId="54C0BBD4" w14:textId="3296EF68" w:rsidR="007F68E4" w:rsidRPr="00674716" w:rsidRDefault="007F68E4" w:rsidP="007F68E4">
            <w:pPr>
              <w:widowControl/>
              <w:jc w:val="center"/>
              <w:rPr>
                <w:color w:val="000000"/>
                <w:lang w:bidi="ar-SA"/>
              </w:rPr>
            </w:pPr>
            <w:r w:rsidRPr="00674716">
              <w:rPr>
                <w:color w:val="000000"/>
                <w:lang w:bidi="ar-SA"/>
              </w:rPr>
              <w:t>AR 01</w:t>
            </w:r>
          </w:p>
        </w:tc>
        <w:tc>
          <w:tcPr>
            <w:tcW w:w="822" w:type="pct"/>
            <w:tcBorders>
              <w:top w:val="nil"/>
              <w:left w:val="nil"/>
              <w:bottom w:val="nil"/>
              <w:right w:val="nil"/>
            </w:tcBorders>
            <w:shd w:val="clear" w:color="auto" w:fill="auto"/>
            <w:noWrap/>
            <w:vAlign w:val="center"/>
            <w:hideMark/>
          </w:tcPr>
          <w:p w14:paraId="00F289D0" w14:textId="77777777" w:rsidR="007F68E4" w:rsidRPr="00674716" w:rsidRDefault="007F68E4" w:rsidP="007F68E4">
            <w:pPr>
              <w:widowControl/>
              <w:jc w:val="center"/>
              <w:rPr>
                <w:color w:val="000000"/>
                <w:lang w:bidi="ar-SA"/>
              </w:rPr>
            </w:pPr>
            <w:r w:rsidRPr="00674716">
              <w:rPr>
                <w:color w:val="000000"/>
                <w:lang w:bidi="ar-SA"/>
              </w:rPr>
              <w:t>-0,27</w:t>
            </w:r>
          </w:p>
        </w:tc>
        <w:tc>
          <w:tcPr>
            <w:tcW w:w="822" w:type="pct"/>
            <w:tcBorders>
              <w:top w:val="nil"/>
              <w:left w:val="nil"/>
              <w:bottom w:val="nil"/>
              <w:right w:val="nil"/>
            </w:tcBorders>
            <w:shd w:val="clear" w:color="auto" w:fill="auto"/>
            <w:noWrap/>
            <w:vAlign w:val="center"/>
            <w:hideMark/>
          </w:tcPr>
          <w:p w14:paraId="739DA336" w14:textId="77777777" w:rsidR="007F68E4" w:rsidRPr="00674716" w:rsidRDefault="007F68E4" w:rsidP="007F68E4">
            <w:pPr>
              <w:widowControl/>
              <w:jc w:val="center"/>
              <w:rPr>
                <w:color w:val="000000"/>
                <w:lang w:bidi="ar-SA"/>
              </w:rPr>
            </w:pPr>
            <w:r w:rsidRPr="00674716">
              <w:rPr>
                <w:color w:val="000000"/>
                <w:lang w:bidi="ar-SA"/>
              </w:rPr>
              <w:t>0,02</w:t>
            </w:r>
          </w:p>
        </w:tc>
        <w:tc>
          <w:tcPr>
            <w:tcW w:w="822" w:type="pct"/>
            <w:tcBorders>
              <w:top w:val="nil"/>
              <w:left w:val="nil"/>
              <w:bottom w:val="nil"/>
              <w:right w:val="nil"/>
            </w:tcBorders>
            <w:shd w:val="clear" w:color="auto" w:fill="auto"/>
            <w:noWrap/>
            <w:vAlign w:val="center"/>
            <w:hideMark/>
          </w:tcPr>
          <w:p w14:paraId="018B46BC" w14:textId="77777777" w:rsidR="007F68E4" w:rsidRPr="00674716" w:rsidRDefault="007F68E4" w:rsidP="007F68E4">
            <w:pPr>
              <w:widowControl/>
              <w:jc w:val="center"/>
              <w:rPr>
                <w:color w:val="000000"/>
                <w:lang w:bidi="ar-SA"/>
              </w:rPr>
            </w:pPr>
            <w:r w:rsidRPr="00674716">
              <w:rPr>
                <w:color w:val="000000"/>
                <w:lang w:bidi="ar-SA"/>
              </w:rPr>
              <w:t>0,04</w:t>
            </w:r>
          </w:p>
        </w:tc>
        <w:tc>
          <w:tcPr>
            <w:tcW w:w="890" w:type="pct"/>
            <w:tcBorders>
              <w:top w:val="nil"/>
              <w:left w:val="nil"/>
              <w:bottom w:val="nil"/>
              <w:right w:val="nil"/>
            </w:tcBorders>
            <w:shd w:val="clear" w:color="auto" w:fill="auto"/>
            <w:noWrap/>
            <w:vAlign w:val="center"/>
            <w:hideMark/>
          </w:tcPr>
          <w:p w14:paraId="5725398A" w14:textId="77777777" w:rsidR="007F68E4" w:rsidRPr="00674716" w:rsidRDefault="007F68E4" w:rsidP="007F68E4">
            <w:pPr>
              <w:widowControl/>
              <w:jc w:val="center"/>
              <w:rPr>
                <w:color w:val="000000"/>
                <w:lang w:bidi="ar-SA"/>
              </w:rPr>
            </w:pPr>
            <w:r w:rsidRPr="00674716">
              <w:rPr>
                <w:color w:val="000000"/>
                <w:lang w:bidi="ar-SA"/>
              </w:rPr>
              <w:t>-0,04</w:t>
            </w:r>
          </w:p>
        </w:tc>
        <w:tc>
          <w:tcPr>
            <w:tcW w:w="822" w:type="pct"/>
            <w:tcBorders>
              <w:top w:val="nil"/>
              <w:left w:val="nil"/>
              <w:bottom w:val="nil"/>
              <w:right w:val="nil"/>
            </w:tcBorders>
            <w:shd w:val="clear" w:color="auto" w:fill="auto"/>
            <w:noWrap/>
            <w:vAlign w:val="center"/>
            <w:hideMark/>
          </w:tcPr>
          <w:p w14:paraId="4A1D5985" w14:textId="77777777" w:rsidR="007F68E4" w:rsidRPr="00674716" w:rsidRDefault="007F68E4" w:rsidP="007F68E4">
            <w:pPr>
              <w:widowControl/>
              <w:jc w:val="center"/>
              <w:rPr>
                <w:color w:val="000000"/>
                <w:lang w:bidi="ar-SA"/>
              </w:rPr>
            </w:pPr>
            <w:r w:rsidRPr="00674716">
              <w:rPr>
                <w:color w:val="000000"/>
                <w:lang w:bidi="ar-SA"/>
              </w:rPr>
              <w:t>0,50</w:t>
            </w:r>
          </w:p>
        </w:tc>
      </w:tr>
      <w:tr w:rsidR="007F68E4" w:rsidRPr="009D4D14" w14:paraId="2E118F3B" w14:textId="77777777" w:rsidTr="007F68E4">
        <w:trPr>
          <w:trHeight w:val="300"/>
        </w:trPr>
        <w:tc>
          <w:tcPr>
            <w:tcW w:w="822" w:type="pct"/>
            <w:tcBorders>
              <w:top w:val="nil"/>
              <w:left w:val="nil"/>
              <w:bottom w:val="nil"/>
              <w:right w:val="nil"/>
            </w:tcBorders>
            <w:shd w:val="clear" w:color="auto" w:fill="auto"/>
            <w:noWrap/>
            <w:vAlign w:val="center"/>
            <w:hideMark/>
          </w:tcPr>
          <w:p w14:paraId="1817A5F0" w14:textId="77777777" w:rsidR="007F68E4" w:rsidRPr="00674716" w:rsidRDefault="007F68E4" w:rsidP="007F68E4">
            <w:pPr>
              <w:widowControl/>
              <w:jc w:val="center"/>
              <w:rPr>
                <w:color w:val="000000"/>
                <w:lang w:bidi="ar-SA"/>
              </w:rPr>
            </w:pPr>
            <w:r w:rsidRPr="00674716">
              <w:rPr>
                <w:color w:val="000000"/>
                <w:lang w:bidi="ar-SA"/>
              </w:rPr>
              <w:t>KL 103</w:t>
            </w:r>
          </w:p>
        </w:tc>
        <w:tc>
          <w:tcPr>
            <w:tcW w:w="822" w:type="pct"/>
            <w:tcBorders>
              <w:top w:val="nil"/>
              <w:left w:val="nil"/>
              <w:bottom w:val="nil"/>
              <w:right w:val="nil"/>
            </w:tcBorders>
            <w:shd w:val="clear" w:color="auto" w:fill="auto"/>
            <w:noWrap/>
            <w:vAlign w:val="center"/>
            <w:hideMark/>
          </w:tcPr>
          <w:p w14:paraId="5E459AFD" w14:textId="77777777" w:rsidR="007F68E4" w:rsidRPr="00674716" w:rsidRDefault="007F68E4" w:rsidP="007F68E4">
            <w:pPr>
              <w:widowControl/>
              <w:jc w:val="center"/>
              <w:rPr>
                <w:color w:val="000000"/>
                <w:lang w:bidi="ar-SA"/>
              </w:rPr>
            </w:pPr>
            <w:r w:rsidRPr="00674716">
              <w:rPr>
                <w:color w:val="000000"/>
                <w:lang w:bidi="ar-SA"/>
              </w:rPr>
              <w:t>-0,11</w:t>
            </w:r>
          </w:p>
        </w:tc>
        <w:tc>
          <w:tcPr>
            <w:tcW w:w="822" w:type="pct"/>
            <w:tcBorders>
              <w:top w:val="nil"/>
              <w:left w:val="nil"/>
              <w:bottom w:val="nil"/>
              <w:right w:val="nil"/>
            </w:tcBorders>
            <w:shd w:val="clear" w:color="auto" w:fill="auto"/>
            <w:noWrap/>
            <w:vAlign w:val="center"/>
            <w:hideMark/>
          </w:tcPr>
          <w:p w14:paraId="2F57BB98" w14:textId="77777777" w:rsidR="007F68E4" w:rsidRPr="00674716" w:rsidRDefault="007F68E4" w:rsidP="007F68E4">
            <w:pPr>
              <w:widowControl/>
              <w:jc w:val="center"/>
              <w:rPr>
                <w:color w:val="000000"/>
                <w:lang w:bidi="ar-SA"/>
              </w:rPr>
            </w:pPr>
            <w:r w:rsidRPr="00674716">
              <w:rPr>
                <w:color w:val="000000"/>
                <w:lang w:bidi="ar-SA"/>
              </w:rPr>
              <w:t>-0,06</w:t>
            </w:r>
          </w:p>
        </w:tc>
        <w:tc>
          <w:tcPr>
            <w:tcW w:w="822" w:type="pct"/>
            <w:tcBorders>
              <w:top w:val="nil"/>
              <w:left w:val="nil"/>
              <w:bottom w:val="nil"/>
              <w:right w:val="nil"/>
            </w:tcBorders>
            <w:shd w:val="clear" w:color="auto" w:fill="auto"/>
            <w:noWrap/>
            <w:vAlign w:val="center"/>
            <w:hideMark/>
          </w:tcPr>
          <w:p w14:paraId="53C48E55" w14:textId="77777777" w:rsidR="007F68E4" w:rsidRPr="00674716" w:rsidRDefault="007F68E4" w:rsidP="007F68E4">
            <w:pPr>
              <w:widowControl/>
              <w:jc w:val="center"/>
              <w:rPr>
                <w:color w:val="000000"/>
                <w:lang w:bidi="ar-SA"/>
              </w:rPr>
            </w:pPr>
            <w:r w:rsidRPr="00674716">
              <w:rPr>
                <w:color w:val="000000"/>
                <w:lang w:bidi="ar-SA"/>
              </w:rPr>
              <w:t>-0,31</w:t>
            </w:r>
          </w:p>
        </w:tc>
        <w:tc>
          <w:tcPr>
            <w:tcW w:w="890" w:type="pct"/>
            <w:tcBorders>
              <w:top w:val="nil"/>
              <w:left w:val="nil"/>
              <w:bottom w:val="nil"/>
              <w:right w:val="nil"/>
            </w:tcBorders>
            <w:shd w:val="clear" w:color="auto" w:fill="auto"/>
            <w:noWrap/>
            <w:vAlign w:val="center"/>
            <w:hideMark/>
          </w:tcPr>
          <w:p w14:paraId="36954419" w14:textId="77777777" w:rsidR="007F68E4" w:rsidRPr="00674716" w:rsidRDefault="007F68E4" w:rsidP="007F68E4">
            <w:pPr>
              <w:widowControl/>
              <w:jc w:val="center"/>
              <w:rPr>
                <w:color w:val="000000"/>
                <w:lang w:bidi="ar-SA"/>
              </w:rPr>
            </w:pPr>
            <w:r w:rsidRPr="00674716">
              <w:rPr>
                <w:color w:val="000000"/>
                <w:lang w:bidi="ar-SA"/>
              </w:rPr>
              <w:t>0,10</w:t>
            </w:r>
          </w:p>
        </w:tc>
        <w:tc>
          <w:tcPr>
            <w:tcW w:w="822" w:type="pct"/>
            <w:tcBorders>
              <w:top w:val="nil"/>
              <w:left w:val="nil"/>
              <w:bottom w:val="nil"/>
              <w:right w:val="nil"/>
            </w:tcBorders>
            <w:shd w:val="clear" w:color="auto" w:fill="auto"/>
            <w:noWrap/>
            <w:vAlign w:val="center"/>
            <w:hideMark/>
          </w:tcPr>
          <w:p w14:paraId="1762382B" w14:textId="77777777" w:rsidR="007F68E4" w:rsidRPr="00674716" w:rsidRDefault="007F68E4" w:rsidP="007F68E4">
            <w:pPr>
              <w:widowControl/>
              <w:jc w:val="center"/>
              <w:rPr>
                <w:color w:val="000000"/>
                <w:lang w:bidi="ar-SA"/>
              </w:rPr>
            </w:pPr>
            <w:r w:rsidRPr="00674716">
              <w:rPr>
                <w:color w:val="000000"/>
                <w:lang w:bidi="ar-SA"/>
              </w:rPr>
              <w:t>0,13</w:t>
            </w:r>
          </w:p>
        </w:tc>
      </w:tr>
      <w:tr w:rsidR="007F68E4" w:rsidRPr="009D4D14" w14:paraId="1338C66C" w14:textId="77777777" w:rsidTr="007F68E4">
        <w:trPr>
          <w:trHeight w:val="300"/>
        </w:trPr>
        <w:tc>
          <w:tcPr>
            <w:tcW w:w="822" w:type="pct"/>
            <w:tcBorders>
              <w:top w:val="nil"/>
              <w:left w:val="nil"/>
              <w:bottom w:val="nil"/>
              <w:right w:val="nil"/>
            </w:tcBorders>
            <w:shd w:val="clear" w:color="auto" w:fill="auto"/>
            <w:noWrap/>
            <w:vAlign w:val="center"/>
            <w:hideMark/>
          </w:tcPr>
          <w:p w14:paraId="72B09A74" w14:textId="77777777" w:rsidR="007F68E4" w:rsidRPr="00674716" w:rsidRDefault="007F68E4" w:rsidP="007F68E4">
            <w:pPr>
              <w:widowControl/>
              <w:jc w:val="center"/>
              <w:rPr>
                <w:color w:val="000000"/>
                <w:lang w:bidi="ar-SA"/>
              </w:rPr>
            </w:pPr>
            <w:r w:rsidRPr="00674716">
              <w:rPr>
                <w:color w:val="000000"/>
                <w:lang w:bidi="ar-SA"/>
              </w:rPr>
              <w:t>KL 104</w:t>
            </w:r>
          </w:p>
        </w:tc>
        <w:tc>
          <w:tcPr>
            <w:tcW w:w="822" w:type="pct"/>
            <w:tcBorders>
              <w:top w:val="nil"/>
              <w:left w:val="nil"/>
              <w:bottom w:val="nil"/>
              <w:right w:val="nil"/>
            </w:tcBorders>
            <w:shd w:val="clear" w:color="auto" w:fill="auto"/>
            <w:noWrap/>
            <w:vAlign w:val="center"/>
            <w:hideMark/>
          </w:tcPr>
          <w:p w14:paraId="7C22540A" w14:textId="77777777" w:rsidR="007F68E4" w:rsidRPr="00674716" w:rsidRDefault="007F68E4" w:rsidP="007F68E4">
            <w:pPr>
              <w:widowControl/>
              <w:jc w:val="center"/>
              <w:rPr>
                <w:color w:val="000000"/>
                <w:lang w:bidi="ar-SA"/>
              </w:rPr>
            </w:pPr>
            <w:r w:rsidRPr="00674716">
              <w:rPr>
                <w:color w:val="000000"/>
                <w:lang w:bidi="ar-SA"/>
              </w:rPr>
              <w:t>-0,28</w:t>
            </w:r>
          </w:p>
        </w:tc>
        <w:tc>
          <w:tcPr>
            <w:tcW w:w="822" w:type="pct"/>
            <w:tcBorders>
              <w:top w:val="nil"/>
              <w:left w:val="nil"/>
              <w:bottom w:val="nil"/>
              <w:right w:val="nil"/>
            </w:tcBorders>
            <w:shd w:val="clear" w:color="auto" w:fill="auto"/>
            <w:noWrap/>
            <w:vAlign w:val="center"/>
            <w:hideMark/>
          </w:tcPr>
          <w:p w14:paraId="4BFF063C" w14:textId="77777777" w:rsidR="007F68E4" w:rsidRPr="00674716" w:rsidRDefault="007F68E4" w:rsidP="007F68E4">
            <w:pPr>
              <w:widowControl/>
              <w:jc w:val="center"/>
              <w:rPr>
                <w:color w:val="000000"/>
                <w:lang w:bidi="ar-SA"/>
              </w:rPr>
            </w:pPr>
            <w:r w:rsidRPr="00674716">
              <w:rPr>
                <w:color w:val="000000"/>
                <w:lang w:bidi="ar-SA"/>
              </w:rPr>
              <w:t>-0,10</w:t>
            </w:r>
          </w:p>
        </w:tc>
        <w:tc>
          <w:tcPr>
            <w:tcW w:w="822" w:type="pct"/>
            <w:tcBorders>
              <w:top w:val="nil"/>
              <w:left w:val="nil"/>
              <w:bottom w:val="nil"/>
              <w:right w:val="nil"/>
            </w:tcBorders>
            <w:shd w:val="clear" w:color="auto" w:fill="auto"/>
            <w:noWrap/>
            <w:vAlign w:val="center"/>
            <w:hideMark/>
          </w:tcPr>
          <w:p w14:paraId="119EF65B" w14:textId="77777777" w:rsidR="007F68E4" w:rsidRPr="00674716" w:rsidRDefault="007F68E4" w:rsidP="007F68E4">
            <w:pPr>
              <w:widowControl/>
              <w:jc w:val="center"/>
              <w:rPr>
                <w:color w:val="000000"/>
                <w:lang w:bidi="ar-SA"/>
              </w:rPr>
            </w:pPr>
            <w:r w:rsidRPr="00674716">
              <w:rPr>
                <w:color w:val="000000"/>
                <w:lang w:bidi="ar-SA"/>
              </w:rPr>
              <w:t>-0,02</w:t>
            </w:r>
          </w:p>
        </w:tc>
        <w:tc>
          <w:tcPr>
            <w:tcW w:w="890" w:type="pct"/>
            <w:tcBorders>
              <w:top w:val="nil"/>
              <w:left w:val="nil"/>
              <w:bottom w:val="nil"/>
              <w:right w:val="nil"/>
            </w:tcBorders>
            <w:shd w:val="clear" w:color="auto" w:fill="auto"/>
            <w:noWrap/>
            <w:vAlign w:val="center"/>
            <w:hideMark/>
          </w:tcPr>
          <w:p w14:paraId="1A5DAA46" w14:textId="77777777" w:rsidR="007F68E4" w:rsidRPr="00674716" w:rsidRDefault="007F68E4" w:rsidP="007F68E4">
            <w:pPr>
              <w:widowControl/>
              <w:jc w:val="center"/>
              <w:rPr>
                <w:color w:val="000000"/>
                <w:lang w:bidi="ar-SA"/>
              </w:rPr>
            </w:pPr>
            <w:r w:rsidRPr="00674716">
              <w:rPr>
                <w:color w:val="000000"/>
                <w:lang w:bidi="ar-SA"/>
              </w:rPr>
              <w:t>0,04</w:t>
            </w:r>
          </w:p>
        </w:tc>
        <w:tc>
          <w:tcPr>
            <w:tcW w:w="822" w:type="pct"/>
            <w:tcBorders>
              <w:top w:val="nil"/>
              <w:left w:val="nil"/>
              <w:bottom w:val="nil"/>
              <w:right w:val="nil"/>
            </w:tcBorders>
            <w:shd w:val="clear" w:color="auto" w:fill="auto"/>
            <w:noWrap/>
            <w:vAlign w:val="center"/>
            <w:hideMark/>
          </w:tcPr>
          <w:p w14:paraId="1659EF29" w14:textId="77777777" w:rsidR="007F68E4" w:rsidRPr="00674716" w:rsidRDefault="007F68E4" w:rsidP="007F68E4">
            <w:pPr>
              <w:widowControl/>
              <w:jc w:val="center"/>
              <w:rPr>
                <w:color w:val="000000"/>
                <w:lang w:bidi="ar-SA"/>
              </w:rPr>
            </w:pPr>
            <w:r w:rsidRPr="00674716">
              <w:rPr>
                <w:color w:val="000000"/>
                <w:lang w:bidi="ar-SA"/>
              </w:rPr>
              <w:t>0,38</w:t>
            </w:r>
          </w:p>
        </w:tc>
      </w:tr>
      <w:tr w:rsidR="007F68E4" w:rsidRPr="009D4D14" w14:paraId="2D5FB6B8" w14:textId="77777777" w:rsidTr="007F68E4">
        <w:trPr>
          <w:trHeight w:val="300"/>
        </w:trPr>
        <w:tc>
          <w:tcPr>
            <w:tcW w:w="822" w:type="pct"/>
            <w:tcBorders>
              <w:top w:val="nil"/>
              <w:left w:val="nil"/>
              <w:bottom w:val="nil"/>
              <w:right w:val="nil"/>
            </w:tcBorders>
            <w:shd w:val="clear" w:color="auto" w:fill="auto"/>
            <w:noWrap/>
            <w:vAlign w:val="center"/>
            <w:hideMark/>
          </w:tcPr>
          <w:p w14:paraId="0420DE80" w14:textId="77777777" w:rsidR="007F68E4" w:rsidRPr="00674716" w:rsidRDefault="007F68E4" w:rsidP="007F68E4">
            <w:pPr>
              <w:widowControl/>
              <w:jc w:val="center"/>
              <w:rPr>
                <w:color w:val="000000"/>
                <w:lang w:bidi="ar-SA"/>
              </w:rPr>
            </w:pPr>
            <w:r w:rsidRPr="00674716">
              <w:rPr>
                <w:color w:val="000000"/>
                <w:lang w:bidi="ar-SA"/>
              </w:rPr>
              <w:t>KL 105</w:t>
            </w:r>
          </w:p>
        </w:tc>
        <w:tc>
          <w:tcPr>
            <w:tcW w:w="822" w:type="pct"/>
            <w:tcBorders>
              <w:top w:val="nil"/>
              <w:left w:val="nil"/>
              <w:bottom w:val="nil"/>
              <w:right w:val="nil"/>
            </w:tcBorders>
            <w:shd w:val="clear" w:color="auto" w:fill="auto"/>
            <w:noWrap/>
            <w:vAlign w:val="center"/>
            <w:hideMark/>
          </w:tcPr>
          <w:p w14:paraId="7C048FFD" w14:textId="77777777" w:rsidR="007F68E4" w:rsidRPr="00674716" w:rsidRDefault="007F68E4" w:rsidP="007F68E4">
            <w:pPr>
              <w:widowControl/>
              <w:jc w:val="center"/>
              <w:rPr>
                <w:color w:val="000000"/>
                <w:lang w:bidi="ar-SA"/>
              </w:rPr>
            </w:pPr>
            <w:r w:rsidRPr="00674716">
              <w:rPr>
                <w:color w:val="000000"/>
                <w:lang w:bidi="ar-SA"/>
              </w:rPr>
              <w:t>0,19</w:t>
            </w:r>
          </w:p>
        </w:tc>
        <w:tc>
          <w:tcPr>
            <w:tcW w:w="822" w:type="pct"/>
            <w:tcBorders>
              <w:top w:val="nil"/>
              <w:left w:val="nil"/>
              <w:bottom w:val="nil"/>
              <w:right w:val="nil"/>
            </w:tcBorders>
            <w:shd w:val="clear" w:color="auto" w:fill="auto"/>
            <w:noWrap/>
            <w:vAlign w:val="center"/>
            <w:hideMark/>
          </w:tcPr>
          <w:p w14:paraId="5614E5A7" w14:textId="77777777" w:rsidR="007F68E4" w:rsidRPr="00674716" w:rsidRDefault="007F68E4" w:rsidP="007F68E4">
            <w:pPr>
              <w:widowControl/>
              <w:jc w:val="center"/>
              <w:rPr>
                <w:color w:val="000000"/>
                <w:lang w:bidi="ar-SA"/>
              </w:rPr>
            </w:pPr>
            <w:r w:rsidRPr="00674716">
              <w:rPr>
                <w:color w:val="000000"/>
                <w:lang w:bidi="ar-SA"/>
              </w:rPr>
              <w:t>0,21</w:t>
            </w:r>
          </w:p>
        </w:tc>
        <w:tc>
          <w:tcPr>
            <w:tcW w:w="822" w:type="pct"/>
            <w:tcBorders>
              <w:top w:val="nil"/>
              <w:left w:val="nil"/>
              <w:bottom w:val="nil"/>
              <w:right w:val="nil"/>
            </w:tcBorders>
            <w:shd w:val="clear" w:color="auto" w:fill="auto"/>
            <w:noWrap/>
            <w:vAlign w:val="center"/>
            <w:hideMark/>
          </w:tcPr>
          <w:p w14:paraId="7ABB2489" w14:textId="77777777" w:rsidR="007F68E4" w:rsidRPr="00674716" w:rsidRDefault="007F68E4" w:rsidP="007F68E4">
            <w:pPr>
              <w:widowControl/>
              <w:jc w:val="center"/>
              <w:rPr>
                <w:color w:val="000000"/>
                <w:lang w:bidi="ar-SA"/>
              </w:rPr>
            </w:pPr>
            <w:r w:rsidRPr="00674716">
              <w:rPr>
                <w:color w:val="000000"/>
                <w:lang w:bidi="ar-SA"/>
              </w:rPr>
              <w:t>0,20</w:t>
            </w:r>
          </w:p>
        </w:tc>
        <w:tc>
          <w:tcPr>
            <w:tcW w:w="890" w:type="pct"/>
            <w:tcBorders>
              <w:top w:val="nil"/>
              <w:left w:val="nil"/>
              <w:bottom w:val="nil"/>
              <w:right w:val="nil"/>
            </w:tcBorders>
            <w:shd w:val="clear" w:color="auto" w:fill="auto"/>
            <w:noWrap/>
            <w:vAlign w:val="center"/>
            <w:hideMark/>
          </w:tcPr>
          <w:p w14:paraId="7875990C" w14:textId="77777777" w:rsidR="007F68E4" w:rsidRPr="00674716" w:rsidRDefault="007F68E4" w:rsidP="007F68E4">
            <w:pPr>
              <w:widowControl/>
              <w:jc w:val="center"/>
              <w:rPr>
                <w:color w:val="000000"/>
                <w:lang w:bidi="ar-SA"/>
              </w:rPr>
            </w:pPr>
            <w:r w:rsidRPr="00674716">
              <w:rPr>
                <w:color w:val="000000"/>
                <w:lang w:bidi="ar-SA"/>
              </w:rPr>
              <w:t>0,21</w:t>
            </w:r>
          </w:p>
        </w:tc>
        <w:tc>
          <w:tcPr>
            <w:tcW w:w="822" w:type="pct"/>
            <w:tcBorders>
              <w:top w:val="nil"/>
              <w:left w:val="nil"/>
              <w:bottom w:val="nil"/>
              <w:right w:val="nil"/>
            </w:tcBorders>
            <w:shd w:val="clear" w:color="auto" w:fill="auto"/>
            <w:noWrap/>
            <w:vAlign w:val="center"/>
            <w:hideMark/>
          </w:tcPr>
          <w:p w14:paraId="527D562C" w14:textId="77777777" w:rsidR="007F68E4" w:rsidRPr="00674716" w:rsidRDefault="007F68E4" w:rsidP="007F68E4">
            <w:pPr>
              <w:widowControl/>
              <w:jc w:val="center"/>
              <w:rPr>
                <w:color w:val="000000"/>
                <w:lang w:bidi="ar-SA"/>
              </w:rPr>
            </w:pPr>
            <w:r w:rsidRPr="00674716">
              <w:rPr>
                <w:color w:val="000000"/>
                <w:lang w:bidi="ar-SA"/>
              </w:rPr>
              <w:t>0,26</w:t>
            </w:r>
          </w:p>
        </w:tc>
      </w:tr>
      <w:tr w:rsidR="007F68E4" w:rsidRPr="009D4D14" w14:paraId="36744588" w14:textId="77777777" w:rsidTr="007F68E4">
        <w:trPr>
          <w:trHeight w:val="300"/>
        </w:trPr>
        <w:tc>
          <w:tcPr>
            <w:tcW w:w="822" w:type="pct"/>
            <w:tcBorders>
              <w:top w:val="single" w:sz="4" w:space="0" w:color="auto"/>
              <w:left w:val="nil"/>
              <w:bottom w:val="single" w:sz="4" w:space="0" w:color="auto"/>
              <w:right w:val="nil"/>
            </w:tcBorders>
            <w:shd w:val="clear" w:color="auto" w:fill="auto"/>
            <w:noWrap/>
            <w:vAlign w:val="center"/>
            <w:hideMark/>
          </w:tcPr>
          <w:p w14:paraId="4BF1776D" w14:textId="77777777" w:rsidR="007F68E4" w:rsidRPr="00674716" w:rsidRDefault="007F68E4" w:rsidP="007F68E4">
            <w:pPr>
              <w:widowControl/>
              <w:jc w:val="center"/>
              <w:rPr>
                <w:b/>
                <w:bCs/>
                <w:color w:val="000000"/>
                <w:lang w:bidi="ar-SA"/>
              </w:rPr>
            </w:pPr>
            <w:r w:rsidRPr="00674716">
              <w:rPr>
                <w:b/>
                <w:bCs/>
                <w:color w:val="000000"/>
                <w:lang w:bidi="ar-SA"/>
              </w:rPr>
              <w:t>Plantio</w:t>
            </w:r>
          </w:p>
        </w:tc>
        <w:tc>
          <w:tcPr>
            <w:tcW w:w="822" w:type="pct"/>
            <w:tcBorders>
              <w:top w:val="single" w:sz="4" w:space="0" w:color="auto"/>
              <w:left w:val="nil"/>
              <w:bottom w:val="single" w:sz="4" w:space="0" w:color="auto"/>
              <w:right w:val="nil"/>
            </w:tcBorders>
            <w:shd w:val="clear" w:color="auto" w:fill="auto"/>
            <w:noWrap/>
            <w:vAlign w:val="center"/>
            <w:hideMark/>
          </w:tcPr>
          <w:p w14:paraId="097F6E7D" w14:textId="77777777" w:rsidR="007F68E4" w:rsidRPr="00674716" w:rsidRDefault="007F68E4" w:rsidP="007F68E4">
            <w:pPr>
              <w:widowControl/>
              <w:jc w:val="center"/>
              <w:rPr>
                <w:b/>
                <w:bCs/>
                <w:color w:val="000000"/>
                <w:lang w:bidi="ar-SA"/>
              </w:rPr>
            </w:pPr>
            <w:r w:rsidRPr="00674716">
              <w:rPr>
                <w:b/>
                <w:bCs/>
                <w:color w:val="000000"/>
                <w:lang w:bidi="ar-SA"/>
              </w:rPr>
              <w:t>-0,08</w:t>
            </w:r>
          </w:p>
        </w:tc>
        <w:tc>
          <w:tcPr>
            <w:tcW w:w="822" w:type="pct"/>
            <w:tcBorders>
              <w:top w:val="single" w:sz="4" w:space="0" w:color="auto"/>
              <w:left w:val="nil"/>
              <w:bottom w:val="single" w:sz="4" w:space="0" w:color="auto"/>
              <w:right w:val="nil"/>
            </w:tcBorders>
            <w:shd w:val="clear" w:color="auto" w:fill="auto"/>
            <w:noWrap/>
            <w:vAlign w:val="center"/>
            <w:hideMark/>
          </w:tcPr>
          <w:p w14:paraId="78BE555F" w14:textId="77777777" w:rsidR="007F68E4" w:rsidRPr="00674716" w:rsidRDefault="007F68E4" w:rsidP="007F68E4">
            <w:pPr>
              <w:widowControl/>
              <w:jc w:val="center"/>
              <w:rPr>
                <w:b/>
                <w:bCs/>
                <w:color w:val="000000"/>
                <w:lang w:bidi="ar-SA"/>
              </w:rPr>
            </w:pPr>
            <w:r w:rsidRPr="00674716">
              <w:rPr>
                <w:b/>
                <w:bCs/>
                <w:color w:val="000000"/>
                <w:lang w:bidi="ar-SA"/>
              </w:rPr>
              <w:t>0,04</w:t>
            </w:r>
          </w:p>
        </w:tc>
        <w:tc>
          <w:tcPr>
            <w:tcW w:w="822" w:type="pct"/>
            <w:tcBorders>
              <w:top w:val="single" w:sz="4" w:space="0" w:color="auto"/>
              <w:left w:val="nil"/>
              <w:bottom w:val="single" w:sz="4" w:space="0" w:color="auto"/>
              <w:right w:val="nil"/>
            </w:tcBorders>
            <w:shd w:val="clear" w:color="auto" w:fill="auto"/>
            <w:noWrap/>
            <w:vAlign w:val="center"/>
            <w:hideMark/>
          </w:tcPr>
          <w:p w14:paraId="38DE24E8" w14:textId="77777777" w:rsidR="007F68E4" w:rsidRPr="00674716" w:rsidRDefault="007F68E4" w:rsidP="007F68E4">
            <w:pPr>
              <w:widowControl/>
              <w:jc w:val="center"/>
              <w:rPr>
                <w:b/>
                <w:bCs/>
                <w:color w:val="000000"/>
                <w:lang w:bidi="ar-SA"/>
              </w:rPr>
            </w:pPr>
            <w:r w:rsidRPr="00674716">
              <w:rPr>
                <w:b/>
                <w:bCs/>
                <w:color w:val="000000"/>
                <w:lang w:bidi="ar-SA"/>
              </w:rPr>
              <w:t>-0,01</w:t>
            </w:r>
          </w:p>
        </w:tc>
        <w:tc>
          <w:tcPr>
            <w:tcW w:w="890" w:type="pct"/>
            <w:tcBorders>
              <w:top w:val="single" w:sz="4" w:space="0" w:color="auto"/>
              <w:left w:val="nil"/>
              <w:bottom w:val="single" w:sz="4" w:space="0" w:color="auto"/>
              <w:right w:val="nil"/>
            </w:tcBorders>
            <w:shd w:val="clear" w:color="auto" w:fill="auto"/>
            <w:noWrap/>
            <w:vAlign w:val="center"/>
            <w:hideMark/>
          </w:tcPr>
          <w:p w14:paraId="3D3ABAD0" w14:textId="77777777" w:rsidR="007F68E4" w:rsidRPr="00674716" w:rsidRDefault="007F68E4" w:rsidP="007F68E4">
            <w:pPr>
              <w:widowControl/>
              <w:jc w:val="center"/>
              <w:rPr>
                <w:b/>
                <w:bCs/>
                <w:color w:val="000000"/>
                <w:lang w:bidi="ar-SA"/>
              </w:rPr>
            </w:pPr>
            <w:r w:rsidRPr="00674716">
              <w:rPr>
                <w:b/>
                <w:bCs/>
                <w:color w:val="000000"/>
                <w:lang w:bidi="ar-SA"/>
              </w:rPr>
              <w:t>0,14</w:t>
            </w:r>
          </w:p>
        </w:tc>
        <w:tc>
          <w:tcPr>
            <w:tcW w:w="822" w:type="pct"/>
            <w:tcBorders>
              <w:top w:val="single" w:sz="4" w:space="0" w:color="auto"/>
              <w:left w:val="nil"/>
              <w:bottom w:val="single" w:sz="4" w:space="0" w:color="auto"/>
              <w:right w:val="nil"/>
            </w:tcBorders>
            <w:shd w:val="clear" w:color="auto" w:fill="auto"/>
            <w:noWrap/>
            <w:vAlign w:val="center"/>
            <w:hideMark/>
          </w:tcPr>
          <w:p w14:paraId="111D91EF" w14:textId="77777777" w:rsidR="007F68E4" w:rsidRPr="00674716" w:rsidRDefault="007F68E4" w:rsidP="007F68E4">
            <w:pPr>
              <w:widowControl/>
              <w:jc w:val="center"/>
              <w:rPr>
                <w:b/>
                <w:bCs/>
                <w:color w:val="000000"/>
                <w:lang w:bidi="ar-SA"/>
              </w:rPr>
            </w:pPr>
            <w:r w:rsidRPr="00674716">
              <w:rPr>
                <w:b/>
                <w:bCs/>
                <w:color w:val="000000"/>
                <w:lang w:bidi="ar-SA"/>
              </w:rPr>
              <w:t>0,35</w:t>
            </w:r>
          </w:p>
        </w:tc>
      </w:tr>
    </w:tbl>
    <w:p w14:paraId="10971F1C" w14:textId="77777777" w:rsidR="007F68E4" w:rsidRPr="00C52432" w:rsidRDefault="007F68E4" w:rsidP="00C52432">
      <w:pPr>
        <w:widowControl/>
        <w:ind w:firstLine="709"/>
        <w:jc w:val="both"/>
        <w:rPr>
          <w:sz w:val="20"/>
          <w:szCs w:val="20"/>
        </w:rPr>
      </w:pPr>
    </w:p>
    <w:p w14:paraId="17D941BE" w14:textId="597FAAB1" w:rsidR="00727C82" w:rsidRDefault="00727C82" w:rsidP="00094B49">
      <w:pPr>
        <w:widowControl/>
        <w:ind w:firstLine="709"/>
        <w:jc w:val="both"/>
        <w:rPr>
          <w:sz w:val="20"/>
          <w:szCs w:val="20"/>
        </w:rPr>
      </w:pPr>
      <w:r w:rsidRPr="00727C82">
        <w:rPr>
          <w:sz w:val="20"/>
          <w:szCs w:val="20"/>
        </w:rPr>
        <w:t xml:space="preserve">POERSCH </w:t>
      </w:r>
      <w:r w:rsidRPr="00727C82">
        <w:rPr>
          <w:i/>
          <w:iCs/>
          <w:sz w:val="20"/>
          <w:szCs w:val="20"/>
        </w:rPr>
        <w:t xml:space="preserve">et </w:t>
      </w:r>
      <w:proofErr w:type="gramStart"/>
      <w:r w:rsidRPr="00727C82">
        <w:rPr>
          <w:i/>
          <w:iCs/>
          <w:sz w:val="20"/>
          <w:szCs w:val="20"/>
        </w:rPr>
        <w:t>a</w:t>
      </w:r>
      <w:r w:rsidR="0044783A">
        <w:rPr>
          <w:i/>
          <w:iCs/>
          <w:sz w:val="20"/>
          <w:szCs w:val="20"/>
        </w:rPr>
        <w:t>l.</w:t>
      </w:r>
      <w:r w:rsidR="00B50EB9">
        <w:rPr>
          <w:sz w:val="20"/>
          <w:szCs w:val="20"/>
        </w:rPr>
        <w:t>(</w:t>
      </w:r>
      <w:proofErr w:type="gramEnd"/>
      <w:r w:rsidRPr="00727C82">
        <w:rPr>
          <w:sz w:val="20"/>
          <w:szCs w:val="20"/>
        </w:rPr>
        <w:t>2017)</w:t>
      </w:r>
      <w:r w:rsidR="0072216D">
        <w:rPr>
          <w:sz w:val="20"/>
          <w:szCs w:val="20"/>
        </w:rPr>
        <w:t>,</w:t>
      </w:r>
      <w:r w:rsidRPr="00727C82">
        <w:rPr>
          <w:sz w:val="20"/>
          <w:szCs w:val="20"/>
        </w:rPr>
        <w:t xml:space="preserve"> </w:t>
      </w:r>
      <w:r w:rsidR="00325A7F">
        <w:rPr>
          <w:sz w:val="20"/>
          <w:szCs w:val="20"/>
        </w:rPr>
        <w:t xml:space="preserve">reforçou </w:t>
      </w:r>
      <w:r>
        <w:rPr>
          <w:sz w:val="20"/>
          <w:szCs w:val="20"/>
        </w:rPr>
        <w:t>em seu estudo</w:t>
      </w:r>
      <w:r w:rsidRPr="00727C82">
        <w:rPr>
          <w:sz w:val="20"/>
          <w:szCs w:val="20"/>
        </w:rPr>
        <w:t xml:space="preserve"> que, embora variáveis climáticas como temperatura e precipitação influenciem significativamente a sobrevivência de clones de eucalipto, esses fatores isolados não explicam completamente os padrões de mortalidade observados. Os autores destacam que os maiores índices de mortalidade ocorreram nos materiais menos adaptados às condições edafoclimáticas da região, evidenciando a importância da interação entre clima, solo e genética. Além disso, ressaltam que fatores edáficos e o estresse acumulado ao longo do tempo são determinantes para a sobrevivência, especialmente durante as transições entre períodos secos e chuvosos</w:t>
      </w:r>
      <w:r>
        <w:rPr>
          <w:sz w:val="20"/>
          <w:szCs w:val="20"/>
        </w:rPr>
        <w:t xml:space="preserve">, </w:t>
      </w:r>
      <w:r w:rsidRPr="00727C82">
        <w:rPr>
          <w:sz w:val="20"/>
          <w:szCs w:val="20"/>
        </w:rPr>
        <w:t>padrão este que também foi observado no sudoeste piauiense.</w:t>
      </w:r>
    </w:p>
    <w:p w14:paraId="10BC0321" w14:textId="2F7F1F66" w:rsidR="00C52432" w:rsidRPr="00C52432" w:rsidRDefault="009D4D14" w:rsidP="00094B49">
      <w:pPr>
        <w:widowControl/>
        <w:ind w:firstLine="709"/>
        <w:jc w:val="both"/>
        <w:rPr>
          <w:sz w:val="20"/>
          <w:szCs w:val="20"/>
        </w:rPr>
      </w:pPr>
      <w:r>
        <w:rPr>
          <w:sz w:val="20"/>
          <w:szCs w:val="20"/>
        </w:rPr>
        <w:t>O</w:t>
      </w:r>
      <w:r w:rsidR="00C52432" w:rsidRPr="009D4D14">
        <w:rPr>
          <w:sz w:val="20"/>
          <w:szCs w:val="20"/>
        </w:rPr>
        <w:t xml:space="preserve"> comportamento observado no </w:t>
      </w:r>
      <w:r>
        <w:rPr>
          <w:sz w:val="20"/>
          <w:szCs w:val="20"/>
        </w:rPr>
        <w:t xml:space="preserve">plantio instalado no </w:t>
      </w:r>
      <w:r w:rsidR="00C52432" w:rsidRPr="009D4D14">
        <w:rPr>
          <w:sz w:val="20"/>
          <w:szCs w:val="20"/>
        </w:rPr>
        <w:t>sudoeste piauiense</w:t>
      </w:r>
      <w:r w:rsidR="00727C82">
        <w:rPr>
          <w:sz w:val="20"/>
          <w:szCs w:val="20"/>
        </w:rPr>
        <w:t xml:space="preserve"> também</w:t>
      </w:r>
      <w:r w:rsidR="00C52432" w:rsidRPr="009D4D14">
        <w:rPr>
          <w:sz w:val="20"/>
          <w:szCs w:val="20"/>
        </w:rPr>
        <w:t xml:space="preserve"> é</w:t>
      </w:r>
      <w:r w:rsidR="00C52432" w:rsidRPr="00C52432">
        <w:rPr>
          <w:sz w:val="20"/>
          <w:szCs w:val="20"/>
        </w:rPr>
        <w:t xml:space="preserve"> coerente com os resultados do estudo conduzido p</w:t>
      </w:r>
      <w:r w:rsidR="005F73F8">
        <w:rPr>
          <w:sz w:val="20"/>
          <w:szCs w:val="20"/>
        </w:rPr>
        <w:t>or</w:t>
      </w:r>
      <w:r w:rsidR="00C52432" w:rsidRPr="00C52432">
        <w:rPr>
          <w:sz w:val="20"/>
          <w:szCs w:val="20"/>
        </w:rPr>
        <w:t xml:space="preserve"> </w:t>
      </w:r>
      <w:r w:rsidR="00D07CB4">
        <w:rPr>
          <w:sz w:val="20"/>
          <w:szCs w:val="20"/>
        </w:rPr>
        <w:t>(</w:t>
      </w:r>
      <w:r w:rsidR="00D11652">
        <w:rPr>
          <w:sz w:val="20"/>
          <w:szCs w:val="20"/>
        </w:rPr>
        <w:t xml:space="preserve">ASSAD </w:t>
      </w:r>
      <w:r w:rsidR="00D11652" w:rsidRPr="00D11652">
        <w:rPr>
          <w:i/>
          <w:iCs/>
          <w:sz w:val="20"/>
          <w:szCs w:val="20"/>
        </w:rPr>
        <w:t>et al</w:t>
      </w:r>
      <w:r w:rsidR="00D11652">
        <w:rPr>
          <w:sz w:val="20"/>
          <w:szCs w:val="20"/>
        </w:rPr>
        <w:t>., 2022</w:t>
      </w:r>
      <w:r w:rsidR="00C52432" w:rsidRPr="00C52432">
        <w:rPr>
          <w:sz w:val="20"/>
          <w:szCs w:val="20"/>
        </w:rPr>
        <w:t xml:space="preserve">) sobre o "Impacto das Mudanças Climáticas nas Plantações de Eucalipto no Sul do Brasil", que demonstra que, embora as alterações em temperatura e precipitação </w:t>
      </w:r>
      <w:r w:rsidR="00C52432" w:rsidRPr="00C52432">
        <w:rPr>
          <w:sz w:val="20"/>
          <w:szCs w:val="20"/>
        </w:rPr>
        <w:lastRenderedPageBreak/>
        <w:t>impactem significativamente a produtividade, esses efeitos não são isolados. O estudo reforça que fatores locais, como o tipo de solo, práticas de manejo, densidade de plantio e resistência genética dos clones, são determinantes na resposta das florestas às variações climáticas.</w:t>
      </w:r>
    </w:p>
    <w:p w14:paraId="28EE8555" w14:textId="1F83363A" w:rsidR="00C52432" w:rsidRPr="00C52432" w:rsidRDefault="00C52432" w:rsidP="00094B49">
      <w:pPr>
        <w:widowControl/>
        <w:ind w:firstLine="709"/>
        <w:jc w:val="both"/>
        <w:rPr>
          <w:sz w:val="20"/>
          <w:szCs w:val="20"/>
        </w:rPr>
      </w:pPr>
      <w:r w:rsidRPr="00C52432">
        <w:rPr>
          <w:sz w:val="20"/>
          <w:szCs w:val="20"/>
        </w:rPr>
        <w:t xml:space="preserve">De maneira semelhante ao que foi observado no presente estudo, </w:t>
      </w:r>
      <w:r w:rsidR="00727C82">
        <w:rPr>
          <w:sz w:val="20"/>
          <w:szCs w:val="20"/>
        </w:rPr>
        <w:t>os autores</w:t>
      </w:r>
      <w:r w:rsidRPr="00C52432">
        <w:rPr>
          <w:sz w:val="20"/>
          <w:szCs w:val="20"/>
        </w:rPr>
        <w:t xml:space="preserve"> destaca</w:t>
      </w:r>
      <w:r w:rsidR="00727C82">
        <w:rPr>
          <w:sz w:val="20"/>
          <w:szCs w:val="20"/>
        </w:rPr>
        <w:t>m</w:t>
      </w:r>
      <w:r w:rsidRPr="00C52432">
        <w:rPr>
          <w:sz w:val="20"/>
          <w:szCs w:val="20"/>
        </w:rPr>
        <w:t xml:space="preserve"> que os impactos climáticos tendem a ser mais severos quando combinados com limitações edáficas e manejo inadequado, potencializando perdas por mortalidade ou redução de crescimento. Portanto, assim como no </w:t>
      </w:r>
      <w:r w:rsidR="009D4D14">
        <w:rPr>
          <w:sz w:val="20"/>
          <w:szCs w:val="20"/>
        </w:rPr>
        <w:t>s</w:t>
      </w:r>
      <w:r w:rsidR="009D4D14" w:rsidRPr="00C52432">
        <w:rPr>
          <w:sz w:val="20"/>
          <w:szCs w:val="20"/>
        </w:rPr>
        <w:t xml:space="preserve">ul </w:t>
      </w:r>
      <w:r w:rsidRPr="00C52432">
        <w:rPr>
          <w:sz w:val="20"/>
          <w:szCs w:val="20"/>
        </w:rPr>
        <w:t>do Brasil, no semiárido piauiense, a resiliência dos plantios de eucalipto depende de uma interação complexa entre clima, genética e práticas de manejo.</w:t>
      </w:r>
      <w:r w:rsidR="009D4D14">
        <w:rPr>
          <w:sz w:val="20"/>
          <w:szCs w:val="20"/>
        </w:rPr>
        <w:t xml:space="preserve"> </w:t>
      </w:r>
      <w:r w:rsidRPr="00C52432">
        <w:rPr>
          <w:sz w:val="20"/>
          <w:szCs w:val="20"/>
        </w:rPr>
        <w:t>Os gráficos reforçam essa interpretação, mostrando que os picos de mortalidade estão mais associados a períodos de transição entre seca e início das chuvas, o que aponta para a importância de entender os efeitos cumulativos do estresse, e não apenas os eventos climáticos isolados.</w:t>
      </w:r>
      <w:r w:rsidR="007F68E4">
        <w:rPr>
          <w:sz w:val="20"/>
          <w:szCs w:val="20"/>
        </w:rPr>
        <w:t xml:space="preserve"> </w:t>
      </w:r>
      <w:r w:rsidRPr="00C52432">
        <w:rPr>
          <w:sz w:val="20"/>
          <w:szCs w:val="20"/>
        </w:rPr>
        <w:t>Dessa forma, os resultados deste trabalho reforçam a necessidade de um olhar integrado na análise da mortalidade florestal, considerando não apenas as variáveis climáticas, mas também as condições do sítio, características dos clones e as práticas de manejo adotadas.</w:t>
      </w:r>
    </w:p>
    <w:p w14:paraId="344903D1" w14:textId="77777777" w:rsidR="00C802EF" w:rsidRDefault="00C802EF" w:rsidP="00197172">
      <w:pPr>
        <w:widowControl/>
        <w:jc w:val="both"/>
        <w:rPr>
          <w:b/>
          <w:sz w:val="20"/>
          <w:szCs w:val="20"/>
        </w:rPr>
      </w:pPr>
    </w:p>
    <w:p w14:paraId="63BE2CBD" w14:textId="11C732B1" w:rsidR="00254A9C" w:rsidRPr="005619E7" w:rsidRDefault="00A46290" w:rsidP="00094B49">
      <w:pPr>
        <w:widowControl/>
        <w:jc w:val="both"/>
        <w:rPr>
          <w:b/>
          <w:sz w:val="20"/>
          <w:szCs w:val="20"/>
        </w:rPr>
      </w:pPr>
      <w:r>
        <w:rPr>
          <w:b/>
          <w:sz w:val="20"/>
          <w:szCs w:val="20"/>
        </w:rPr>
        <w:t xml:space="preserve">CONCLUSÕES </w:t>
      </w:r>
    </w:p>
    <w:p w14:paraId="45F7B43B" w14:textId="21AF779F" w:rsidR="004266A9" w:rsidRDefault="004266A9" w:rsidP="004266A9">
      <w:pPr>
        <w:widowControl/>
        <w:ind w:firstLine="709"/>
        <w:jc w:val="both"/>
        <w:rPr>
          <w:sz w:val="20"/>
          <w:szCs w:val="20"/>
        </w:rPr>
      </w:pPr>
      <w:r w:rsidRPr="004266A9">
        <w:rPr>
          <w:sz w:val="20"/>
          <w:szCs w:val="20"/>
        </w:rPr>
        <w:t xml:space="preserve">Os resultados obtidos evidenciam que as variáveis climáticas analisadas, isoladamente, não explicam completamente os padrões de mortalidade observados nos clones de </w:t>
      </w:r>
      <w:r w:rsidRPr="004266A9">
        <w:rPr>
          <w:i/>
          <w:iCs/>
          <w:sz w:val="20"/>
          <w:szCs w:val="20"/>
        </w:rPr>
        <w:t>Eucalyptus</w:t>
      </w:r>
      <w:r w:rsidRPr="004266A9">
        <w:rPr>
          <w:sz w:val="20"/>
          <w:szCs w:val="20"/>
        </w:rPr>
        <w:t xml:space="preserve"> spp. Uma possível causa para o aumento da mortalidade durante o período chuvoso pode estar associada ao estresse hídrico acumulado no período seco anterior, que compromete a resistência fisiológica das plantas. Esse fator, aliado às limitações edáficas da região, como solos com baixa capacidade de retenção de água e possíveis deficiências nutricionais, pode tornar os indivíduos mais suscetíveis a choques térmicos</w:t>
      </w:r>
      <w:r>
        <w:rPr>
          <w:sz w:val="20"/>
          <w:szCs w:val="20"/>
        </w:rPr>
        <w:t xml:space="preserve">, </w:t>
      </w:r>
      <w:r w:rsidRPr="004266A9">
        <w:rPr>
          <w:sz w:val="20"/>
          <w:szCs w:val="20"/>
        </w:rPr>
        <w:t>encharcamento momentâneo ou ao surgimento de agentes patogênicos oportunistas favorecidos pela umidade elevada no início das chuvas. Portanto, os resultados reforçam que a mortalidade dos clones resulta de uma interação complexa entre fatores climáticos, edáficos e genéticos</w:t>
      </w:r>
      <w:r>
        <w:rPr>
          <w:sz w:val="20"/>
          <w:szCs w:val="20"/>
        </w:rPr>
        <w:t>.</w:t>
      </w:r>
    </w:p>
    <w:p w14:paraId="01F6F5F3" w14:textId="77777777" w:rsidR="00C802EF" w:rsidRDefault="00C802EF" w:rsidP="00094B49">
      <w:pPr>
        <w:widowControl/>
        <w:ind w:firstLine="709"/>
        <w:jc w:val="both"/>
        <w:rPr>
          <w:sz w:val="20"/>
          <w:szCs w:val="20"/>
        </w:rPr>
      </w:pPr>
    </w:p>
    <w:p w14:paraId="0B7797C8" w14:textId="77777777" w:rsidR="00C802EF" w:rsidRDefault="00C802EF">
      <w:pPr>
        <w:widowControl/>
        <w:ind w:firstLine="709"/>
        <w:jc w:val="both"/>
        <w:rPr>
          <w:sz w:val="20"/>
          <w:szCs w:val="20"/>
        </w:rPr>
      </w:pPr>
    </w:p>
    <w:p w14:paraId="336818DC" w14:textId="21F07696" w:rsidR="00254A9C" w:rsidRPr="00254A9C" w:rsidRDefault="00A46290" w:rsidP="00254A9C">
      <w:pPr>
        <w:widowControl/>
        <w:jc w:val="both"/>
        <w:rPr>
          <w:b/>
          <w:sz w:val="20"/>
          <w:szCs w:val="20"/>
          <w:lang w:val="en-US"/>
        </w:rPr>
      </w:pPr>
      <w:r w:rsidRPr="00D95A3B">
        <w:rPr>
          <w:b/>
          <w:sz w:val="20"/>
          <w:szCs w:val="20"/>
          <w:lang w:val="en-US"/>
        </w:rPr>
        <w:t>REFERÊNCIAS</w:t>
      </w:r>
    </w:p>
    <w:p w14:paraId="656878BD" w14:textId="5370D1BC" w:rsidR="00DB5808" w:rsidRDefault="00DB5808" w:rsidP="00094B49">
      <w:pPr>
        <w:widowControl/>
        <w:spacing w:after="120"/>
        <w:jc w:val="both"/>
        <w:rPr>
          <w:rFonts w:eastAsiaTheme="minorEastAsia"/>
          <w:color w:val="000000" w:themeColor="text1"/>
          <w:sz w:val="20"/>
          <w:szCs w:val="20"/>
          <w:lang w:val="en-US" w:bidi="ar-SA"/>
        </w:rPr>
      </w:pPr>
      <w:r w:rsidRPr="00DB5808">
        <w:rPr>
          <w:rFonts w:eastAsiaTheme="minorEastAsia"/>
          <w:color w:val="000000" w:themeColor="text1"/>
          <w:sz w:val="20"/>
          <w:szCs w:val="20"/>
          <w:lang w:val="en-US"/>
        </w:rPr>
        <w:t xml:space="preserve">AMORIM, V. S. S. de; MONTEIRO, K. M. S.; SOUSA, G. O.; DAMASCENA, J. F.; PEREIRA, J. A.; MORAES, W. S. Os benefícios ambientais do plantio de eucalipto: revisão de literatura. </w:t>
      </w:r>
      <w:r w:rsidRPr="00DB5808">
        <w:rPr>
          <w:rFonts w:eastAsiaTheme="minorEastAsia"/>
          <w:i/>
          <w:iCs/>
          <w:color w:val="000000" w:themeColor="text1"/>
          <w:sz w:val="20"/>
          <w:szCs w:val="20"/>
          <w:lang w:val="en-US"/>
        </w:rPr>
        <w:t>Research, Society and Development</w:t>
      </w:r>
      <w:r w:rsidRPr="00DB5808">
        <w:rPr>
          <w:rFonts w:eastAsiaTheme="minorEastAsia"/>
          <w:color w:val="000000" w:themeColor="text1"/>
          <w:sz w:val="20"/>
          <w:szCs w:val="20"/>
          <w:lang w:val="en-US"/>
        </w:rPr>
        <w:t>, v. 10, n. 11, e318101119604, 2021. DOI: https://doi.org/10.33448/rsd-v10i11.19604.</w:t>
      </w:r>
    </w:p>
    <w:p w14:paraId="13218C07" w14:textId="1B141426" w:rsidR="00447042" w:rsidRPr="00094B49" w:rsidRDefault="00447042" w:rsidP="00094B49">
      <w:pPr>
        <w:widowControl/>
        <w:spacing w:after="120"/>
        <w:jc w:val="both"/>
        <w:rPr>
          <w:sz w:val="20"/>
          <w:szCs w:val="20"/>
        </w:rPr>
      </w:pPr>
      <w:r w:rsidRPr="00D95A3B">
        <w:rPr>
          <w:rFonts w:eastAsiaTheme="minorEastAsia"/>
          <w:color w:val="000000" w:themeColor="text1"/>
          <w:sz w:val="20"/>
          <w:szCs w:val="20"/>
          <w:lang w:val="en-US" w:bidi="ar-SA"/>
        </w:rPr>
        <w:t xml:space="preserve">ASSAD, E. D.; ZANATTA, J. A.; RACHWAL, M. F. G.; PUGLIERO, V. S.; ZANETTI, M. R.; PAVÃO, E. M.; ASSAD, M. L. R. C. L.; MONTEIRO, J. E. B. A.; VICTORIA, D. C.; NAKAI, A. M.; BORDRON, B.; HOLLER, W. A. Impact of climate change on eucalyptus plantations in southern Brazil. </w:t>
      </w:r>
      <w:r w:rsidRPr="00094B49">
        <w:rPr>
          <w:rFonts w:eastAsiaTheme="minorEastAsia"/>
          <w:color w:val="000000" w:themeColor="text1"/>
          <w:sz w:val="20"/>
          <w:szCs w:val="20"/>
          <w:lang w:bidi="ar-SA"/>
        </w:rPr>
        <w:t xml:space="preserve">Colombo: Embrapa Florestas, 2022. 80 p. (Documentos, 367). Disponível em: </w:t>
      </w:r>
      <w:hyperlink r:id="rId13" w:history="1">
        <w:r w:rsidRPr="00094B49">
          <w:rPr>
            <w:rFonts w:eastAsiaTheme="minorEastAsia"/>
            <w:color w:val="000000" w:themeColor="text1"/>
            <w:sz w:val="20"/>
            <w:szCs w:val="20"/>
            <w:u w:val="single"/>
            <w:lang w:bidi="ar-SA"/>
          </w:rPr>
          <w:t>http://www.infoteca.cnptia.embrapa.br/handle/item/221</w:t>
        </w:r>
      </w:hyperlink>
      <w:r w:rsidRPr="00094B49">
        <w:rPr>
          <w:rFonts w:eastAsiaTheme="minorEastAsia"/>
          <w:color w:val="000000" w:themeColor="text1"/>
          <w:sz w:val="20"/>
          <w:szCs w:val="20"/>
          <w:lang w:bidi="ar-SA"/>
        </w:rPr>
        <w:t xml:space="preserve">. Acesso em: </w:t>
      </w:r>
      <w:proofErr w:type="gramStart"/>
      <w:r w:rsidR="00F17334" w:rsidRPr="00094B49">
        <w:rPr>
          <w:rFonts w:eastAsiaTheme="minorEastAsia"/>
          <w:color w:val="000000" w:themeColor="text1"/>
          <w:sz w:val="20"/>
          <w:szCs w:val="20"/>
          <w:lang w:bidi="ar-SA"/>
        </w:rPr>
        <w:t xml:space="preserve">29 </w:t>
      </w:r>
      <w:r w:rsidRPr="00094B49">
        <w:rPr>
          <w:rFonts w:eastAsiaTheme="minorEastAsia"/>
          <w:color w:val="000000" w:themeColor="text1"/>
          <w:sz w:val="20"/>
          <w:szCs w:val="20"/>
          <w:lang w:bidi="ar-SA"/>
        </w:rPr>
        <w:t xml:space="preserve"> maio</w:t>
      </w:r>
      <w:proofErr w:type="gramEnd"/>
      <w:r w:rsidRPr="00094B49">
        <w:rPr>
          <w:rFonts w:eastAsiaTheme="minorEastAsia"/>
          <w:color w:val="000000" w:themeColor="text1"/>
          <w:sz w:val="20"/>
          <w:szCs w:val="20"/>
          <w:lang w:bidi="ar-SA"/>
        </w:rPr>
        <w:t xml:space="preserve"> 2025.</w:t>
      </w:r>
    </w:p>
    <w:p w14:paraId="0C4A5146" w14:textId="2C113BB5" w:rsidR="00C23CD6" w:rsidRPr="00094B49" w:rsidRDefault="00C23CD6" w:rsidP="00094B49">
      <w:pPr>
        <w:widowControl/>
        <w:spacing w:after="120"/>
        <w:jc w:val="both"/>
        <w:divId w:val="198014345"/>
        <w:rPr>
          <w:rFonts w:eastAsiaTheme="minorEastAsia"/>
          <w:color w:val="000000" w:themeColor="text1"/>
          <w:sz w:val="20"/>
          <w:szCs w:val="20"/>
          <w:lang w:bidi="ar-SA"/>
        </w:rPr>
      </w:pPr>
      <w:r w:rsidRPr="00094B49">
        <w:rPr>
          <w:rFonts w:eastAsiaTheme="minorEastAsia"/>
          <w:color w:val="000000" w:themeColor="text1"/>
          <w:sz w:val="20"/>
          <w:szCs w:val="20"/>
          <w:lang w:bidi="ar-SA"/>
        </w:rPr>
        <w:t xml:space="preserve">GADELHA, F. H. de L.; SILVA, J. A. A.; FERREIRA, R. L. C.; SANTOS, R. C.; TAVARES, J. A. Produtividade de clones de eucaliptos em diferentes sistemas de manejo para fins energéticos. Pesquisa Florestal Brasileira, Colombo, v. 35, n. 83, p. 263-270, jul./set. 2015. Disponível em: </w:t>
      </w:r>
      <w:hyperlink r:id="rId14" w:history="1">
        <w:r w:rsidRPr="00094B49">
          <w:rPr>
            <w:rFonts w:eastAsiaTheme="minorEastAsia"/>
            <w:color w:val="000000" w:themeColor="text1"/>
            <w:sz w:val="20"/>
            <w:szCs w:val="20"/>
            <w:u w:val="single"/>
            <w:lang w:bidi="ar-SA"/>
          </w:rPr>
          <w:t>http://pfb.cnpf.embrapa.br/pfb/</w:t>
        </w:r>
      </w:hyperlink>
      <w:r w:rsidRPr="00094B49">
        <w:rPr>
          <w:rFonts w:eastAsiaTheme="minorEastAsia"/>
          <w:color w:val="000000" w:themeColor="text1"/>
          <w:sz w:val="20"/>
          <w:szCs w:val="20"/>
          <w:lang w:bidi="ar-SA"/>
        </w:rPr>
        <w:t xml:space="preserve">. Acesso em: </w:t>
      </w:r>
      <w:r w:rsidR="00F17334" w:rsidRPr="00094B49">
        <w:rPr>
          <w:rFonts w:eastAsiaTheme="minorEastAsia"/>
          <w:color w:val="000000" w:themeColor="text1"/>
          <w:sz w:val="20"/>
          <w:szCs w:val="20"/>
          <w:lang w:bidi="ar-SA"/>
        </w:rPr>
        <w:t>29</w:t>
      </w:r>
      <w:r w:rsidRPr="00094B49">
        <w:rPr>
          <w:rFonts w:eastAsiaTheme="minorEastAsia"/>
          <w:color w:val="000000" w:themeColor="text1"/>
          <w:sz w:val="20"/>
          <w:szCs w:val="20"/>
          <w:lang w:bidi="ar-SA"/>
        </w:rPr>
        <w:t xml:space="preserve"> maio 2025.</w:t>
      </w:r>
    </w:p>
    <w:p w14:paraId="27B73041" w14:textId="00E37BF9" w:rsidR="00CA4E8A" w:rsidRPr="00094B49" w:rsidRDefault="00CA4E8A" w:rsidP="00094B49">
      <w:pPr>
        <w:widowControl/>
        <w:spacing w:after="120"/>
        <w:jc w:val="both"/>
        <w:divId w:val="1557543996"/>
        <w:rPr>
          <w:rFonts w:eastAsiaTheme="minorEastAsia"/>
          <w:color w:val="000000" w:themeColor="text1"/>
          <w:sz w:val="20"/>
          <w:szCs w:val="20"/>
          <w:lang w:bidi="ar-SA"/>
        </w:rPr>
      </w:pPr>
      <w:r w:rsidRPr="00094B49">
        <w:rPr>
          <w:rFonts w:eastAsiaTheme="minorEastAsia"/>
          <w:color w:val="000000" w:themeColor="text1"/>
          <w:sz w:val="20"/>
          <w:szCs w:val="20"/>
          <w:lang w:bidi="ar-SA"/>
        </w:rPr>
        <w:t xml:space="preserve">SILVA, J. R.; ARAÚJO JÚNIOR, C. A.; CABACINHA, C. D. Crescimento e produção de quatro clones de eucalipto no norte de Minas Gerais. Open Science Research XI, v. 11, p. 1-18, 2023. Disponível em: </w:t>
      </w:r>
      <w:hyperlink r:id="rId15" w:history="1">
        <w:r w:rsidRPr="00094B49">
          <w:rPr>
            <w:rFonts w:eastAsiaTheme="minorEastAsia"/>
            <w:color w:val="000000" w:themeColor="text1"/>
            <w:sz w:val="20"/>
            <w:szCs w:val="20"/>
            <w:u w:val="single"/>
            <w:lang w:bidi="ar-SA"/>
          </w:rPr>
          <w:t>https://doi.org/10.37885/230412623</w:t>
        </w:r>
      </w:hyperlink>
      <w:r w:rsidRPr="00094B49">
        <w:rPr>
          <w:rFonts w:eastAsiaTheme="minorEastAsia"/>
          <w:color w:val="000000" w:themeColor="text1"/>
          <w:sz w:val="20"/>
          <w:szCs w:val="20"/>
          <w:lang w:bidi="ar-SA"/>
        </w:rPr>
        <w:t xml:space="preserve">. Acesso em: </w:t>
      </w:r>
      <w:r w:rsidR="00F17334" w:rsidRPr="00094B49">
        <w:rPr>
          <w:rFonts w:eastAsiaTheme="minorEastAsia"/>
          <w:color w:val="000000" w:themeColor="text1"/>
          <w:sz w:val="20"/>
          <w:szCs w:val="20"/>
          <w:lang w:bidi="ar-SA"/>
        </w:rPr>
        <w:t>29</w:t>
      </w:r>
      <w:r w:rsidRPr="00094B49">
        <w:rPr>
          <w:rFonts w:eastAsiaTheme="minorEastAsia"/>
          <w:color w:val="000000" w:themeColor="text1"/>
          <w:sz w:val="20"/>
          <w:szCs w:val="20"/>
          <w:lang w:bidi="ar-SA"/>
        </w:rPr>
        <w:t xml:space="preserve"> maio 2025.</w:t>
      </w:r>
    </w:p>
    <w:p w14:paraId="5B44C73F" w14:textId="1CDA8574" w:rsidR="00F17334" w:rsidRDefault="008F6A1F" w:rsidP="00175ED8">
      <w:pPr>
        <w:widowControl/>
        <w:spacing w:after="120"/>
        <w:jc w:val="both"/>
        <w:divId w:val="891111903"/>
        <w:rPr>
          <w:rFonts w:eastAsiaTheme="minorEastAsia"/>
          <w:color w:val="000000" w:themeColor="text1"/>
          <w:sz w:val="20"/>
          <w:szCs w:val="20"/>
          <w:lang w:bidi="ar-SA"/>
        </w:rPr>
      </w:pPr>
      <w:r w:rsidRPr="00094B49">
        <w:rPr>
          <w:rFonts w:eastAsiaTheme="minorEastAsia"/>
          <w:color w:val="000000" w:themeColor="text1"/>
          <w:sz w:val="20"/>
          <w:szCs w:val="20"/>
          <w:lang w:bidi="ar-SA"/>
        </w:rPr>
        <w:t xml:space="preserve">INDÚSTRIA BRASILEIRA DE ÁRVORES – IBÁ. Relatório anual 2024. São Paulo: Ibá, 2024. 96 p. Disponível em: </w:t>
      </w:r>
      <w:hyperlink r:id="rId16" w:history="1">
        <w:r w:rsidRPr="00094B49">
          <w:rPr>
            <w:rFonts w:eastAsiaTheme="minorEastAsia"/>
            <w:color w:val="000000" w:themeColor="text1"/>
            <w:sz w:val="20"/>
            <w:szCs w:val="20"/>
            <w:u w:val="single"/>
            <w:lang w:bidi="ar-SA"/>
          </w:rPr>
          <w:t>https://iba.org</w:t>
        </w:r>
      </w:hyperlink>
      <w:r w:rsidRPr="00094B49">
        <w:rPr>
          <w:rFonts w:eastAsiaTheme="minorEastAsia"/>
          <w:color w:val="000000" w:themeColor="text1"/>
          <w:sz w:val="20"/>
          <w:szCs w:val="20"/>
          <w:lang w:bidi="ar-SA"/>
        </w:rPr>
        <w:t>. Acesso em: 30 maio 2025.</w:t>
      </w:r>
    </w:p>
    <w:p w14:paraId="2F499D7A" w14:textId="77CFC22E" w:rsidR="004266A9" w:rsidRPr="00094B49" w:rsidRDefault="004266A9" w:rsidP="00175ED8">
      <w:pPr>
        <w:widowControl/>
        <w:spacing w:after="120"/>
        <w:jc w:val="both"/>
        <w:divId w:val="891111903"/>
        <w:rPr>
          <w:rFonts w:eastAsiaTheme="minorEastAsia"/>
          <w:color w:val="000000" w:themeColor="text1"/>
          <w:sz w:val="20"/>
          <w:szCs w:val="20"/>
          <w:lang w:bidi="ar-SA"/>
        </w:rPr>
      </w:pPr>
      <w:r w:rsidRPr="004266A9">
        <w:rPr>
          <w:rFonts w:eastAsiaTheme="minorEastAsia"/>
          <w:color w:val="000000" w:themeColor="text1"/>
          <w:sz w:val="20"/>
          <w:szCs w:val="20"/>
        </w:rPr>
        <w:t xml:space="preserve">POERSCH, N. L. et al. Influência das variáveis climáticas no crescimento inicial de </w:t>
      </w:r>
      <w:proofErr w:type="spellStart"/>
      <w:r w:rsidRPr="004266A9">
        <w:rPr>
          <w:rFonts w:eastAsiaTheme="minorEastAsia"/>
          <w:i/>
          <w:iCs/>
          <w:color w:val="000000" w:themeColor="text1"/>
          <w:sz w:val="20"/>
          <w:szCs w:val="20"/>
        </w:rPr>
        <w:t>Corymbia</w:t>
      </w:r>
      <w:proofErr w:type="spellEnd"/>
      <w:r w:rsidRPr="004266A9">
        <w:rPr>
          <w:rFonts w:eastAsiaTheme="minorEastAsia"/>
          <w:i/>
          <w:iCs/>
          <w:color w:val="000000" w:themeColor="text1"/>
          <w:sz w:val="20"/>
          <w:szCs w:val="20"/>
        </w:rPr>
        <w:t xml:space="preserve"> citriodora</w:t>
      </w:r>
      <w:r w:rsidRPr="004266A9">
        <w:rPr>
          <w:rFonts w:eastAsiaTheme="minorEastAsia"/>
          <w:color w:val="000000" w:themeColor="text1"/>
          <w:sz w:val="20"/>
          <w:szCs w:val="20"/>
        </w:rPr>
        <w:t xml:space="preserve"> e diferentes espécies de eucalipto. </w:t>
      </w:r>
      <w:proofErr w:type="spellStart"/>
      <w:r w:rsidRPr="004266A9">
        <w:rPr>
          <w:rFonts w:eastAsiaTheme="minorEastAsia"/>
          <w:i/>
          <w:iCs/>
          <w:color w:val="000000" w:themeColor="text1"/>
          <w:sz w:val="20"/>
          <w:szCs w:val="20"/>
        </w:rPr>
        <w:t>Bioscience</w:t>
      </w:r>
      <w:proofErr w:type="spellEnd"/>
      <w:r w:rsidRPr="004266A9">
        <w:rPr>
          <w:rFonts w:eastAsiaTheme="minorEastAsia"/>
          <w:i/>
          <w:iCs/>
          <w:color w:val="000000" w:themeColor="text1"/>
          <w:sz w:val="20"/>
          <w:szCs w:val="20"/>
        </w:rPr>
        <w:t xml:space="preserve"> </w:t>
      </w:r>
      <w:proofErr w:type="spellStart"/>
      <w:r w:rsidRPr="004266A9">
        <w:rPr>
          <w:rFonts w:eastAsiaTheme="minorEastAsia"/>
          <w:i/>
          <w:iCs/>
          <w:color w:val="000000" w:themeColor="text1"/>
          <w:sz w:val="20"/>
          <w:szCs w:val="20"/>
        </w:rPr>
        <w:t>Journal</w:t>
      </w:r>
      <w:proofErr w:type="spellEnd"/>
      <w:r w:rsidRPr="004266A9">
        <w:rPr>
          <w:rFonts w:eastAsiaTheme="minorEastAsia"/>
          <w:color w:val="000000" w:themeColor="text1"/>
          <w:sz w:val="20"/>
          <w:szCs w:val="20"/>
        </w:rPr>
        <w:t>, Uberlândia, v. 33, n. 6, p. 1452-1464, nov./dez. 2017</w:t>
      </w:r>
    </w:p>
    <w:sectPr w:rsidR="004266A9" w:rsidRPr="00094B49" w:rsidSect="001D53B6">
      <w:headerReference w:type="even" r:id="rId17"/>
      <w:headerReference w:type="default" r:id="rId18"/>
      <w:footerReference w:type="even" r:id="rId19"/>
      <w:footerReference w:type="default" r:id="rId20"/>
      <w:headerReference w:type="first" r:id="rId21"/>
      <w:footerReference w:type="first" r:id="rId22"/>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576A8" w14:textId="77777777" w:rsidR="00223CD6" w:rsidRDefault="00223CD6">
      <w:r>
        <w:separator/>
      </w:r>
    </w:p>
  </w:endnote>
  <w:endnote w:type="continuationSeparator" w:id="0">
    <w:p w14:paraId="355D68AF" w14:textId="77777777" w:rsidR="00223CD6" w:rsidRDefault="00223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991E2DFF-F285-41FB-952A-50F6E81D0FB5}"/>
    <w:embedItalic r:id="rId2" w:fontKey="{7A39CAA0-A7D7-478D-8ECC-3A3B1F2D34B7}"/>
  </w:font>
  <w:font w:name="Cambria">
    <w:panose1 w:val="02040503050406030204"/>
    <w:charset w:val="00"/>
    <w:family w:val="roman"/>
    <w:pitch w:val="variable"/>
    <w:sig w:usb0="E00006FF" w:usb1="420024FF" w:usb2="02000000" w:usb3="00000000" w:csb0="0000019F" w:csb1="00000000"/>
    <w:embedRegular r:id="rId3" w:fontKey="{1CC527E1-2E2D-40F6-8234-8243077F1CD7}"/>
  </w:font>
  <w:font w:name="Calibri">
    <w:panose1 w:val="020F0502020204030204"/>
    <w:charset w:val="00"/>
    <w:family w:val="swiss"/>
    <w:pitch w:val="variable"/>
    <w:sig w:usb0="E4002EFF" w:usb1="C200247B" w:usb2="00000009" w:usb3="00000000" w:csb0="000001FF" w:csb1="00000000"/>
    <w:embedRegular r:id="rId4" w:fontKey="{C45DD888-1A86-40AF-94B4-EFA1DA7960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E8F92" w14:textId="77777777" w:rsidR="00223CD6" w:rsidRDefault="00223CD6">
      <w:r>
        <w:separator/>
      </w:r>
    </w:p>
  </w:footnote>
  <w:footnote w:type="continuationSeparator" w:id="0">
    <w:p w14:paraId="06C74123" w14:textId="77777777" w:rsidR="00223CD6" w:rsidRDefault="00223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16A27"/>
    <w:multiLevelType w:val="multilevel"/>
    <w:tmpl w:val="326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771467709">
    <w:abstractNumId w:val="1"/>
  </w:num>
  <w:num w:numId="2" w16cid:durableId="1755475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04E6B"/>
    <w:rsid w:val="0005021F"/>
    <w:rsid w:val="00054030"/>
    <w:rsid w:val="00062D5F"/>
    <w:rsid w:val="00094B49"/>
    <w:rsid w:val="000A7A25"/>
    <w:rsid w:val="000C76AD"/>
    <w:rsid w:val="000E2D52"/>
    <w:rsid w:val="000F6B54"/>
    <w:rsid w:val="00146DBA"/>
    <w:rsid w:val="00175ED8"/>
    <w:rsid w:val="00186E9D"/>
    <w:rsid w:val="00191EA5"/>
    <w:rsid w:val="00197172"/>
    <w:rsid w:val="001D53B6"/>
    <w:rsid w:val="0020039B"/>
    <w:rsid w:val="00200594"/>
    <w:rsid w:val="00223CD6"/>
    <w:rsid w:val="00247BF8"/>
    <w:rsid w:val="00254A9C"/>
    <w:rsid w:val="00272622"/>
    <w:rsid w:val="002C787B"/>
    <w:rsid w:val="002F08F6"/>
    <w:rsid w:val="00325A7F"/>
    <w:rsid w:val="0033715D"/>
    <w:rsid w:val="0034413B"/>
    <w:rsid w:val="003D0D58"/>
    <w:rsid w:val="003F445C"/>
    <w:rsid w:val="004052E3"/>
    <w:rsid w:val="004255EC"/>
    <w:rsid w:val="004266A9"/>
    <w:rsid w:val="00447042"/>
    <w:rsid w:val="0044783A"/>
    <w:rsid w:val="00460C13"/>
    <w:rsid w:val="00464C3C"/>
    <w:rsid w:val="00477CFF"/>
    <w:rsid w:val="004857F4"/>
    <w:rsid w:val="004A270C"/>
    <w:rsid w:val="004C3ED2"/>
    <w:rsid w:val="004D5721"/>
    <w:rsid w:val="004F6527"/>
    <w:rsid w:val="00503C2F"/>
    <w:rsid w:val="0055500A"/>
    <w:rsid w:val="005619E7"/>
    <w:rsid w:val="005925B4"/>
    <w:rsid w:val="005F3023"/>
    <w:rsid w:val="005F6715"/>
    <w:rsid w:val="005F73F8"/>
    <w:rsid w:val="00623EAF"/>
    <w:rsid w:val="006516CF"/>
    <w:rsid w:val="00662FF7"/>
    <w:rsid w:val="00667670"/>
    <w:rsid w:val="00674716"/>
    <w:rsid w:val="00685F48"/>
    <w:rsid w:val="006B68E0"/>
    <w:rsid w:val="006C7111"/>
    <w:rsid w:val="006D465B"/>
    <w:rsid w:val="006D47CB"/>
    <w:rsid w:val="0072216D"/>
    <w:rsid w:val="00727C82"/>
    <w:rsid w:val="00744770"/>
    <w:rsid w:val="0075509B"/>
    <w:rsid w:val="00783404"/>
    <w:rsid w:val="0079562D"/>
    <w:rsid w:val="007B57CC"/>
    <w:rsid w:val="007B7B06"/>
    <w:rsid w:val="007C17A1"/>
    <w:rsid w:val="007D697E"/>
    <w:rsid w:val="007F68E4"/>
    <w:rsid w:val="007F6B15"/>
    <w:rsid w:val="00825696"/>
    <w:rsid w:val="00835955"/>
    <w:rsid w:val="00850B49"/>
    <w:rsid w:val="00855A39"/>
    <w:rsid w:val="00862BC5"/>
    <w:rsid w:val="008F6A1F"/>
    <w:rsid w:val="00924B28"/>
    <w:rsid w:val="00937CEB"/>
    <w:rsid w:val="00987143"/>
    <w:rsid w:val="009A4BCA"/>
    <w:rsid w:val="009B2A17"/>
    <w:rsid w:val="009D4D14"/>
    <w:rsid w:val="009D6D26"/>
    <w:rsid w:val="009E706B"/>
    <w:rsid w:val="009F32E5"/>
    <w:rsid w:val="00A02D82"/>
    <w:rsid w:val="00A46290"/>
    <w:rsid w:val="00A5702C"/>
    <w:rsid w:val="00A7072F"/>
    <w:rsid w:val="00A8503C"/>
    <w:rsid w:val="00AC28DC"/>
    <w:rsid w:val="00B10B24"/>
    <w:rsid w:val="00B1160F"/>
    <w:rsid w:val="00B24CB6"/>
    <w:rsid w:val="00B50EB9"/>
    <w:rsid w:val="00B84A84"/>
    <w:rsid w:val="00B91D85"/>
    <w:rsid w:val="00BD1093"/>
    <w:rsid w:val="00BE7606"/>
    <w:rsid w:val="00C23CD6"/>
    <w:rsid w:val="00C52432"/>
    <w:rsid w:val="00C626D4"/>
    <w:rsid w:val="00C6767A"/>
    <w:rsid w:val="00C708CC"/>
    <w:rsid w:val="00C802EF"/>
    <w:rsid w:val="00CA3FE0"/>
    <w:rsid w:val="00CA4E8A"/>
    <w:rsid w:val="00CC12D3"/>
    <w:rsid w:val="00CD1E24"/>
    <w:rsid w:val="00D07CB4"/>
    <w:rsid w:val="00D11652"/>
    <w:rsid w:val="00D31C88"/>
    <w:rsid w:val="00D84C69"/>
    <w:rsid w:val="00D95A3B"/>
    <w:rsid w:val="00DB1670"/>
    <w:rsid w:val="00DB5808"/>
    <w:rsid w:val="00DC2143"/>
    <w:rsid w:val="00E36141"/>
    <w:rsid w:val="00E5343D"/>
    <w:rsid w:val="00E80E55"/>
    <w:rsid w:val="00EA6347"/>
    <w:rsid w:val="00F17334"/>
    <w:rsid w:val="00F20BE1"/>
    <w:rsid w:val="00F56283"/>
    <w:rsid w:val="00F87C51"/>
    <w:rsid w:val="00FA2AC5"/>
    <w:rsid w:val="00FC611A"/>
    <w:rsid w:val="00FC62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MenoPendente">
    <w:name w:val="Unresolved Mention"/>
    <w:basedOn w:val="Fontepargpadro"/>
    <w:uiPriority w:val="99"/>
    <w:semiHidden/>
    <w:unhideWhenUsed/>
    <w:rsid w:val="00662FF7"/>
    <w:rPr>
      <w:color w:val="605E5C"/>
      <w:shd w:val="clear" w:color="auto" w:fill="E1DFDD"/>
    </w:rPr>
  </w:style>
  <w:style w:type="paragraph" w:customStyle="1" w:styleId="p1">
    <w:name w:val="p1"/>
    <w:basedOn w:val="Normal"/>
    <w:rsid w:val="00FC626B"/>
    <w:pPr>
      <w:widowControl/>
      <w:spacing w:before="100" w:beforeAutospacing="1" w:after="100" w:afterAutospacing="1"/>
    </w:pPr>
    <w:rPr>
      <w:rFonts w:eastAsiaTheme="minorEastAsia"/>
      <w:sz w:val="24"/>
      <w:szCs w:val="24"/>
      <w:lang w:bidi="ar-SA"/>
    </w:rPr>
  </w:style>
  <w:style w:type="character" w:customStyle="1" w:styleId="s1">
    <w:name w:val="s1"/>
    <w:basedOn w:val="Fontepargpadro"/>
    <w:rsid w:val="00FC626B"/>
  </w:style>
  <w:style w:type="character" w:customStyle="1" w:styleId="s2">
    <w:name w:val="s2"/>
    <w:basedOn w:val="Fontepargpadro"/>
    <w:rsid w:val="00FC626B"/>
  </w:style>
  <w:style w:type="character" w:customStyle="1" w:styleId="bumpedfont17">
    <w:name w:val="bumpedfont17"/>
    <w:basedOn w:val="Fontepargpadro"/>
    <w:rsid w:val="004255EC"/>
  </w:style>
  <w:style w:type="character" w:customStyle="1" w:styleId="apple-converted-space">
    <w:name w:val="apple-converted-space"/>
    <w:basedOn w:val="Fontepargpadro"/>
    <w:rsid w:val="004255EC"/>
  </w:style>
  <w:style w:type="character" w:styleId="Refdecomentrio">
    <w:name w:val="annotation reference"/>
    <w:basedOn w:val="Fontepargpadro"/>
    <w:uiPriority w:val="99"/>
    <w:semiHidden/>
    <w:unhideWhenUsed/>
    <w:rsid w:val="00862BC5"/>
    <w:rPr>
      <w:sz w:val="16"/>
      <w:szCs w:val="16"/>
    </w:rPr>
  </w:style>
  <w:style w:type="paragraph" w:styleId="Textodecomentrio">
    <w:name w:val="annotation text"/>
    <w:basedOn w:val="Normal"/>
    <w:link w:val="TextodecomentrioChar"/>
    <w:uiPriority w:val="99"/>
    <w:unhideWhenUsed/>
    <w:rsid w:val="00862BC5"/>
    <w:rPr>
      <w:sz w:val="20"/>
      <w:szCs w:val="20"/>
    </w:rPr>
  </w:style>
  <w:style w:type="character" w:customStyle="1" w:styleId="TextodecomentrioChar">
    <w:name w:val="Texto de comentário Char"/>
    <w:basedOn w:val="Fontepargpadro"/>
    <w:link w:val="Textodecomentrio"/>
    <w:uiPriority w:val="99"/>
    <w:rsid w:val="00862BC5"/>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862BC5"/>
    <w:rPr>
      <w:b/>
      <w:bCs/>
    </w:rPr>
  </w:style>
  <w:style w:type="character" w:customStyle="1" w:styleId="AssuntodocomentrioChar">
    <w:name w:val="Assunto do comentário Char"/>
    <w:basedOn w:val="TextodecomentrioChar"/>
    <w:link w:val="Assuntodocomentrio"/>
    <w:uiPriority w:val="99"/>
    <w:semiHidden/>
    <w:rsid w:val="00862BC5"/>
    <w:rPr>
      <w:b/>
      <w:bCs/>
      <w:sz w:val="20"/>
      <w:szCs w:val="20"/>
      <w:lang w:bidi="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89479">
      <w:bodyDiv w:val="1"/>
      <w:marLeft w:val="0"/>
      <w:marRight w:val="0"/>
      <w:marTop w:val="0"/>
      <w:marBottom w:val="0"/>
      <w:divBdr>
        <w:top w:val="none" w:sz="0" w:space="0" w:color="auto"/>
        <w:left w:val="none" w:sz="0" w:space="0" w:color="auto"/>
        <w:bottom w:val="none" w:sz="0" w:space="0" w:color="auto"/>
        <w:right w:val="none" w:sz="0" w:space="0" w:color="auto"/>
      </w:divBdr>
    </w:div>
    <w:div w:id="168300322">
      <w:bodyDiv w:val="1"/>
      <w:marLeft w:val="0"/>
      <w:marRight w:val="0"/>
      <w:marTop w:val="0"/>
      <w:marBottom w:val="0"/>
      <w:divBdr>
        <w:top w:val="none" w:sz="0" w:space="0" w:color="auto"/>
        <w:left w:val="none" w:sz="0" w:space="0" w:color="auto"/>
        <w:bottom w:val="none" w:sz="0" w:space="0" w:color="auto"/>
        <w:right w:val="none" w:sz="0" w:space="0" w:color="auto"/>
      </w:divBdr>
    </w:div>
    <w:div w:id="596249326">
      <w:bodyDiv w:val="1"/>
      <w:marLeft w:val="0"/>
      <w:marRight w:val="0"/>
      <w:marTop w:val="0"/>
      <w:marBottom w:val="0"/>
      <w:divBdr>
        <w:top w:val="none" w:sz="0" w:space="0" w:color="auto"/>
        <w:left w:val="none" w:sz="0" w:space="0" w:color="auto"/>
        <w:bottom w:val="none" w:sz="0" w:space="0" w:color="auto"/>
        <w:right w:val="none" w:sz="0" w:space="0" w:color="auto"/>
      </w:divBdr>
    </w:div>
    <w:div w:id="627124504">
      <w:bodyDiv w:val="1"/>
      <w:marLeft w:val="0"/>
      <w:marRight w:val="0"/>
      <w:marTop w:val="0"/>
      <w:marBottom w:val="0"/>
      <w:divBdr>
        <w:top w:val="none" w:sz="0" w:space="0" w:color="auto"/>
        <w:left w:val="none" w:sz="0" w:space="0" w:color="auto"/>
        <w:bottom w:val="none" w:sz="0" w:space="0" w:color="auto"/>
        <w:right w:val="none" w:sz="0" w:space="0" w:color="auto"/>
      </w:divBdr>
    </w:div>
    <w:div w:id="737675289">
      <w:bodyDiv w:val="1"/>
      <w:marLeft w:val="0"/>
      <w:marRight w:val="0"/>
      <w:marTop w:val="0"/>
      <w:marBottom w:val="0"/>
      <w:divBdr>
        <w:top w:val="none" w:sz="0" w:space="0" w:color="auto"/>
        <w:left w:val="none" w:sz="0" w:space="0" w:color="auto"/>
        <w:bottom w:val="none" w:sz="0" w:space="0" w:color="auto"/>
        <w:right w:val="none" w:sz="0" w:space="0" w:color="auto"/>
      </w:divBdr>
    </w:div>
    <w:div w:id="891111903">
      <w:bodyDiv w:val="1"/>
      <w:marLeft w:val="0"/>
      <w:marRight w:val="0"/>
      <w:marTop w:val="0"/>
      <w:marBottom w:val="0"/>
      <w:divBdr>
        <w:top w:val="none" w:sz="0" w:space="0" w:color="auto"/>
        <w:left w:val="none" w:sz="0" w:space="0" w:color="auto"/>
        <w:bottom w:val="none" w:sz="0" w:space="0" w:color="auto"/>
        <w:right w:val="none" w:sz="0" w:space="0" w:color="auto"/>
      </w:divBdr>
    </w:div>
    <w:div w:id="981622461">
      <w:bodyDiv w:val="1"/>
      <w:marLeft w:val="0"/>
      <w:marRight w:val="0"/>
      <w:marTop w:val="0"/>
      <w:marBottom w:val="0"/>
      <w:divBdr>
        <w:top w:val="none" w:sz="0" w:space="0" w:color="auto"/>
        <w:left w:val="none" w:sz="0" w:space="0" w:color="auto"/>
        <w:bottom w:val="none" w:sz="0" w:space="0" w:color="auto"/>
        <w:right w:val="none" w:sz="0" w:space="0" w:color="auto"/>
      </w:divBdr>
      <w:divsChild>
        <w:div w:id="198014345">
          <w:marLeft w:val="0"/>
          <w:marRight w:val="0"/>
          <w:marTop w:val="0"/>
          <w:marBottom w:val="0"/>
          <w:divBdr>
            <w:top w:val="none" w:sz="0" w:space="0" w:color="auto"/>
            <w:left w:val="none" w:sz="0" w:space="0" w:color="auto"/>
            <w:bottom w:val="none" w:sz="0" w:space="0" w:color="auto"/>
            <w:right w:val="none" w:sz="0" w:space="0" w:color="auto"/>
          </w:divBdr>
        </w:div>
      </w:divsChild>
    </w:div>
    <w:div w:id="1405251516">
      <w:bodyDiv w:val="1"/>
      <w:marLeft w:val="0"/>
      <w:marRight w:val="0"/>
      <w:marTop w:val="0"/>
      <w:marBottom w:val="0"/>
      <w:divBdr>
        <w:top w:val="none" w:sz="0" w:space="0" w:color="auto"/>
        <w:left w:val="none" w:sz="0" w:space="0" w:color="auto"/>
        <w:bottom w:val="none" w:sz="0" w:space="0" w:color="auto"/>
        <w:right w:val="none" w:sz="0" w:space="0" w:color="auto"/>
      </w:divBdr>
    </w:div>
    <w:div w:id="1487668004">
      <w:bodyDiv w:val="1"/>
      <w:marLeft w:val="0"/>
      <w:marRight w:val="0"/>
      <w:marTop w:val="0"/>
      <w:marBottom w:val="0"/>
      <w:divBdr>
        <w:top w:val="none" w:sz="0" w:space="0" w:color="auto"/>
        <w:left w:val="none" w:sz="0" w:space="0" w:color="auto"/>
        <w:bottom w:val="none" w:sz="0" w:space="0" w:color="auto"/>
        <w:right w:val="none" w:sz="0" w:space="0" w:color="auto"/>
      </w:divBdr>
    </w:div>
    <w:div w:id="1557543996">
      <w:bodyDiv w:val="1"/>
      <w:marLeft w:val="0"/>
      <w:marRight w:val="0"/>
      <w:marTop w:val="0"/>
      <w:marBottom w:val="0"/>
      <w:divBdr>
        <w:top w:val="none" w:sz="0" w:space="0" w:color="auto"/>
        <w:left w:val="none" w:sz="0" w:space="0" w:color="auto"/>
        <w:bottom w:val="none" w:sz="0" w:space="0" w:color="auto"/>
        <w:right w:val="none" w:sz="0" w:space="0" w:color="auto"/>
      </w:divBdr>
    </w:div>
    <w:div w:id="1583905850">
      <w:bodyDiv w:val="1"/>
      <w:marLeft w:val="0"/>
      <w:marRight w:val="0"/>
      <w:marTop w:val="0"/>
      <w:marBottom w:val="0"/>
      <w:divBdr>
        <w:top w:val="none" w:sz="0" w:space="0" w:color="auto"/>
        <w:left w:val="none" w:sz="0" w:space="0" w:color="auto"/>
        <w:bottom w:val="none" w:sz="0" w:space="0" w:color="auto"/>
        <w:right w:val="none" w:sz="0" w:space="0" w:color="auto"/>
      </w:divBdr>
    </w:div>
    <w:div w:id="1678922778">
      <w:bodyDiv w:val="1"/>
      <w:marLeft w:val="0"/>
      <w:marRight w:val="0"/>
      <w:marTop w:val="0"/>
      <w:marBottom w:val="0"/>
      <w:divBdr>
        <w:top w:val="none" w:sz="0" w:space="0" w:color="auto"/>
        <w:left w:val="none" w:sz="0" w:space="0" w:color="auto"/>
        <w:bottom w:val="none" w:sz="0" w:space="0" w:color="auto"/>
        <w:right w:val="none" w:sz="0" w:space="0" w:color="auto"/>
      </w:divBdr>
    </w:div>
    <w:div w:id="1736778068">
      <w:bodyDiv w:val="1"/>
      <w:marLeft w:val="0"/>
      <w:marRight w:val="0"/>
      <w:marTop w:val="0"/>
      <w:marBottom w:val="0"/>
      <w:divBdr>
        <w:top w:val="none" w:sz="0" w:space="0" w:color="auto"/>
        <w:left w:val="none" w:sz="0" w:space="0" w:color="auto"/>
        <w:bottom w:val="none" w:sz="0" w:space="0" w:color="auto"/>
        <w:right w:val="none" w:sz="0" w:space="0" w:color="auto"/>
      </w:divBdr>
    </w:div>
    <w:div w:id="1801223877">
      <w:bodyDiv w:val="1"/>
      <w:marLeft w:val="0"/>
      <w:marRight w:val="0"/>
      <w:marTop w:val="0"/>
      <w:marBottom w:val="0"/>
      <w:divBdr>
        <w:top w:val="none" w:sz="0" w:space="0" w:color="auto"/>
        <w:left w:val="none" w:sz="0" w:space="0" w:color="auto"/>
        <w:bottom w:val="none" w:sz="0" w:space="0" w:color="auto"/>
        <w:right w:val="none" w:sz="0" w:space="0" w:color="auto"/>
      </w:divBdr>
    </w:div>
    <w:div w:id="1857188439">
      <w:bodyDiv w:val="1"/>
      <w:marLeft w:val="0"/>
      <w:marRight w:val="0"/>
      <w:marTop w:val="0"/>
      <w:marBottom w:val="0"/>
      <w:divBdr>
        <w:top w:val="none" w:sz="0" w:space="0" w:color="auto"/>
        <w:left w:val="none" w:sz="0" w:space="0" w:color="auto"/>
        <w:bottom w:val="none" w:sz="0" w:space="0" w:color="auto"/>
        <w:right w:val="none" w:sz="0" w:space="0" w:color="auto"/>
      </w:divBdr>
    </w:div>
    <w:div w:id="1860464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foteca.cnptia.embrapa.br/handle/item/22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ba.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7885/230412623"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fb.cnpf.embrapa.br/pfb/"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2475</Words>
  <Characters>13365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Terceira Labmanejo</cp:lastModifiedBy>
  <cp:revision>2</cp:revision>
  <dcterms:created xsi:type="dcterms:W3CDTF">2025-06-23T15:05:00Z</dcterms:created>
  <dcterms:modified xsi:type="dcterms:W3CDTF">2025-06-23T15:05:00Z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