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center"/>
        <w:rPr>
          <w:b w:val="1"/>
          <w:sz w:val="24"/>
          <w:szCs w:val="24"/>
        </w:rPr>
      </w:pPr>
      <w:r w:rsidDel="00000000" w:rsidR="00000000" w:rsidRPr="00000000">
        <w:rPr>
          <w:rtl w:val="0"/>
        </w:rPr>
        <w:t xml:space="preserve">     </w:t>
      </w:r>
      <w:r w:rsidDel="00000000" w:rsidR="00000000" w:rsidRPr="00000000">
        <w:rPr>
          <w:b w:val="1"/>
          <w:sz w:val="24"/>
          <w:szCs w:val="24"/>
          <w:rtl w:val="0"/>
        </w:rPr>
        <w:t xml:space="preserve">AVALIAÇÃO DO CRESCIMENTO E PRODUTIVIDADE DE CLONES DE EUCALIPTO EM SISTEMA ILPF</w:t>
      </w:r>
    </w:p>
    <w:p w:rsidR="00000000" w:rsidDel="00000000" w:rsidP="00000000" w:rsidRDefault="00000000" w:rsidRPr="00000000" w14:paraId="00000002">
      <w:pPr>
        <w:spacing w:line="276" w:lineRule="auto"/>
        <w:ind w:left="221" w:right="214" w:firstLine="0"/>
        <w:jc w:val="center"/>
        <w:rPr>
          <w:b w:val="1"/>
          <w:sz w:val="20"/>
          <w:szCs w:val="20"/>
          <w:vertAlign w:val="superscript"/>
        </w:rPr>
      </w:pPr>
      <w:r w:rsidDel="00000000" w:rsidR="00000000" w:rsidRPr="00000000">
        <w:rPr>
          <w:b w:val="1"/>
          <w:sz w:val="20"/>
          <w:szCs w:val="20"/>
          <w:rtl w:val="0"/>
        </w:rPr>
        <w:t xml:space="preserve">Maria Heloísa dos Santos Silva</w:t>
      </w:r>
      <w:r w:rsidDel="00000000" w:rsidR="00000000" w:rsidRPr="00000000">
        <w:rPr>
          <w:b w:val="1"/>
          <w:sz w:val="20"/>
          <w:szCs w:val="20"/>
          <w:vertAlign w:val="superscript"/>
          <w:rtl w:val="0"/>
        </w:rPr>
        <w:t xml:space="preserve">1*</w:t>
      </w:r>
      <w:r w:rsidDel="00000000" w:rsidR="00000000" w:rsidRPr="00000000">
        <w:rPr>
          <w:b w:val="1"/>
          <w:sz w:val="20"/>
          <w:szCs w:val="20"/>
          <w:rtl w:val="0"/>
        </w:rPr>
        <w:t xml:space="preserve">, Jose Henrique Anísio Lourenço</w:t>
      </w:r>
      <w:r w:rsidDel="00000000" w:rsidR="00000000" w:rsidRPr="00000000">
        <w:rPr>
          <w:b w:val="1"/>
          <w:sz w:val="20"/>
          <w:szCs w:val="20"/>
          <w:vertAlign w:val="superscript"/>
          <w:rtl w:val="0"/>
        </w:rPr>
        <w:t xml:space="preserve">1</w:t>
      </w:r>
      <w:r w:rsidDel="00000000" w:rsidR="00000000" w:rsidRPr="00000000">
        <w:rPr>
          <w:b w:val="1"/>
          <w:sz w:val="20"/>
          <w:szCs w:val="20"/>
          <w:rtl w:val="0"/>
        </w:rPr>
        <w:t xml:space="preserve">, Gualter Guenther Costa da Silva</w:t>
      </w:r>
      <w:r w:rsidDel="00000000" w:rsidR="00000000" w:rsidRPr="00000000">
        <w:rPr>
          <w:b w:val="1"/>
          <w:sz w:val="20"/>
          <w:szCs w:val="20"/>
          <w:vertAlign w:val="superscript"/>
          <w:rtl w:val="0"/>
        </w:rPr>
        <w:t xml:space="preserve">1</w:t>
      </w:r>
      <w:r w:rsidDel="00000000" w:rsidR="00000000" w:rsidRPr="00000000">
        <w:rPr>
          <w:b w:val="1"/>
          <w:sz w:val="20"/>
          <w:szCs w:val="20"/>
          <w:rtl w:val="0"/>
        </w:rPr>
        <w:t xml:space="preserve"> , Ermelinda Maria Mota Oliveira</w:t>
      </w:r>
      <w:r w:rsidDel="00000000" w:rsidR="00000000" w:rsidRPr="00000000">
        <w:rPr>
          <w:b w:val="1"/>
          <w:sz w:val="20"/>
          <w:szCs w:val="20"/>
          <w:vertAlign w:val="superscript"/>
          <w:rtl w:val="0"/>
        </w:rPr>
        <w:t xml:space="preserve">1</w:t>
      </w:r>
      <w:r w:rsidDel="00000000" w:rsidR="00000000" w:rsidRPr="00000000">
        <w:rPr>
          <w:b w:val="1"/>
          <w:sz w:val="20"/>
          <w:szCs w:val="20"/>
          <w:rtl w:val="0"/>
        </w:rPr>
        <w:t xml:space="preserve">, Juliana Lorensi do Canto</w:t>
      </w:r>
      <w:r w:rsidDel="00000000" w:rsidR="00000000" w:rsidRPr="00000000">
        <w:rPr>
          <w:b w:val="1"/>
          <w:sz w:val="20"/>
          <w:szCs w:val="20"/>
          <w:vertAlign w:val="superscript"/>
          <w:rtl w:val="0"/>
        </w:rPr>
        <w:t xml:space="preserve">1</w:t>
      </w:r>
      <w:r w:rsidDel="00000000" w:rsidR="00000000" w:rsidRPr="00000000">
        <w:rPr>
          <w:b w:val="1"/>
          <w:sz w:val="20"/>
          <w:szCs w:val="20"/>
          <w:rtl w:val="0"/>
        </w:rPr>
        <w:t xml:space="preserve">, Maria Luiza Cunha da Costa</w:t>
      </w:r>
      <w:r w:rsidDel="00000000" w:rsidR="00000000" w:rsidRPr="00000000">
        <w:rPr>
          <w:b w:val="1"/>
          <w:sz w:val="20"/>
          <w:szCs w:val="20"/>
          <w:vertAlign w:val="superscript"/>
          <w:rtl w:val="0"/>
        </w:rPr>
        <w:t xml:space="preserve">1</w:t>
      </w:r>
    </w:p>
    <w:p w:rsidR="00000000" w:rsidDel="00000000" w:rsidP="00000000" w:rsidRDefault="00000000" w:rsidRPr="00000000" w14:paraId="00000003">
      <w:pPr>
        <w:spacing w:line="276" w:lineRule="auto"/>
        <w:ind w:left="221" w:right="214" w:firstLine="0"/>
        <w:jc w:val="center"/>
        <w:rPr>
          <w:sz w:val="20"/>
          <w:szCs w:val="20"/>
        </w:rPr>
      </w:pPr>
      <w:r w:rsidDel="00000000" w:rsidR="00000000" w:rsidRPr="00000000">
        <w:rPr>
          <w:sz w:val="20"/>
          <w:szCs w:val="20"/>
          <w:rtl w:val="0"/>
        </w:rPr>
        <w:t xml:space="preserve">Universidade Federal do Rio Grande do Norte</w:t>
      </w:r>
      <w:r w:rsidDel="00000000" w:rsidR="00000000" w:rsidRPr="00000000">
        <w:rPr>
          <w:sz w:val="20"/>
          <w:szCs w:val="20"/>
          <w:vertAlign w:val="superscript"/>
          <w:rtl w:val="0"/>
        </w:rPr>
        <w:t xml:space="preserve">1</w:t>
      </w:r>
      <w:r w:rsidDel="00000000" w:rsidR="00000000" w:rsidRPr="00000000">
        <w:rPr>
          <w:sz w:val="20"/>
          <w:szCs w:val="20"/>
          <w:rtl w:val="0"/>
        </w:rPr>
        <w:t xml:space="preserve">.</w:t>
      </w:r>
    </w:p>
    <w:p w:rsidR="00000000" w:rsidDel="00000000" w:rsidP="00000000" w:rsidRDefault="00000000" w:rsidRPr="00000000" w14:paraId="00000004">
      <w:pPr>
        <w:spacing w:line="276" w:lineRule="auto"/>
        <w:ind w:left="221" w:right="214" w:firstLine="0"/>
        <w:jc w:val="center"/>
        <w:rPr>
          <w:sz w:val="20"/>
          <w:szCs w:val="20"/>
        </w:rPr>
      </w:pPr>
      <w:bookmarkStart w:colFirst="0" w:colLast="0" w:name="_heading=h.yp96iwu2o7wg" w:id="0"/>
      <w:bookmarkEnd w:id="0"/>
      <w:r w:rsidDel="00000000" w:rsidR="00000000" w:rsidRPr="00000000">
        <w:rPr>
          <w:sz w:val="20"/>
          <w:szCs w:val="20"/>
          <w:rtl w:val="0"/>
        </w:rPr>
        <w:t xml:space="preserve">*</w:t>
      </w:r>
      <w:hyperlink r:id="rId7">
        <w:r w:rsidDel="00000000" w:rsidR="00000000" w:rsidRPr="00000000">
          <w:rPr>
            <w:sz w:val="20"/>
            <w:szCs w:val="20"/>
            <w:u w:val="single"/>
            <w:rtl w:val="0"/>
          </w:rPr>
          <w:t xml:space="preserve">mariaheloisantos.2005@gmail.com</w:t>
        </w:r>
      </w:hyperlink>
      <w:r w:rsidDel="00000000" w:rsidR="00000000" w:rsidRPr="00000000">
        <w:rPr>
          <w:rtl w:val="0"/>
        </w:rPr>
      </w:r>
    </w:p>
    <w:p w:rsidR="00000000" w:rsidDel="00000000" w:rsidP="00000000" w:rsidRDefault="00000000" w:rsidRPr="00000000" w14:paraId="00000005">
      <w:pPr>
        <w:jc w:val="center"/>
        <w:rPr>
          <w:sz w:val="20"/>
          <w:szCs w:val="20"/>
        </w:rPr>
      </w:pPr>
      <w:r w:rsidDel="00000000" w:rsidR="00000000" w:rsidRPr="00000000">
        <w:rPr>
          <w:sz w:val="20"/>
          <w:szCs w:val="20"/>
          <w:rtl w:val="0"/>
        </w:rPr>
        <w:t xml:space="preserve">__________________________________________________________________________________________</w:t>
      </w:r>
    </w:p>
    <w:p w:rsidR="00000000" w:rsidDel="00000000" w:rsidP="00000000" w:rsidRDefault="00000000" w:rsidRPr="00000000" w14:paraId="00000006">
      <w:pPr>
        <w:jc w:val="center"/>
        <w:rPr>
          <w:sz w:val="20"/>
          <w:szCs w:val="20"/>
        </w:rPr>
      </w:pPr>
      <w:r w:rsidDel="00000000" w:rsidR="00000000" w:rsidRPr="00000000">
        <w:rPr>
          <w:rtl w:val="0"/>
        </w:rPr>
      </w:r>
    </w:p>
    <w:p w:rsidR="00000000" w:rsidDel="00000000" w:rsidP="00000000" w:rsidRDefault="00000000" w:rsidRPr="00000000" w14:paraId="00000007">
      <w:pPr>
        <w:jc w:val="both"/>
        <w:rPr>
          <w:b w:val="1"/>
          <w:sz w:val="20"/>
          <w:szCs w:val="20"/>
        </w:rPr>
      </w:pPr>
      <w:bookmarkStart w:colFirst="0" w:colLast="0" w:name="_heading=h.uqve3056ldpn" w:id="1"/>
      <w:bookmarkEnd w:id="1"/>
      <w:r w:rsidDel="00000000" w:rsidR="00000000" w:rsidRPr="00000000">
        <w:rPr>
          <w:b w:val="1"/>
          <w:sz w:val="20"/>
          <w:szCs w:val="20"/>
          <w:rtl w:val="0"/>
        </w:rPr>
        <w:t xml:space="preserve">RESUMO</w:t>
      </w:r>
    </w:p>
    <w:p w:rsidR="00000000" w:rsidDel="00000000" w:rsidP="00000000" w:rsidRDefault="00000000" w:rsidRPr="00000000" w14:paraId="00000008">
      <w:pPr>
        <w:ind w:left="567" w:right="567" w:firstLine="0"/>
        <w:jc w:val="both"/>
        <w:rPr>
          <w:sz w:val="20"/>
          <w:szCs w:val="20"/>
        </w:rPr>
      </w:pPr>
      <w:r w:rsidDel="00000000" w:rsidR="00000000" w:rsidRPr="00000000">
        <w:rPr>
          <w:sz w:val="20"/>
          <w:szCs w:val="20"/>
          <w:rtl w:val="0"/>
        </w:rPr>
        <w:t xml:space="preserve">Este estudo avaliou o crescimento e a produtividade de dois clones de eucalipto (</w:t>
      </w:r>
      <w:r w:rsidDel="00000000" w:rsidR="00000000" w:rsidRPr="00000000">
        <w:rPr>
          <w:sz w:val="20"/>
          <w:szCs w:val="20"/>
          <w:rtl w:val="0"/>
        </w:rPr>
        <w:t xml:space="preserve">Urograndis) cultivados em sistema ILPF com mandioca e capim pangolão, sob quatro espaçamentos (1,25 × 9 m; 1,5 × 9 m; 2 × 9 m; 2,5 × 9 m). Aos 24, 48 e 66 meses, mensuraram-se diâmetro à altura do peito (DAP), altura total, volume individual, Incremento Médio Anual (IMA) e Incremento Corrente Anual (ICA). Os resultados indicaram que o espaçamento de 1,25 × 9 m favoreceu o crescimento em altura, sendo ideal para lenha e madeira serrada; enquanto, 2,50 × 9 m proporcionou maiores DAP, recomendado para mourões. O volume total por hectare manteve-se equivalente entre os espaçamentos, resultante da compensação entre número de árvores e porte individual. O clone B (EUCA105) apresentou superioridade nos incrementos IMA e ICA, indicando maior produtividade e melhor adaptação ao clima semiárido. Conclui-se que a definição do espaçamento deve considerar o produto final desejado e as características genéticas do clone, a fim de otimizar a eficiência e a sustentabilidade em sistemas florestais integrados.</w:t>
      </w:r>
    </w:p>
    <w:p w:rsidR="00000000" w:rsidDel="00000000" w:rsidP="00000000" w:rsidRDefault="00000000" w:rsidRPr="00000000" w14:paraId="00000009">
      <w:pPr>
        <w:ind w:right="567"/>
        <w:jc w:val="both"/>
        <w:rPr>
          <w:sz w:val="20"/>
          <w:szCs w:val="20"/>
        </w:rPr>
      </w:pPr>
      <w:r w:rsidDel="00000000" w:rsidR="00000000" w:rsidRPr="00000000">
        <w:rPr>
          <w:i w:val="1"/>
          <w:sz w:val="20"/>
          <w:szCs w:val="20"/>
          <w:rtl w:val="0"/>
        </w:rPr>
        <w:t xml:space="preserve">Palavras-chave</w:t>
      </w:r>
      <w:r w:rsidDel="00000000" w:rsidR="00000000" w:rsidRPr="00000000">
        <w:rPr>
          <w:sz w:val="20"/>
          <w:szCs w:val="20"/>
          <w:rtl w:val="0"/>
        </w:rPr>
        <w:t xml:space="preserve">: Produtividade florestal, Eucalipto Hibrido, Biomassa Florestal</w:t>
      </w:r>
    </w:p>
    <w:p w:rsidR="00000000" w:rsidDel="00000000" w:rsidP="00000000" w:rsidRDefault="00000000" w:rsidRPr="00000000" w14:paraId="0000000A">
      <w:pPr>
        <w:widowControl w:val="1"/>
        <w:jc w:val="both"/>
        <w:rPr>
          <w:b w:val="1"/>
          <w:sz w:val="20"/>
          <w:szCs w:val="20"/>
        </w:rPr>
      </w:pPr>
      <w:r w:rsidDel="00000000" w:rsidR="00000000" w:rsidRPr="00000000">
        <w:rPr>
          <w:rtl w:val="0"/>
        </w:rPr>
      </w:r>
    </w:p>
    <w:p w:rsidR="00000000" w:rsidDel="00000000" w:rsidP="00000000" w:rsidRDefault="00000000" w:rsidRPr="00000000" w14:paraId="0000000B">
      <w:pPr>
        <w:widowControl w:val="1"/>
        <w:jc w:val="both"/>
        <w:rPr>
          <w:b w:val="1"/>
          <w:sz w:val="20"/>
          <w:szCs w:val="20"/>
        </w:rPr>
      </w:pPr>
      <w:r w:rsidDel="00000000" w:rsidR="00000000" w:rsidRPr="00000000">
        <w:rPr>
          <w:b w:val="1"/>
          <w:sz w:val="20"/>
          <w:szCs w:val="20"/>
          <w:rtl w:val="0"/>
        </w:rPr>
        <w:t xml:space="preserve">INTRODUÇÃO</w:t>
      </w:r>
    </w:p>
    <w:p w:rsidR="00000000" w:rsidDel="00000000" w:rsidP="00000000" w:rsidRDefault="00000000" w:rsidRPr="00000000" w14:paraId="0000000C">
      <w:pPr>
        <w:widowControl w:val="1"/>
        <w:ind w:firstLine="720"/>
        <w:jc w:val="both"/>
        <w:rPr>
          <w:sz w:val="20"/>
          <w:szCs w:val="20"/>
        </w:rPr>
      </w:pPr>
      <w:r w:rsidDel="00000000" w:rsidR="00000000" w:rsidRPr="00000000">
        <w:rPr>
          <w:sz w:val="20"/>
          <w:szCs w:val="20"/>
          <w:rtl w:val="0"/>
        </w:rPr>
        <w:t xml:space="preserve">A silvicultura brasileira ocupa mais de 9 milhões de hectares, movimentando cerca de R$ 33 bilhões, segundo dados do Instituto Brasileiro de Geografia e Estatística (IBGE, 2022). Dentro desse cenário, destaca-se a cultura do eucalipto (</w:t>
      </w:r>
      <w:r w:rsidDel="00000000" w:rsidR="00000000" w:rsidRPr="00000000">
        <w:rPr>
          <w:i w:val="1"/>
          <w:sz w:val="20"/>
          <w:szCs w:val="20"/>
          <w:rtl w:val="0"/>
        </w:rPr>
        <w:t xml:space="preserve">Eucalyptus spp.</w:t>
      </w:r>
      <w:r w:rsidDel="00000000" w:rsidR="00000000" w:rsidRPr="00000000">
        <w:rPr>
          <w:sz w:val="20"/>
          <w:szCs w:val="20"/>
          <w:rtl w:val="0"/>
        </w:rPr>
        <w:t xml:space="preserve">), espécie amplamente utilizada devido à sua madeira de boa qualidade e à elevada produtividade, sobretudo nas condições edafoclimáticas favoráveis do Nordeste (Empresa Brasileira de Pesquisa Agropecuária - EMBRAPA, 2019; Santarosa </w:t>
      </w:r>
      <w:r w:rsidDel="00000000" w:rsidR="00000000" w:rsidRPr="00000000">
        <w:rPr>
          <w:i w:val="1"/>
          <w:sz w:val="20"/>
          <w:szCs w:val="20"/>
          <w:rtl w:val="0"/>
        </w:rPr>
        <w:t xml:space="preserve">et al</w:t>
      </w:r>
      <w:r w:rsidDel="00000000" w:rsidR="00000000" w:rsidRPr="00000000">
        <w:rPr>
          <w:sz w:val="20"/>
          <w:szCs w:val="20"/>
          <w:rtl w:val="0"/>
        </w:rPr>
        <w:t xml:space="preserve">., 2014a). No bioma Caatinga, a produção florestal de espécies nativas como a catingueira (</w:t>
      </w:r>
      <w:r w:rsidDel="00000000" w:rsidR="00000000" w:rsidRPr="00000000">
        <w:rPr>
          <w:i w:val="1"/>
          <w:sz w:val="20"/>
          <w:szCs w:val="20"/>
          <w:rtl w:val="0"/>
        </w:rPr>
        <w:t xml:space="preserve">Caesalpinia pyramidalis Tul.</w:t>
      </w:r>
      <w:r w:rsidDel="00000000" w:rsidR="00000000" w:rsidRPr="00000000">
        <w:rPr>
          <w:sz w:val="20"/>
          <w:szCs w:val="20"/>
          <w:rtl w:val="0"/>
        </w:rPr>
        <w:t xml:space="preserve">), o mororó (</w:t>
      </w:r>
      <w:r w:rsidDel="00000000" w:rsidR="00000000" w:rsidRPr="00000000">
        <w:rPr>
          <w:i w:val="1"/>
          <w:sz w:val="20"/>
          <w:szCs w:val="20"/>
          <w:rtl w:val="0"/>
        </w:rPr>
        <w:t xml:space="preserve">Bauhinia cheilantha Bong. ex Miq.</w:t>
      </w:r>
      <w:r w:rsidDel="00000000" w:rsidR="00000000" w:rsidRPr="00000000">
        <w:rPr>
          <w:sz w:val="20"/>
          <w:szCs w:val="20"/>
          <w:rtl w:val="0"/>
        </w:rPr>
        <w:t xml:space="preserve">), entre outras, não tem conseguido suprir a demanda energética regional, o que torna o eucalipto uma alternativa viável para geração de energia e renda, sem exigir a supressão da vegetação nativa (Silva, 2008-2009a). O cultivo de eucalipto destaca-se compatível com práticas sustentáveis, sendo frequentemente inserido em sistemas integrados como o ILPF, promovendo diversificação produtiva, especialmente em pequenas propriedades (Oliveira </w:t>
      </w:r>
      <w:r w:rsidDel="00000000" w:rsidR="00000000" w:rsidRPr="00000000">
        <w:rPr>
          <w:i w:val="1"/>
          <w:sz w:val="20"/>
          <w:szCs w:val="20"/>
          <w:rtl w:val="0"/>
        </w:rPr>
        <w:t xml:space="preserve">et al</w:t>
      </w:r>
      <w:r w:rsidDel="00000000" w:rsidR="00000000" w:rsidRPr="00000000">
        <w:rPr>
          <w:sz w:val="20"/>
          <w:szCs w:val="20"/>
          <w:rtl w:val="0"/>
        </w:rPr>
        <w:t xml:space="preserve">., 2021a). Apesar do potencial dos povoamentos florestais, a extração de madeira no Nordeste ainda ocorre m prioritariamente por meio do desmatamento, seja legal, ilegal ou pelo manejo florestal sustentável. As espécies nativas da Caatinga, além do uso energético, são aproveitadas para construção civil, pastagem e medicina tradicional (Brand, 2017).</w:t>
      </w:r>
    </w:p>
    <w:p w:rsidR="00000000" w:rsidDel="00000000" w:rsidP="00000000" w:rsidRDefault="00000000" w:rsidRPr="00000000" w14:paraId="0000000D">
      <w:pPr>
        <w:widowControl w:val="1"/>
        <w:ind w:firstLine="720"/>
        <w:jc w:val="both"/>
        <w:rPr>
          <w:sz w:val="20"/>
          <w:szCs w:val="20"/>
        </w:rPr>
      </w:pPr>
      <w:r w:rsidDel="00000000" w:rsidR="00000000" w:rsidRPr="00000000">
        <w:rPr>
          <w:sz w:val="20"/>
          <w:szCs w:val="20"/>
          <w:rtl w:val="0"/>
        </w:rPr>
        <w:t xml:space="preserve">Mesmo com o avanço de fontes renováveis como a energia solar e eólica na região, a biomassa florestal, especialmente a lenha e o carvão vegetal, continua sendo a principal fonte de energia local. Em 2023, a região Nordeste consumiu aproximadamente 1,8 milhão de metros cúbicos de lenha e 375 mil toneladas de carvão vegetal (IBGE, 2024). Para atender a essa demanda, é possível aliar o manejo sustentável da Caatinga à implantação de povoamentos de eucalipto, cuja produção pode incluir não apenas carvão e lenha, mas também resíduos como cavacos, briquetes, pellets e subprodutos como óleos essenciais e alcatrão (Simioni </w:t>
      </w:r>
      <w:r w:rsidDel="00000000" w:rsidR="00000000" w:rsidRPr="00000000">
        <w:rPr>
          <w:i w:val="1"/>
          <w:sz w:val="20"/>
          <w:szCs w:val="20"/>
          <w:rtl w:val="0"/>
        </w:rPr>
        <w:t xml:space="preserve">et al</w:t>
      </w:r>
      <w:r w:rsidDel="00000000" w:rsidR="00000000" w:rsidRPr="00000000">
        <w:rPr>
          <w:sz w:val="20"/>
          <w:szCs w:val="20"/>
          <w:rtl w:val="0"/>
        </w:rPr>
        <w:t xml:space="preserve">., 2018a).</w:t>
      </w:r>
    </w:p>
    <w:p w:rsidR="00000000" w:rsidDel="00000000" w:rsidP="00000000" w:rsidRDefault="00000000" w:rsidRPr="00000000" w14:paraId="0000000E">
      <w:pPr>
        <w:widowControl w:val="1"/>
        <w:ind w:firstLine="720"/>
        <w:jc w:val="both"/>
        <w:rPr>
          <w:sz w:val="20"/>
          <w:szCs w:val="20"/>
        </w:rPr>
      </w:pPr>
      <w:r w:rsidDel="00000000" w:rsidR="00000000" w:rsidRPr="00000000">
        <w:rPr>
          <w:sz w:val="20"/>
          <w:szCs w:val="20"/>
          <w:rtl w:val="0"/>
        </w:rPr>
        <w:t xml:space="preserve">O objetivo deste trabalho foi avaliar o crescimento e a produtividade de dois clones de eucalipto sobre diferentes espaçamentos de plantio no Sítio São Clemente, localizado na zona rural do município de Macaíba-RN.</w:t>
      </w:r>
    </w:p>
    <w:p w:rsidR="00000000" w:rsidDel="00000000" w:rsidP="00000000" w:rsidRDefault="00000000" w:rsidRPr="00000000" w14:paraId="0000000F">
      <w:pPr>
        <w:widowControl w:val="1"/>
        <w:jc w:val="both"/>
        <w:rPr>
          <w:b w:val="1"/>
          <w:sz w:val="20"/>
          <w:szCs w:val="20"/>
        </w:rPr>
      </w:pPr>
      <w:r w:rsidDel="00000000" w:rsidR="00000000" w:rsidRPr="00000000">
        <w:rPr>
          <w:rtl w:val="0"/>
        </w:rPr>
      </w:r>
    </w:p>
    <w:p w:rsidR="00000000" w:rsidDel="00000000" w:rsidP="00000000" w:rsidRDefault="00000000" w:rsidRPr="00000000" w14:paraId="00000010">
      <w:pPr>
        <w:widowControl w:val="1"/>
        <w:jc w:val="both"/>
        <w:rPr>
          <w:b w:val="1"/>
          <w:sz w:val="20"/>
          <w:szCs w:val="20"/>
        </w:rPr>
      </w:pPr>
      <w:r w:rsidDel="00000000" w:rsidR="00000000" w:rsidRPr="00000000">
        <w:rPr>
          <w:b w:val="1"/>
          <w:sz w:val="20"/>
          <w:szCs w:val="20"/>
          <w:rtl w:val="0"/>
        </w:rPr>
        <w:t xml:space="preserve">MATERIAL E MÉTODOS</w:t>
      </w:r>
    </w:p>
    <w:p w:rsidR="00000000" w:rsidDel="00000000" w:rsidP="00000000" w:rsidRDefault="00000000" w:rsidRPr="00000000" w14:paraId="00000011">
      <w:pPr>
        <w:widowControl w:val="1"/>
        <w:ind w:firstLine="720"/>
        <w:jc w:val="both"/>
        <w:rPr>
          <w:sz w:val="20"/>
          <w:szCs w:val="20"/>
        </w:rPr>
      </w:pPr>
      <w:r w:rsidDel="00000000" w:rsidR="00000000" w:rsidRPr="00000000">
        <w:rPr>
          <w:sz w:val="20"/>
          <w:szCs w:val="20"/>
          <w:highlight w:val="white"/>
          <w:rtl w:val="0"/>
        </w:rPr>
        <w:t xml:space="preserve">O experimento foi conduzido no Sítio São Clemente, zona rural de Macaíba-RN, em plantios de dois clones híbridos de eucalipto (</w:t>
      </w:r>
      <w:r w:rsidDel="00000000" w:rsidR="00000000" w:rsidRPr="00000000">
        <w:rPr>
          <w:i w:val="1"/>
          <w:sz w:val="20"/>
          <w:szCs w:val="20"/>
          <w:highlight w:val="white"/>
          <w:rtl w:val="0"/>
        </w:rPr>
        <w:t xml:space="preserve">Eucalyptus urophylla</w:t>
      </w:r>
      <w:r w:rsidDel="00000000" w:rsidR="00000000" w:rsidRPr="00000000">
        <w:rPr>
          <w:sz w:val="20"/>
          <w:szCs w:val="20"/>
          <w:highlight w:val="white"/>
          <w:rtl w:val="0"/>
        </w:rPr>
        <w:t xml:space="preserve"> × </w:t>
      </w:r>
      <w:r w:rsidDel="00000000" w:rsidR="00000000" w:rsidRPr="00000000">
        <w:rPr>
          <w:i w:val="1"/>
          <w:sz w:val="20"/>
          <w:szCs w:val="20"/>
          <w:highlight w:val="white"/>
          <w:rtl w:val="0"/>
        </w:rPr>
        <w:t xml:space="preserve">Eucalyptus grandis</w:t>
      </w:r>
      <w:r w:rsidDel="00000000" w:rsidR="00000000" w:rsidRPr="00000000">
        <w:rPr>
          <w:sz w:val="20"/>
          <w:szCs w:val="20"/>
          <w:highlight w:val="white"/>
          <w:rtl w:val="0"/>
        </w:rPr>
        <w:t xml:space="preserve">): Urograndis A08 (clone A) e EUCA105 (clone B). Ambos foram implantados em sistema integrado de Lavoura-Pecuária-Floresta (ILPF), consorciados com mandioca (</w:t>
      </w:r>
      <w:r w:rsidDel="00000000" w:rsidR="00000000" w:rsidRPr="00000000">
        <w:rPr>
          <w:i w:val="1"/>
          <w:sz w:val="20"/>
          <w:szCs w:val="20"/>
          <w:highlight w:val="white"/>
          <w:rtl w:val="0"/>
        </w:rPr>
        <w:t xml:space="preserve">Manihot esculenta</w:t>
      </w:r>
      <w:r w:rsidDel="00000000" w:rsidR="00000000" w:rsidRPr="00000000">
        <w:rPr>
          <w:sz w:val="20"/>
          <w:szCs w:val="20"/>
          <w:highlight w:val="white"/>
          <w:rtl w:val="0"/>
        </w:rPr>
        <w:t xml:space="preserve"> Crantz) e capim pangolão (</w:t>
      </w:r>
      <w:r w:rsidDel="00000000" w:rsidR="00000000" w:rsidRPr="00000000">
        <w:rPr>
          <w:i w:val="1"/>
          <w:sz w:val="20"/>
          <w:szCs w:val="20"/>
          <w:highlight w:val="white"/>
          <w:rtl w:val="0"/>
        </w:rPr>
        <w:t xml:space="preserve">Digitaria eriantha</w:t>
      </w:r>
      <w:r w:rsidDel="00000000" w:rsidR="00000000" w:rsidRPr="00000000">
        <w:rPr>
          <w:sz w:val="20"/>
          <w:szCs w:val="20"/>
          <w:highlight w:val="white"/>
          <w:rtl w:val="0"/>
        </w:rPr>
        <w:t xml:space="preserve"> Steud.).</w:t>
      </w:r>
      <w:r w:rsidDel="00000000" w:rsidR="00000000" w:rsidRPr="00000000">
        <w:rPr>
          <w:sz w:val="20"/>
          <w:szCs w:val="20"/>
          <w:rtl w:val="0"/>
        </w:rPr>
        <w:t xml:space="preserve"> </w:t>
        <w:br w:type="textWrapping"/>
        <w:tab/>
        <w:t xml:space="preserve">Na preparação do solo aplicou-se calcário (2 t.ha⁻¹), seguida por duas gradagens e a abertura de sulcos para incorporação da adubação de fundação. Esta consistiu na aplicação de 5 t ha⁻¹ de cama de frango e 60 kg ha⁻¹ de superfosfato triplo (P₂O₅). Na adubação de cobertura, foram aplicados 100 g por planta de fertilizante NPK (6-30-6), distribuídos em covetas à 15 cm das mudas. As avaliações ocorreram aos 24, 48 e 66 meses após o plantio. As variáveis mensuradas incluíram o diâmetro à altura do peito (DAP), altura total das árvores, volume de madeira, Incremento Corrente Anual (ICA) e Incremento Médio Anual (IMA).</w:t>
      </w:r>
    </w:p>
    <w:p w:rsidR="00000000" w:rsidDel="00000000" w:rsidP="00000000" w:rsidRDefault="00000000" w:rsidRPr="00000000" w14:paraId="00000012">
      <w:pPr>
        <w:widowControl w:val="1"/>
        <w:ind w:firstLine="720"/>
        <w:jc w:val="both"/>
        <w:rPr>
          <w:b w:val="1"/>
          <w:sz w:val="20"/>
          <w:szCs w:val="20"/>
        </w:rPr>
      </w:pPr>
      <w:r w:rsidDel="00000000" w:rsidR="00000000" w:rsidRPr="00000000">
        <w:rPr>
          <w:sz w:val="20"/>
          <w:szCs w:val="20"/>
          <w:rtl w:val="0"/>
        </w:rPr>
        <w:t xml:space="preserve">O DAP foi medido utilizando suta florestal mecânica, posicionada a 1,30 m do solo, com duas leituras perpendiculares (DAP1 e DAP2), sendo calculada a média aritmética. Quando não foi possível utilizar a suta, a circunferência do fuste foi obtida por fita métrica e convertida para diâmetro. A mensuração da altura total foi realizada com hipsômetro nos primeiros dois períodos. Aos 66 meses, devido ao porte das árvores, foi utilizado um telemetrímetro Trupulse® com tecnologia a laser, que opera com base em princípios trigonométricos, permitindo maior precisão na leitura da distância e do ângulo entre o observador e o topo da planta.</w:t>
      </w:r>
      <w:r w:rsidDel="00000000" w:rsidR="00000000" w:rsidRPr="00000000">
        <w:rPr>
          <w:sz w:val="20"/>
          <w:szCs w:val="20"/>
          <w:rtl w:val="0"/>
        </w:rPr>
        <w:br w:type="textWrapping"/>
        <w:t xml:space="preserve">A fórmula utilizada para estimar o volume real da árvore foi:</w:t>
        <w:br w:type="textWrapping"/>
        <w:tab/>
        <w:tab/>
        <w:tab/>
        <w:tab/>
      </w:r>
      <m:oMath>
        <m:r>
          <w:rPr>
            <w:rFonts w:ascii="Cambria Math" w:cs="Cambria Math" w:eastAsia="Cambria Math" w:hAnsi="Cambria Math"/>
            <w:sz w:val="20"/>
            <w:szCs w:val="20"/>
          </w:rPr>
          <m:t xml:space="preserve">V = 0,5 × (π × DAP² ÷ 40000) × H</m:t>
        </m:r>
      </m:oMath>
      <w:r w:rsidDel="00000000" w:rsidR="00000000" w:rsidRPr="00000000">
        <w:rPr>
          <w:rFonts w:ascii="Cambria Math" w:cs="Cambria Math" w:eastAsia="Cambria Math" w:hAnsi="Cambria Math"/>
          <w:sz w:val="20"/>
          <w:szCs w:val="20"/>
          <w:rtl w:val="0"/>
        </w:rPr>
        <w:br w:type="textWrapping"/>
      </w:r>
      <w:r w:rsidDel="00000000" w:rsidR="00000000" w:rsidRPr="00000000">
        <w:rPr>
          <w:sz w:val="20"/>
          <w:szCs w:val="20"/>
          <w:rtl w:val="0"/>
        </w:rPr>
        <w:t xml:space="preserve">em que: C = massa do cimento (g), M = massa das partículas (g), TU% = teor de umidade das partículas.</w:t>
        <w:br w:type="textWrapping"/>
        <w:tab/>
        <w:t xml:space="preserve">O Incremento Corrente Anual (ICA) foi calculado como a variação do volume entre dois períodos consecutivos. Já o Incremento Médio Anual (IMA) foi obtido dividindo-se o volume total acumulado pela idade da árvore, conforme a fórmula:</w:t>
        <w:br w:type="textWrapping"/>
        <w:tab/>
        <w:tab/>
        <w:tab/>
        <w:tab/>
        <w:tab/>
      </w:r>
      <m:oMath>
        <m:r>
          <w:rPr>
            <w:rFonts w:ascii="Cambria Math" w:cs="Cambria Math" w:eastAsia="Cambria Math" w:hAnsi="Cambria Math"/>
            <w:sz w:val="20"/>
            <w:szCs w:val="20"/>
          </w:rPr>
          <m:t xml:space="preserve">IMA = V ÷ t </m:t>
        </m:r>
      </m:oMath>
      <w:r w:rsidDel="00000000" w:rsidR="00000000" w:rsidRPr="00000000">
        <w:rPr>
          <w:rFonts w:ascii="Cambria Math" w:cs="Cambria Math" w:eastAsia="Cambria Math" w:hAnsi="Cambria Math"/>
          <w:sz w:val="20"/>
          <w:szCs w:val="20"/>
          <w:rtl w:val="0"/>
        </w:rPr>
        <w:br w:type="textWrapping"/>
      </w:r>
      <w:r w:rsidDel="00000000" w:rsidR="00000000" w:rsidRPr="00000000">
        <w:rPr>
          <w:sz w:val="20"/>
          <w:szCs w:val="20"/>
          <w:rtl w:val="0"/>
        </w:rPr>
        <w:t xml:space="preserve">em que: IMA = incremento médio anual (m³ ano⁻¹), V = volume total (m³), t = idade da árvore (anos).</w:t>
      </w:r>
      <w:r w:rsidDel="00000000" w:rsidR="00000000" w:rsidRPr="00000000">
        <w:rPr>
          <w:b w:val="1"/>
          <w:sz w:val="20"/>
          <w:szCs w:val="20"/>
          <w:rtl w:val="0"/>
        </w:rPr>
        <w:br w:type="textWrapping"/>
        <w:tab/>
      </w:r>
      <w:r w:rsidDel="00000000" w:rsidR="00000000" w:rsidRPr="00000000">
        <w:rPr>
          <w:sz w:val="20"/>
          <w:szCs w:val="20"/>
          <w:rtl w:val="0"/>
        </w:rPr>
        <w:t xml:space="preserve">Os dados coletados foram organizados no software Microsoft Excel®, com análise descritiva comparando as médias dos clones nos diferentes espaçamentos. Posteriormente, os dados foram submetidos à análise fatorial utilizando o software BioEstat®, versão 5.3.</w:t>
      </w:r>
      <w:r w:rsidDel="00000000" w:rsidR="00000000" w:rsidRPr="00000000">
        <w:rPr>
          <w:rtl w:val="0"/>
        </w:rPr>
      </w:r>
    </w:p>
    <w:p w:rsidR="00000000" w:rsidDel="00000000" w:rsidP="00000000" w:rsidRDefault="00000000" w:rsidRPr="00000000" w14:paraId="00000013">
      <w:pPr>
        <w:widowControl w:val="1"/>
        <w:jc w:val="both"/>
        <w:rPr>
          <w:b w:val="1"/>
          <w:sz w:val="20"/>
          <w:szCs w:val="20"/>
        </w:rPr>
      </w:pPr>
      <w:r w:rsidDel="00000000" w:rsidR="00000000" w:rsidRPr="00000000">
        <w:rPr>
          <w:rtl w:val="0"/>
        </w:rPr>
      </w:r>
    </w:p>
    <w:p w:rsidR="00000000" w:rsidDel="00000000" w:rsidP="00000000" w:rsidRDefault="00000000" w:rsidRPr="00000000" w14:paraId="00000014">
      <w:pPr>
        <w:widowControl w:val="1"/>
        <w:jc w:val="both"/>
        <w:rPr>
          <w:sz w:val="20"/>
          <w:szCs w:val="20"/>
        </w:rPr>
      </w:pPr>
      <w:r w:rsidDel="00000000" w:rsidR="00000000" w:rsidRPr="00000000">
        <w:rPr>
          <w:b w:val="1"/>
          <w:sz w:val="20"/>
          <w:szCs w:val="20"/>
          <w:rtl w:val="0"/>
        </w:rPr>
        <w:t xml:space="preserve">RESULTADOS E DISCUSSÃO </w:t>
      </w:r>
      <w:r w:rsidDel="00000000" w:rsidR="00000000" w:rsidRPr="00000000">
        <w:rPr>
          <w:rtl w:val="0"/>
        </w:rPr>
      </w:r>
    </w:p>
    <w:p w:rsidR="00000000" w:rsidDel="00000000" w:rsidP="00000000" w:rsidRDefault="00000000" w:rsidRPr="00000000" w14:paraId="00000015">
      <w:pPr>
        <w:widowControl w:val="1"/>
        <w:ind w:firstLine="720"/>
        <w:jc w:val="both"/>
        <w:rPr>
          <w:sz w:val="20"/>
          <w:szCs w:val="20"/>
        </w:rPr>
      </w:pPr>
      <w:r w:rsidDel="00000000" w:rsidR="00000000" w:rsidRPr="00000000">
        <w:rPr>
          <w:sz w:val="20"/>
          <w:szCs w:val="20"/>
          <w:rtl w:val="0"/>
        </w:rPr>
        <w:t xml:space="preserve">O crescimento em altura dos clones A (</w:t>
      </w:r>
      <w:r w:rsidDel="00000000" w:rsidR="00000000" w:rsidRPr="00000000">
        <w:rPr>
          <w:sz w:val="20"/>
          <w:szCs w:val="20"/>
          <w:rtl w:val="0"/>
        </w:rPr>
        <w:t xml:space="preserve">Urograndis</w:t>
      </w:r>
      <w:r w:rsidDel="00000000" w:rsidR="00000000" w:rsidRPr="00000000">
        <w:rPr>
          <w:sz w:val="20"/>
          <w:szCs w:val="20"/>
          <w:rtl w:val="0"/>
        </w:rPr>
        <w:t xml:space="preserve"> A08) e B (EUCA105) variaram conforme o arranjo espacial adotado. O clone A atingiu as maiores alturas em plantios mais densos (1,25 × 9 m), provavelmente devido à intensa competição por luz que direciona o crescimento para a parte aérea, o clone B apresentou maior altura em espaçamentos intermediários (2,00 × 9 m), ambiente em que a disponibilidade luminosa lateral e radicular favoreceu um alongamento mais equilibrado do fuste (Tabela 1). Esses resultados corroboram estudos prévios que relacionam alta densidade de plantio com incremento vertical acentuado, especialmente em fases iniciais de crescimento (Santarosa </w:t>
      </w:r>
      <w:r w:rsidDel="00000000" w:rsidR="00000000" w:rsidRPr="00000000">
        <w:rPr>
          <w:i w:val="1"/>
          <w:sz w:val="20"/>
          <w:szCs w:val="20"/>
          <w:rtl w:val="0"/>
        </w:rPr>
        <w:t xml:space="preserve">et al</w:t>
      </w:r>
      <w:r w:rsidDel="00000000" w:rsidR="00000000" w:rsidRPr="00000000">
        <w:rPr>
          <w:sz w:val="20"/>
          <w:szCs w:val="20"/>
          <w:rtl w:val="0"/>
        </w:rPr>
        <w:t xml:space="preserve">., 2014b; Oliveira </w:t>
      </w:r>
      <w:r w:rsidDel="00000000" w:rsidR="00000000" w:rsidRPr="00000000">
        <w:rPr>
          <w:i w:val="1"/>
          <w:sz w:val="20"/>
          <w:szCs w:val="20"/>
          <w:rtl w:val="0"/>
        </w:rPr>
        <w:t xml:space="preserve">et al</w:t>
      </w:r>
      <w:r w:rsidDel="00000000" w:rsidR="00000000" w:rsidRPr="00000000">
        <w:rPr>
          <w:sz w:val="20"/>
          <w:szCs w:val="20"/>
          <w:rtl w:val="0"/>
        </w:rPr>
        <w:t xml:space="preserve">., 2021b).</w:t>
      </w:r>
    </w:p>
    <w:p w:rsidR="00000000" w:rsidDel="00000000" w:rsidP="00000000" w:rsidRDefault="00000000" w:rsidRPr="00000000" w14:paraId="00000016">
      <w:pPr>
        <w:widowControl w:val="1"/>
        <w:ind w:firstLine="720"/>
        <w:jc w:val="both"/>
        <w:rPr>
          <w:sz w:val="20"/>
          <w:szCs w:val="20"/>
        </w:rPr>
      </w:pPr>
      <w:r w:rsidDel="00000000" w:rsidR="00000000" w:rsidRPr="00000000">
        <w:rPr>
          <w:rtl w:val="0"/>
        </w:rPr>
      </w:r>
    </w:p>
    <w:p w:rsidR="00000000" w:rsidDel="00000000" w:rsidP="00000000" w:rsidRDefault="00000000" w:rsidRPr="00000000" w14:paraId="00000017">
      <w:pPr>
        <w:widowControl w:val="1"/>
        <w:jc w:val="both"/>
        <w:rPr>
          <w:sz w:val="20"/>
          <w:szCs w:val="20"/>
        </w:rPr>
      </w:pPr>
      <w:r w:rsidDel="00000000" w:rsidR="00000000" w:rsidRPr="00000000">
        <w:rPr>
          <w:sz w:val="20"/>
          <w:szCs w:val="20"/>
          <w:rtl w:val="0"/>
        </w:rPr>
        <w:t xml:space="preserve">Tabela 1. Altura média (m) dos clones (A e B) híbridos de </w:t>
      </w:r>
      <w:r w:rsidDel="00000000" w:rsidR="00000000" w:rsidRPr="00000000">
        <w:rPr>
          <w:i w:val="1"/>
          <w:sz w:val="20"/>
          <w:szCs w:val="20"/>
          <w:rtl w:val="0"/>
        </w:rPr>
        <w:t xml:space="preserve">eucalyptus</w:t>
      </w:r>
      <w:r w:rsidDel="00000000" w:rsidR="00000000" w:rsidRPr="00000000">
        <w:rPr>
          <w:sz w:val="20"/>
          <w:szCs w:val="20"/>
          <w:rtl w:val="0"/>
        </w:rPr>
        <w:t xml:space="preserve"> sob diferentes espaçamentos de plantio, Macaíba/RN.</w:t>
      </w:r>
    </w:p>
    <w:p w:rsidR="00000000" w:rsidDel="00000000" w:rsidP="00000000" w:rsidRDefault="00000000" w:rsidRPr="00000000" w14:paraId="00000018">
      <w:pPr>
        <w:widowControl w:val="1"/>
        <w:jc w:val="both"/>
        <w:rPr>
          <w:sz w:val="20"/>
          <w:szCs w:val="20"/>
        </w:rPr>
      </w:pPr>
      <w:r w:rsidDel="00000000" w:rsidR="00000000" w:rsidRPr="00000000">
        <w:rPr>
          <w:sz w:val="20"/>
          <w:szCs w:val="20"/>
          <w:rtl w:val="0"/>
        </w:rPr>
        <w:t xml:space="preserve">Table 1. Average height (m) of </w:t>
      </w:r>
      <w:r w:rsidDel="00000000" w:rsidR="00000000" w:rsidRPr="00000000">
        <w:rPr>
          <w:i w:val="1"/>
          <w:sz w:val="20"/>
          <w:szCs w:val="20"/>
          <w:rtl w:val="0"/>
        </w:rPr>
        <w:t xml:space="preserve">eucalyptus</w:t>
      </w:r>
      <w:r w:rsidDel="00000000" w:rsidR="00000000" w:rsidRPr="00000000">
        <w:rPr>
          <w:sz w:val="20"/>
          <w:szCs w:val="20"/>
          <w:rtl w:val="0"/>
        </w:rPr>
        <w:t xml:space="preserve"> hybrid clones (A and B) under different planting spacings, Macaíba/RN.</w:t>
      </w:r>
    </w:p>
    <w:tbl>
      <w:tblPr>
        <w:tblStyle w:val="Table1"/>
        <w:tblW w:w="9135.0"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365"/>
        <w:gridCol w:w="1305"/>
        <w:gridCol w:w="1305"/>
        <w:gridCol w:w="1305"/>
        <w:gridCol w:w="1320"/>
        <w:gridCol w:w="1320"/>
        <w:gridCol w:w="1215"/>
        <w:tblGridChange w:id="0">
          <w:tblGrid>
            <w:gridCol w:w="1365"/>
            <w:gridCol w:w="1305"/>
            <w:gridCol w:w="1305"/>
            <w:gridCol w:w="1305"/>
            <w:gridCol w:w="1320"/>
            <w:gridCol w:w="1320"/>
            <w:gridCol w:w="1215"/>
          </w:tblGrid>
        </w:tblGridChange>
      </w:tblGrid>
      <w:tr>
        <w:trPr>
          <w:cantSplit w:val="0"/>
          <w:trHeight w:val="309" w:hRule="atLeast"/>
          <w:tblHeader w:val="0"/>
        </w:trPr>
        <w:tc>
          <w:tcPr>
            <w:tcBorders>
              <w:top w:color="000000" w:space="0" w:sz="4" w:val="single"/>
              <w:bottom w:color="000000" w:space="0" w:sz="4" w:val="single"/>
            </w:tcBorders>
          </w:tcPr>
          <w:p w:rsidR="00000000" w:rsidDel="00000000" w:rsidP="00000000" w:rsidRDefault="00000000" w:rsidRPr="00000000" w14:paraId="00000019">
            <w:pPr>
              <w:widowControl w:val="1"/>
              <w:spacing w:after="240" w:before="240" w:lineRule="auto"/>
              <w:jc w:val="both"/>
              <w:rPr>
                <w:sz w:val="20"/>
                <w:szCs w:val="20"/>
              </w:rPr>
            </w:pPr>
            <w:r w:rsidDel="00000000" w:rsidR="00000000" w:rsidRPr="00000000">
              <w:rPr>
                <w:sz w:val="20"/>
                <w:szCs w:val="20"/>
                <w:rtl w:val="0"/>
              </w:rPr>
              <w:t xml:space="preserve">Espaçamentos</w:t>
            </w:r>
          </w:p>
        </w:tc>
        <w:tc>
          <w:tcPr>
            <w:tcBorders>
              <w:top w:color="000000" w:space="0" w:sz="4" w:val="single"/>
              <w:bottom w:color="000000" w:space="0" w:sz="4" w:val="single"/>
            </w:tcBorders>
          </w:tcPr>
          <w:p w:rsidR="00000000" w:rsidDel="00000000" w:rsidP="00000000" w:rsidRDefault="00000000" w:rsidRPr="00000000" w14:paraId="0000001A">
            <w:pPr>
              <w:widowControl w:val="1"/>
              <w:spacing w:after="240" w:before="240" w:lineRule="auto"/>
              <w:jc w:val="both"/>
              <w:rPr>
                <w:sz w:val="20"/>
                <w:szCs w:val="20"/>
              </w:rPr>
            </w:pPr>
            <w:r w:rsidDel="00000000" w:rsidR="00000000" w:rsidRPr="00000000">
              <w:rPr>
                <w:sz w:val="20"/>
                <w:szCs w:val="20"/>
                <w:rtl w:val="0"/>
              </w:rPr>
              <w:t xml:space="preserve">Clone A 24 meses</w:t>
            </w:r>
          </w:p>
        </w:tc>
        <w:tc>
          <w:tcPr>
            <w:tcBorders>
              <w:top w:color="000000" w:space="0" w:sz="4" w:val="single"/>
              <w:bottom w:color="000000" w:space="0" w:sz="4" w:val="single"/>
            </w:tcBorders>
          </w:tcPr>
          <w:p w:rsidR="00000000" w:rsidDel="00000000" w:rsidP="00000000" w:rsidRDefault="00000000" w:rsidRPr="00000000" w14:paraId="0000001B">
            <w:pPr>
              <w:widowControl w:val="1"/>
              <w:spacing w:after="240" w:before="240" w:lineRule="auto"/>
              <w:jc w:val="both"/>
              <w:rPr>
                <w:sz w:val="20"/>
                <w:szCs w:val="20"/>
              </w:rPr>
            </w:pPr>
            <w:r w:rsidDel="00000000" w:rsidR="00000000" w:rsidRPr="00000000">
              <w:rPr>
                <w:sz w:val="20"/>
                <w:szCs w:val="20"/>
                <w:rtl w:val="0"/>
              </w:rPr>
              <w:t xml:space="preserve">Clone A 48 meses</w:t>
            </w:r>
          </w:p>
        </w:tc>
        <w:tc>
          <w:tcPr>
            <w:tcBorders>
              <w:top w:color="000000" w:space="0" w:sz="4" w:val="single"/>
              <w:bottom w:color="000000" w:space="0" w:sz="4" w:val="single"/>
            </w:tcBorders>
          </w:tcPr>
          <w:p w:rsidR="00000000" w:rsidDel="00000000" w:rsidP="00000000" w:rsidRDefault="00000000" w:rsidRPr="00000000" w14:paraId="0000001C">
            <w:pPr>
              <w:widowControl w:val="1"/>
              <w:spacing w:after="240" w:before="240" w:lineRule="auto"/>
              <w:jc w:val="both"/>
              <w:rPr>
                <w:sz w:val="20"/>
                <w:szCs w:val="20"/>
              </w:rPr>
            </w:pPr>
            <w:r w:rsidDel="00000000" w:rsidR="00000000" w:rsidRPr="00000000">
              <w:rPr>
                <w:sz w:val="20"/>
                <w:szCs w:val="20"/>
                <w:rtl w:val="0"/>
              </w:rPr>
              <w:t xml:space="preserve">Clone A 66 meses</w:t>
            </w:r>
          </w:p>
        </w:tc>
        <w:tc>
          <w:tcPr>
            <w:tcBorders>
              <w:top w:color="000000" w:space="0" w:sz="4" w:val="single"/>
              <w:bottom w:color="000000" w:space="0" w:sz="4" w:val="single"/>
            </w:tcBorders>
          </w:tcPr>
          <w:p w:rsidR="00000000" w:rsidDel="00000000" w:rsidP="00000000" w:rsidRDefault="00000000" w:rsidRPr="00000000" w14:paraId="0000001D">
            <w:pPr>
              <w:widowControl w:val="1"/>
              <w:spacing w:after="240" w:before="240" w:lineRule="auto"/>
              <w:jc w:val="both"/>
              <w:rPr>
                <w:sz w:val="20"/>
                <w:szCs w:val="20"/>
              </w:rPr>
            </w:pPr>
            <w:r w:rsidDel="00000000" w:rsidR="00000000" w:rsidRPr="00000000">
              <w:rPr>
                <w:sz w:val="20"/>
                <w:szCs w:val="20"/>
                <w:rtl w:val="0"/>
              </w:rPr>
              <w:t xml:space="preserve">Clone B 24 meses</w:t>
            </w:r>
          </w:p>
        </w:tc>
        <w:tc>
          <w:tcPr>
            <w:tcBorders>
              <w:top w:color="000000" w:space="0" w:sz="4" w:val="single"/>
              <w:bottom w:color="000000" w:space="0" w:sz="4" w:val="single"/>
            </w:tcBorders>
          </w:tcPr>
          <w:p w:rsidR="00000000" w:rsidDel="00000000" w:rsidP="00000000" w:rsidRDefault="00000000" w:rsidRPr="00000000" w14:paraId="0000001E">
            <w:pPr>
              <w:widowControl w:val="1"/>
              <w:spacing w:after="240" w:before="240" w:lineRule="auto"/>
              <w:jc w:val="both"/>
              <w:rPr>
                <w:sz w:val="20"/>
                <w:szCs w:val="20"/>
              </w:rPr>
            </w:pPr>
            <w:r w:rsidDel="00000000" w:rsidR="00000000" w:rsidRPr="00000000">
              <w:rPr>
                <w:sz w:val="20"/>
                <w:szCs w:val="20"/>
                <w:rtl w:val="0"/>
              </w:rPr>
              <w:t xml:space="preserve">Clone B 48 meses</w:t>
            </w:r>
          </w:p>
        </w:tc>
        <w:tc>
          <w:tcPr>
            <w:tcBorders>
              <w:top w:color="000000" w:space="0" w:sz="4" w:val="single"/>
              <w:bottom w:color="000000" w:space="0" w:sz="4" w:val="single"/>
            </w:tcBorders>
          </w:tcPr>
          <w:p w:rsidR="00000000" w:rsidDel="00000000" w:rsidP="00000000" w:rsidRDefault="00000000" w:rsidRPr="00000000" w14:paraId="0000001F">
            <w:pPr>
              <w:widowControl w:val="1"/>
              <w:spacing w:after="240" w:before="240" w:lineRule="auto"/>
              <w:jc w:val="both"/>
              <w:rPr>
                <w:sz w:val="20"/>
                <w:szCs w:val="20"/>
              </w:rPr>
            </w:pPr>
            <w:r w:rsidDel="00000000" w:rsidR="00000000" w:rsidRPr="00000000">
              <w:rPr>
                <w:sz w:val="20"/>
                <w:szCs w:val="20"/>
                <w:rtl w:val="0"/>
              </w:rPr>
              <w:t xml:space="preserve">Clone B 66 meses</w:t>
            </w:r>
          </w:p>
        </w:tc>
      </w:tr>
      <w:tr>
        <w:trPr>
          <w:cantSplit w:val="0"/>
          <w:trHeight w:val="259" w:hRule="atLeast"/>
          <w:tblHeader w:val="0"/>
        </w:trPr>
        <w:tc>
          <w:tcPr>
            <w:tcBorders>
              <w:top w:color="000000" w:space="0" w:sz="4" w:val="single"/>
              <w:bottom w:color="ffffff" w:space="0" w:sz="4" w:val="single"/>
            </w:tcBorders>
          </w:tcPr>
          <w:p w:rsidR="00000000" w:rsidDel="00000000" w:rsidP="00000000" w:rsidRDefault="00000000" w:rsidRPr="00000000" w14:paraId="00000020">
            <w:pPr>
              <w:widowControl w:val="1"/>
              <w:spacing w:after="240" w:before="240" w:lineRule="auto"/>
              <w:jc w:val="both"/>
              <w:rPr>
                <w:sz w:val="20"/>
                <w:szCs w:val="20"/>
              </w:rPr>
            </w:pPr>
            <w:r w:rsidDel="00000000" w:rsidR="00000000" w:rsidRPr="00000000">
              <w:rPr>
                <w:sz w:val="20"/>
                <w:szCs w:val="20"/>
                <w:rtl w:val="0"/>
              </w:rPr>
              <w:t xml:space="preserve">1,25 m × 9 m</w:t>
            </w:r>
          </w:p>
        </w:tc>
        <w:tc>
          <w:tcPr>
            <w:tcBorders>
              <w:top w:color="000000" w:space="0" w:sz="4" w:val="single"/>
              <w:bottom w:color="ffffff" w:space="0" w:sz="4" w:val="single"/>
            </w:tcBorders>
          </w:tcPr>
          <w:p w:rsidR="00000000" w:rsidDel="00000000" w:rsidP="00000000" w:rsidRDefault="00000000" w:rsidRPr="00000000" w14:paraId="00000021">
            <w:pPr>
              <w:widowControl w:val="1"/>
              <w:spacing w:after="240" w:before="240" w:lineRule="auto"/>
              <w:jc w:val="both"/>
              <w:rPr>
                <w:sz w:val="20"/>
                <w:szCs w:val="20"/>
              </w:rPr>
            </w:pPr>
            <w:r w:rsidDel="00000000" w:rsidR="00000000" w:rsidRPr="00000000">
              <w:rPr>
                <w:sz w:val="20"/>
                <w:szCs w:val="20"/>
                <w:rtl w:val="0"/>
              </w:rPr>
              <w:t xml:space="preserve">11,4 a</w:t>
            </w:r>
          </w:p>
        </w:tc>
        <w:tc>
          <w:tcPr>
            <w:tcBorders>
              <w:top w:color="000000" w:space="0" w:sz="4" w:val="single"/>
              <w:bottom w:color="ffffff" w:space="0" w:sz="4" w:val="single"/>
            </w:tcBorders>
          </w:tcPr>
          <w:p w:rsidR="00000000" w:rsidDel="00000000" w:rsidP="00000000" w:rsidRDefault="00000000" w:rsidRPr="00000000" w14:paraId="00000022">
            <w:pPr>
              <w:widowControl w:val="1"/>
              <w:spacing w:after="240" w:before="240" w:lineRule="auto"/>
              <w:jc w:val="both"/>
              <w:rPr>
                <w:sz w:val="20"/>
                <w:szCs w:val="20"/>
              </w:rPr>
            </w:pPr>
            <w:r w:rsidDel="00000000" w:rsidR="00000000" w:rsidRPr="00000000">
              <w:rPr>
                <w:sz w:val="20"/>
                <w:szCs w:val="20"/>
                <w:rtl w:val="0"/>
              </w:rPr>
              <w:t xml:space="preserve">20,9 a</w:t>
            </w:r>
          </w:p>
        </w:tc>
        <w:tc>
          <w:tcPr>
            <w:tcBorders>
              <w:top w:color="000000" w:space="0" w:sz="4" w:val="single"/>
              <w:bottom w:color="ffffff" w:space="0" w:sz="4" w:val="single"/>
            </w:tcBorders>
          </w:tcPr>
          <w:p w:rsidR="00000000" w:rsidDel="00000000" w:rsidP="00000000" w:rsidRDefault="00000000" w:rsidRPr="00000000" w14:paraId="00000023">
            <w:pPr>
              <w:widowControl w:val="1"/>
              <w:spacing w:after="240" w:before="240" w:lineRule="auto"/>
              <w:jc w:val="both"/>
              <w:rPr>
                <w:sz w:val="20"/>
                <w:szCs w:val="20"/>
              </w:rPr>
            </w:pPr>
            <w:r w:rsidDel="00000000" w:rsidR="00000000" w:rsidRPr="00000000">
              <w:rPr>
                <w:sz w:val="20"/>
                <w:szCs w:val="20"/>
                <w:rtl w:val="0"/>
              </w:rPr>
              <w:t xml:space="preserve">21,2 a</w:t>
            </w:r>
          </w:p>
        </w:tc>
        <w:tc>
          <w:tcPr>
            <w:tcBorders>
              <w:top w:color="000000" w:space="0" w:sz="4" w:val="single"/>
              <w:bottom w:color="ffffff" w:space="0" w:sz="4" w:val="single"/>
            </w:tcBorders>
          </w:tcPr>
          <w:p w:rsidR="00000000" w:rsidDel="00000000" w:rsidP="00000000" w:rsidRDefault="00000000" w:rsidRPr="00000000" w14:paraId="00000024">
            <w:pPr>
              <w:widowControl w:val="1"/>
              <w:spacing w:after="240" w:before="240" w:lineRule="auto"/>
              <w:jc w:val="both"/>
              <w:rPr>
                <w:sz w:val="20"/>
                <w:szCs w:val="20"/>
              </w:rPr>
            </w:pPr>
            <w:r w:rsidDel="00000000" w:rsidR="00000000" w:rsidRPr="00000000">
              <w:rPr>
                <w:sz w:val="20"/>
                <w:szCs w:val="20"/>
                <w:rtl w:val="0"/>
              </w:rPr>
              <w:t xml:space="preserve">13,6 a</w:t>
            </w:r>
          </w:p>
        </w:tc>
        <w:tc>
          <w:tcPr>
            <w:tcBorders>
              <w:top w:color="000000" w:space="0" w:sz="4" w:val="single"/>
              <w:bottom w:color="ffffff" w:space="0" w:sz="4" w:val="single"/>
            </w:tcBorders>
          </w:tcPr>
          <w:p w:rsidR="00000000" w:rsidDel="00000000" w:rsidP="00000000" w:rsidRDefault="00000000" w:rsidRPr="00000000" w14:paraId="00000025">
            <w:pPr>
              <w:widowControl w:val="1"/>
              <w:spacing w:after="240" w:before="240" w:lineRule="auto"/>
              <w:jc w:val="both"/>
              <w:rPr>
                <w:sz w:val="20"/>
                <w:szCs w:val="20"/>
              </w:rPr>
            </w:pPr>
            <w:r w:rsidDel="00000000" w:rsidR="00000000" w:rsidRPr="00000000">
              <w:rPr>
                <w:sz w:val="20"/>
                <w:szCs w:val="20"/>
                <w:rtl w:val="0"/>
              </w:rPr>
              <w:t xml:space="preserve">21,5 bc</w:t>
            </w:r>
          </w:p>
        </w:tc>
        <w:tc>
          <w:tcPr>
            <w:tcBorders>
              <w:top w:color="000000" w:space="0" w:sz="4" w:val="single"/>
              <w:bottom w:color="ffffff" w:space="0" w:sz="4" w:val="single"/>
            </w:tcBorders>
          </w:tcPr>
          <w:p w:rsidR="00000000" w:rsidDel="00000000" w:rsidP="00000000" w:rsidRDefault="00000000" w:rsidRPr="00000000" w14:paraId="00000026">
            <w:pPr>
              <w:widowControl w:val="1"/>
              <w:spacing w:after="240" w:before="240" w:lineRule="auto"/>
              <w:jc w:val="both"/>
              <w:rPr>
                <w:sz w:val="20"/>
                <w:szCs w:val="20"/>
              </w:rPr>
            </w:pPr>
            <w:r w:rsidDel="00000000" w:rsidR="00000000" w:rsidRPr="00000000">
              <w:rPr>
                <w:sz w:val="20"/>
                <w:szCs w:val="20"/>
                <w:rtl w:val="0"/>
              </w:rPr>
              <w:t xml:space="preserve">21,9 a</w:t>
            </w:r>
          </w:p>
        </w:tc>
      </w:tr>
      <w:tr>
        <w:trPr>
          <w:cantSplit w:val="0"/>
          <w:trHeight w:val="364" w:hRule="atLeast"/>
          <w:tblHeader w:val="0"/>
        </w:trPr>
        <w:tc>
          <w:tcPr>
            <w:tcBorders>
              <w:top w:color="ffffff" w:space="0" w:sz="4" w:val="single"/>
            </w:tcBorders>
          </w:tcPr>
          <w:p w:rsidR="00000000" w:rsidDel="00000000" w:rsidP="00000000" w:rsidRDefault="00000000" w:rsidRPr="00000000" w14:paraId="00000027">
            <w:pPr>
              <w:widowControl w:val="1"/>
              <w:spacing w:after="240" w:before="240" w:lineRule="auto"/>
              <w:jc w:val="both"/>
              <w:rPr>
                <w:sz w:val="20"/>
                <w:szCs w:val="20"/>
              </w:rPr>
            </w:pPr>
            <w:r w:rsidDel="00000000" w:rsidR="00000000" w:rsidRPr="00000000">
              <w:rPr>
                <w:sz w:val="20"/>
                <w:szCs w:val="20"/>
                <w:rtl w:val="0"/>
              </w:rPr>
              <w:t xml:space="preserve">1,50 m × 9 m</w:t>
            </w:r>
          </w:p>
        </w:tc>
        <w:tc>
          <w:tcPr>
            <w:tcBorders>
              <w:top w:color="ffffff" w:space="0" w:sz="4" w:val="single"/>
            </w:tcBorders>
          </w:tcPr>
          <w:p w:rsidR="00000000" w:rsidDel="00000000" w:rsidP="00000000" w:rsidRDefault="00000000" w:rsidRPr="00000000" w14:paraId="00000028">
            <w:pPr>
              <w:widowControl w:val="1"/>
              <w:spacing w:after="240" w:before="240" w:lineRule="auto"/>
              <w:jc w:val="both"/>
              <w:rPr>
                <w:sz w:val="20"/>
                <w:szCs w:val="20"/>
              </w:rPr>
            </w:pPr>
            <w:r w:rsidDel="00000000" w:rsidR="00000000" w:rsidRPr="00000000">
              <w:rPr>
                <w:sz w:val="20"/>
                <w:szCs w:val="20"/>
                <w:rtl w:val="0"/>
              </w:rPr>
              <w:t xml:space="preserve">10,5 b</w:t>
            </w:r>
          </w:p>
        </w:tc>
        <w:tc>
          <w:tcPr>
            <w:tcBorders>
              <w:top w:color="ffffff" w:space="0" w:sz="4" w:val="single"/>
            </w:tcBorders>
          </w:tcPr>
          <w:p w:rsidR="00000000" w:rsidDel="00000000" w:rsidP="00000000" w:rsidRDefault="00000000" w:rsidRPr="00000000" w14:paraId="00000029">
            <w:pPr>
              <w:widowControl w:val="1"/>
              <w:spacing w:after="240" w:before="240" w:lineRule="auto"/>
              <w:jc w:val="both"/>
              <w:rPr>
                <w:sz w:val="20"/>
                <w:szCs w:val="20"/>
              </w:rPr>
            </w:pPr>
            <w:r w:rsidDel="00000000" w:rsidR="00000000" w:rsidRPr="00000000">
              <w:rPr>
                <w:sz w:val="20"/>
                <w:szCs w:val="20"/>
                <w:rtl w:val="0"/>
              </w:rPr>
              <w:t xml:space="preserve">21,6 a</w:t>
            </w:r>
          </w:p>
        </w:tc>
        <w:tc>
          <w:tcPr>
            <w:tcBorders>
              <w:top w:color="ffffff" w:space="0" w:sz="4" w:val="single"/>
            </w:tcBorders>
          </w:tcPr>
          <w:p w:rsidR="00000000" w:rsidDel="00000000" w:rsidP="00000000" w:rsidRDefault="00000000" w:rsidRPr="00000000" w14:paraId="0000002A">
            <w:pPr>
              <w:widowControl w:val="1"/>
              <w:spacing w:after="240" w:before="240" w:lineRule="auto"/>
              <w:jc w:val="both"/>
              <w:rPr>
                <w:sz w:val="20"/>
                <w:szCs w:val="20"/>
              </w:rPr>
            </w:pPr>
            <w:r w:rsidDel="00000000" w:rsidR="00000000" w:rsidRPr="00000000">
              <w:rPr>
                <w:sz w:val="20"/>
                <w:szCs w:val="20"/>
                <w:rtl w:val="0"/>
              </w:rPr>
              <w:t xml:space="preserve">21,8 a</w:t>
            </w:r>
          </w:p>
        </w:tc>
        <w:tc>
          <w:tcPr>
            <w:tcBorders>
              <w:top w:color="ffffff" w:space="0" w:sz="4" w:val="single"/>
            </w:tcBorders>
          </w:tcPr>
          <w:p w:rsidR="00000000" w:rsidDel="00000000" w:rsidP="00000000" w:rsidRDefault="00000000" w:rsidRPr="00000000" w14:paraId="0000002B">
            <w:pPr>
              <w:widowControl w:val="1"/>
              <w:spacing w:after="240" w:before="240" w:lineRule="auto"/>
              <w:jc w:val="both"/>
              <w:rPr>
                <w:sz w:val="20"/>
                <w:szCs w:val="20"/>
              </w:rPr>
            </w:pPr>
            <w:r w:rsidDel="00000000" w:rsidR="00000000" w:rsidRPr="00000000">
              <w:rPr>
                <w:sz w:val="20"/>
                <w:szCs w:val="20"/>
                <w:rtl w:val="0"/>
              </w:rPr>
              <w:t xml:space="preserve">13,7 a</w:t>
            </w:r>
          </w:p>
        </w:tc>
        <w:tc>
          <w:tcPr>
            <w:tcBorders>
              <w:top w:color="ffffff" w:space="0" w:sz="4" w:val="single"/>
            </w:tcBorders>
          </w:tcPr>
          <w:p w:rsidR="00000000" w:rsidDel="00000000" w:rsidP="00000000" w:rsidRDefault="00000000" w:rsidRPr="00000000" w14:paraId="0000002C">
            <w:pPr>
              <w:widowControl w:val="1"/>
              <w:spacing w:after="240" w:before="240" w:lineRule="auto"/>
              <w:jc w:val="both"/>
              <w:rPr>
                <w:sz w:val="20"/>
                <w:szCs w:val="20"/>
              </w:rPr>
            </w:pPr>
            <w:r w:rsidDel="00000000" w:rsidR="00000000" w:rsidRPr="00000000">
              <w:rPr>
                <w:sz w:val="20"/>
                <w:szCs w:val="20"/>
                <w:rtl w:val="0"/>
              </w:rPr>
              <w:t xml:space="preserve">22,7 b</w:t>
            </w:r>
          </w:p>
        </w:tc>
        <w:tc>
          <w:tcPr>
            <w:tcBorders>
              <w:top w:color="ffffff" w:space="0" w:sz="4" w:val="single"/>
              <w:bottom w:color="ffffff" w:space="0" w:sz="4" w:val="single"/>
            </w:tcBorders>
          </w:tcPr>
          <w:p w:rsidR="00000000" w:rsidDel="00000000" w:rsidP="00000000" w:rsidRDefault="00000000" w:rsidRPr="00000000" w14:paraId="0000002D">
            <w:pPr>
              <w:widowControl w:val="1"/>
              <w:spacing w:after="240" w:before="240" w:lineRule="auto"/>
              <w:jc w:val="both"/>
              <w:rPr>
                <w:sz w:val="20"/>
                <w:szCs w:val="20"/>
              </w:rPr>
            </w:pPr>
            <w:r w:rsidDel="00000000" w:rsidR="00000000" w:rsidRPr="00000000">
              <w:rPr>
                <w:sz w:val="20"/>
                <w:szCs w:val="20"/>
                <w:rtl w:val="0"/>
              </w:rPr>
              <w:t xml:space="preserve">22,7 a</w:t>
            </w:r>
          </w:p>
        </w:tc>
      </w:tr>
      <w:tr>
        <w:trPr>
          <w:cantSplit w:val="0"/>
          <w:trHeight w:val="634" w:hRule="atLeast"/>
          <w:tblHeader w:val="0"/>
        </w:trPr>
        <w:tc>
          <w:tcPr/>
          <w:p w:rsidR="00000000" w:rsidDel="00000000" w:rsidP="00000000" w:rsidRDefault="00000000" w:rsidRPr="00000000" w14:paraId="0000002E">
            <w:pPr>
              <w:widowControl w:val="1"/>
              <w:spacing w:after="240" w:before="240" w:lineRule="auto"/>
              <w:jc w:val="both"/>
              <w:rPr>
                <w:sz w:val="20"/>
                <w:szCs w:val="20"/>
              </w:rPr>
            </w:pPr>
            <w:r w:rsidDel="00000000" w:rsidR="00000000" w:rsidRPr="00000000">
              <w:rPr>
                <w:sz w:val="20"/>
                <w:szCs w:val="20"/>
                <w:rtl w:val="0"/>
              </w:rPr>
              <w:t xml:space="preserve">2,00 m × 9 m</w:t>
            </w:r>
          </w:p>
        </w:tc>
        <w:tc>
          <w:tcPr/>
          <w:p w:rsidR="00000000" w:rsidDel="00000000" w:rsidP="00000000" w:rsidRDefault="00000000" w:rsidRPr="00000000" w14:paraId="0000002F">
            <w:pPr>
              <w:widowControl w:val="1"/>
              <w:spacing w:after="240" w:before="240" w:lineRule="auto"/>
              <w:jc w:val="both"/>
              <w:rPr>
                <w:sz w:val="20"/>
                <w:szCs w:val="20"/>
              </w:rPr>
            </w:pPr>
            <w:r w:rsidDel="00000000" w:rsidR="00000000" w:rsidRPr="00000000">
              <w:rPr>
                <w:sz w:val="20"/>
                <w:szCs w:val="20"/>
                <w:rtl w:val="0"/>
              </w:rPr>
              <w:t xml:space="preserve">10,5 b</w:t>
            </w:r>
          </w:p>
        </w:tc>
        <w:tc>
          <w:tcPr/>
          <w:p w:rsidR="00000000" w:rsidDel="00000000" w:rsidP="00000000" w:rsidRDefault="00000000" w:rsidRPr="00000000" w14:paraId="00000030">
            <w:pPr>
              <w:widowControl w:val="1"/>
              <w:spacing w:after="240" w:before="240" w:lineRule="auto"/>
              <w:jc w:val="both"/>
              <w:rPr>
                <w:sz w:val="20"/>
                <w:szCs w:val="20"/>
              </w:rPr>
            </w:pPr>
            <w:r w:rsidDel="00000000" w:rsidR="00000000" w:rsidRPr="00000000">
              <w:rPr>
                <w:sz w:val="20"/>
                <w:szCs w:val="20"/>
                <w:rtl w:val="0"/>
              </w:rPr>
              <w:t xml:space="preserve">21,9 a</w:t>
            </w:r>
          </w:p>
        </w:tc>
        <w:tc>
          <w:tcPr/>
          <w:p w:rsidR="00000000" w:rsidDel="00000000" w:rsidP="00000000" w:rsidRDefault="00000000" w:rsidRPr="00000000" w14:paraId="00000031">
            <w:pPr>
              <w:widowControl w:val="1"/>
              <w:spacing w:after="240" w:before="240" w:lineRule="auto"/>
              <w:jc w:val="both"/>
              <w:rPr>
                <w:sz w:val="20"/>
                <w:szCs w:val="20"/>
              </w:rPr>
            </w:pPr>
            <w:r w:rsidDel="00000000" w:rsidR="00000000" w:rsidRPr="00000000">
              <w:rPr>
                <w:sz w:val="20"/>
                <w:szCs w:val="20"/>
                <w:rtl w:val="0"/>
              </w:rPr>
              <w:t xml:space="preserve">22,1 a</w:t>
            </w:r>
          </w:p>
        </w:tc>
        <w:tc>
          <w:tcPr/>
          <w:p w:rsidR="00000000" w:rsidDel="00000000" w:rsidP="00000000" w:rsidRDefault="00000000" w:rsidRPr="00000000" w14:paraId="00000032">
            <w:pPr>
              <w:widowControl w:val="1"/>
              <w:spacing w:after="240" w:before="240" w:lineRule="auto"/>
              <w:jc w:val="both"/>
              <w:rPr>
                <w:sz w:val="20"/>
                <w:szCs w:val="20"/>
              </w:rPr>
            </w:pPr>
            <w:r w:rsidDel="00000000" w:rsidR="00000000" w:rsidRPr="00000000">
              <w:rPr>
                <w:sz w:val="20"/>
                <w:szCs w:val="20"/>
                <w:rtl w:val="0"/>
              </w:rPr>
              <w:t xml:space="preserve">14,3 a</w:t>
            </w:r>
          </w:p>
        </w:tc>
        <w:tc>
          <w:tcPr/>
          <w:p w:rsidR="00000000" w:rsidDel="00000000" w:rsidP="00000000" w:rsidRDefault="00000000" w:rsidRPr="00000000" w14:paraId="00000033">
            <w:pPr>
              <w:widowControl w:val="1"/>
              <w:spacing w:after="240" w:before="240" w:lineRule="auto"/>
              <w:jc w:val="both"/>
              <w:rPr>
                <w:sz w:val="20"/>
                <w:szCs w:val="20"/>
              </w:rPr>
            </w:pPr>
            <w:r w:rsidDel="00000000" w:rsidR="00000000" w:rsidRPr="00000000">
              <w:rPr>
                <w:sz w:val="20"/>
                <w:szCs w:val="20"/>
                <w:rtl w:val="0"/>
              </w:rPr>
              <w:t xml:space="preserve">22,9 ab</w:t>
            </w:r>
          </w:p>
        </w:tc>
        <w:tc>
          <w:tcPr>
            <w:tcBorders>
              <w:top w:color="ffffff" w:space="0" w:sz="4" w:val="single"/>
            </w:tcBorders>
          </w:tcPr>
          <w:p w:rsidR="00000000" w:rsidDel="00000000" w:rsidP="00000000" w:rsidRDefault="00000000" w:rsidRPr="00000000" w14:paraId="00000034">
            <w:pPr>
              <w:widowControl w:val="1"/>
              <w:spacing w:after="240" w:before="240" w:lineRule="auto"/>
              <w:jc w:val="both"/>
              <w:rPr>
                <w:sz w:val="20"/>
                <w:szCs w:val="20"/>
              </w:rPr>
            </w:pPr>
            <w:r w:rsidDel="00000000" w:rsidR="00000000" w:rsidRPr="00000000">
              <w:rPr>
                <w:sz w:val="20"/>
                <w:szCs w:val="20"/>
                <w:rtl w:val="0"/>
              </w:rPr>
              <w:t xml:space="preserve">23,0 a</w:t>
            </w:r>
          </w:p>
        </w:tc>
      </w:tr>
      <w:tr>
        <w:trPr>
          <w:cantSplit w:val="0"/>
          <w:trHeight w:val="544" w:hRule="atLeast"/>
          <w:tblHeader w:val="0"/>
        </w:trPr>
        <w:tc>
          <w:tcPr>
            <w:tcBorders>
              <w:bottom w:color="000000" w:space="0" w:sz="4" w:val="single"/>
            </w:tcBorders>
          </w:tcPr>
          <w:p w:rsidR="00000000" w:rsidDel="00000000" w:rsidP="00000000" w:rsidRDefault="00000000" w:rsidRPr="00000000" w14:paraId="00000035">
            <w:pPr>
              <w:widowControl w:val="1"/>
              <w:spacing w:after="240" w:before="240" w:lineRule="auto"/>
              <w:jc w:val="both"/>
              <w:rPr>
                <w:sz w:val="20"/>
                <w:szCs w:val="20"/>
              </w:rPr>
            </w:pPr>
            <w:r w:rsidDel="00000000" w:rsidR="00000000" w:rsidRPr="00000000">
              <w:rPr>
                <w:sz w:val="20"/>
                <w:szCs w:val="20"/>
                <w:rtl w:val="0"/>
              </w:rPr>
              <w:t xml:space="preserve">2,50 m × 9 m</w:t>
            </w:r>
          </w:p>
        </w:tc>
        <w:tc>
          <w:tcPr>
            <w:tcBorders>
              <w:bottom w:color="000000" w:space="0" w:sz="4" w:val="single"/>
            </w:tcBorders>
          </w:tcPr>
          <w:p w:rsidR="00000000" w:rsidDel="00000000" w:rsidP="00000000" w:rsidRDefault="00000000" w:rsidRPr="00000000" w14:paraId="00000036">
            <w:pPr>
              <w:widowControl w:val="1"/>
              <w:spacing w:after="240" w:before="240" w:lineRule="auto"/>
              <w:jc w:val="both"/>
              <w:rPr>
                <w:sz w:val="20"/>
                <w:szCs w:val="20"/>
              </w:rPr>
            </w:pPr>
            <w:r w:rsidDel="00000000" w:rsidR="00000000" w:rsidRPr="00000000">
              <w:rPr>
                <w:sz w:val="20"/>
                <w:szCs w:val="20"/>
                <w:rtl w:val="0"/>
              </w:rPr>
              <w:t xml:space="preserve">9,8 c</w:t>
            </w:r>
          </w:p>
        </w:tc>
        <w:tc>
          <w:tcPr>
            <w:tcBorders>
              <w:bottom w:color="000000" w:space="0" w:sz="4" w:val="single"/>
            </w:tcBorders>
          </w:tcPr>
          <w:p w:rsidR="00000000" w:rsidDel="00000000" w:rsidP="00000000" w:rsidRDefault="00000000" w:rsidRPr="00000000" w14:paraId="00000037">
            <w:pPr>
              <w:widowControl w:val="1"/>
              <w:spacing w:after="240" w:before="240" w:lineRule="auto"/>
              <w:jc w:val="both"/>
              <w:rPr>
                <w:sz w:val="20"/>
                <w:szCs w:val="20"/>
              </w:rPr>
            </w:pPr>
            <w:r w:rsidDel="00000000" w:rsidR="00000000" w:rsidRPr="00000000">
              <w:rPr>
                <w:sz w:val="20"/>
                <w:szCs w:val="20"/>
                <w:rtl w:val="0"/>
              </w:rPr>
              <w:t xml:space="preserve">21,9 a</w:t>
            </w:r>
          </w:p>
        </w:tc>
        <w:tc>
          <w:tcPr>
            <w:tcBorders>
              <w:bottom w:color="000000" w:space="0" w:sz="4" w:val="single"/>
            </w:tcBorders>
          </w:tcPr>
          <w:p w:rsidR="00000000" w:rsidDel="00000000" w:rsidP="00000000" w:rsidRDefault="00000000" w:rsidRPr="00000000" w14:paraId="00000038">
            <w:pPr>
              <w:widowControl w:val="1"/>
              <w:spacing w:after="240" w:before="240" w:lineRule="auto"/>
              <w:jc w:val="both"/>
              <w:rPr>
                <w:sz w:val="20"/>
                <w:szCs w:val="20"/>
              </w:rPr>
            </w:pPr>
            <w:r w:rsidDel="00000000" w:rsidR="00000000" w:rsidRPr="00000000">
              <w:rPr>
                <w:sz w:val="20"/>
                <w:szCs w:val="20"/>
                <w:rtl w:val="0"/>
              </w:rPr>
              <w:t xml:space="preserve">22,2 a</w:t>
            </w:r>
          </w:p>
        </w:tc>
        <w:tc>
          <w:tcPr>
            <w:tcBorders>
              <w:bottom w:color="000000" w:space="0" w:sz="4" w:val="single"/>
            </w:tcBorders>
          </w:tcPr>
          <w:p w:rsidR="00000000" w:rsidDel="00000000" w:rsidP="00000000" w:rsidRDefault="00000000" w:rsidRPr="00000000" w14:paraId="00000039">
            <w:pPr>
              <w:widowControl w:val="1"/>
              <w:spacing w:after="240" w:before="240" w:lineRule="auto"/>
              <w:jc w:val="both"/>
              <w:rPr>
                <w:sz w:val="20"/>
                <w:szCs w:val="20"/>
              </w:rPr>
            </w:pPr>
            <w:r w:rsidDel="00000000" w:rsidR="00000000" w:rsidRPr="00000000">
              <w:rPr>
                <w:sz w:val="20"/>
                <w:szCs w:val="20"/>
                <w:rtl w:val="0"/>
              </w:rPr>
              <w:t xml:space="preserve">14,0 a</w:t>
            </w:r>
          </w:p>
        </w:tc>
        <w:tc>
          <w:tcPr>
            <w:tcBorders>
              <w:bottom w:color="000000" w:space="0" w:sz="4" w:val="single"/>
            </w:tcBorders>
          </w:tcPr>
          <w:p w:rsidR="00000000" w:rsidDel="00000000" w:rsidP="00000000" w:rsidRDefault="00000000" w:rsidRPr="00000000" w14:paraId="0000003A">
            <w:pPr>
              <w:widowControl w:val="1"/>
              <w:spacing w:after="240" w:before="240" w:lineRule="auto"/>
              <w:jc w:val="both"/>
              <w:rPr>
                <w:sz w:val="20"/>
                <w:szCs w:val="20"/>
              </w:rPr>
            </w:pPr>
            <w:r w:rsidDel="00000000" w:rsidR="00000000" w:rsidRPr="00000000">
              <w:rPr>
                <w:sz w:val="20"/>
                <w:szCs w:val="20"/>
                <w:rtl w:val="0"/>
              </w:rPr>
              <w:t xml:space="preserve">22,2 b</w:t>
            </w:r>
          </w:p>
        </w:tc>
        <w:tc>
          <w:tcPr>
            <w:tcBorders>
              <w:bottom w:color="000000" w:space="0" w:sz="4" w:val="single"/>
            </w:tcBorders>
          </w:tcPr>
          <w:p w:rsidR="00000000" w:rsidDel="00000000" w:rsidP="00000000" w:rsidRDefault="00000000" w:rsidRPr="00000000" w14:paraId="0000003B">
            <w:pPr>
              <w:widowControl w:val="1"/>
              <w:spacing w:after="240" w:before="240" w:lineRule="auto"/>
              <w:jc w:val="both"/>
              <w:rPr>
                <w:sz w:val="20"/>
                <w:szCs w:val="20"/>
              </w:rPr>
            </w:pPr>
            <w:r w:rsidDel="00000000" w:rsidR="00000000" w:rsidRPr="00000000">
              <w:rPr>
                <w:sz w:val="20"/>
                <w:szCs w:val="20"/>
                <w:rtl w:val="0"/>
              </w:rPr>
              <w:t xml:space="preserve">22,2 a</w:t>
            </w:r>
          </w:p>
        </w:tc>
      </w:tr>
    </w:tbl>
    <w:p w:rsidR="00000000" w:rsidDel="00000000" w:rsidP="00000000" w:rsidRDefault="00000000" w:rsidRPr="00000000" w14:paraId="0000003C">
      <w:pPr>
        <w:widowControl w:val="1"/>
        <w:spacing w:after="240" w:lineRule="auto"/>
        <w:jc w:val="both"/>
        <w:rPr>
          <w:sz w:val="16"/>
          <w:szCs w:val="16"/>
        </w:rPr>
      </w:pPr>
      <w:r w:rsidDel="00000000" w:rsidR="00000000" w:rsidRPr="00000000">
        <w:rPr>
          <w:sz w:val="16"/>
          <w:szCs w:val="16"/>
          <w:rtl w:val="0"/>
        </w:rPr>
        <w:t xml:space="preserve">Legenda: Clone A (híbrido de Urograndis A08) e Clone B (EUACA105). As letras seguem a ordem decrescente: “a” para o maior valor, “b” para o mediano e “c” para o menor, conforme teste de Tukey a 5 % de probabilidade</w:t>
      </w:r>
    </w:p>
    <w:p w:rsidR="00000000" w:rsidDel="00000000" w:rsidP="00000000" w:rsidRDefault="00000000" w:rsidRPr="00000000" w14:paraId="0000003D">
      <w:pPr>
        <w:widowControl w:val="1"/>
        <w:spacing w:after="240" w:lineRule="auto"/>
        <w:ind w:firstLine="720"/>
        <w:jc w:val="both"/>
        <w:rPr>
          <w:sz w:val="20"/>
          <w:szCs w:val="20"/>
        </w:rPr>
      </w:pPr>
      <w:r w:rsidDel="00000000" w:rsidR="00000000" w:rsidRPr="00000000">
        <w:rPr>
          <w:sz w:val="20"/>
          <w:szCs w:val="20"/>
          <w:rtl w:val="0"/>
        </w:rPr>
        <w:t xml:space="preserve">A dinâmica do diâmetro à altura do peito (DAP) também refletiu efeitos contrastantes de competição e área vital. Contatou-se que, em arranjos mais amplos (2,50 × 9 m), ambos os clones alocaram maior proporção de recursos para o tronco, resultando em DAP superior em densidades elevadas, onde a disputa por nutrientes e água limitou o crescimento diamétrico(Tabela 2). Tal comportamento reforça a recomendação de espaçamentos ajustados ao produto final desejado, por exemplo, maior DAP em sistemas voltados à produção de madeira serrada (EMBRAPA, 2004).</w:t>
      </w:r>
    </w:p>
    <w:p w:rsidR="00000000" w:rsidDel="00000000" w:rsidP="00000000" w:rsidRDefault="00000000" w:rsidRPr="00000000" w14:paraId="0000003E">
      <w:pPr>
        <w:widowControl w:val="1"/>
        <w:spacing w:after="0" w:before="0" w:lineRule="auto"/>
        <w:jc w:val="both"/>
        <w:rPr>
          <w:sz w:val="20"/>
          <w:szCs w:val="20"/>
        </w:rPr>
      </w:pPr>
      <w:r w:rsidDel="00000000" w:rsidR="00000000" w:rsidRPr="00000000">
        <w:rPr>
          <w:sz w:val="20"/>
          <w:szCs w:val="20"/>
          <w:rtl w:val="0"/>
        </w:rPr>
        <w:t xml:space="preserve">Tabela 2. Diâmetro à Altura do Peito – DAP (cm) médio dos clones (A e B) híbridos de </w:t>
      </w:r>
      <w:r w:rsidDel="00000000" w:rsidR="00000000" w:rsidRPr="00000000">
        <w:rPr>
          <w:i w:val="1"/>
          <w:sz w:val="20"/>
          <w:szCs w:val="20"/>
          <w:rtl w:val="0"/>
        </w:rPr>
        <w:t xml:space="preserve">eucalyptus</w:t>
      </w:r>
      <w:r w:rsidDel="00000000" w:rsidR="00000000" w:rsidRPr="00000000">
        <w:rPr>
          <w:sz w:val="20"/>
          <w:szCs w:val="20"/>
          <w:rtl w:val="0"/>
        </w:rPr>
        <w:t xml:space="preserve"> sob diferentes espaçamentos de plantio, Macaíba/RN.</w:t>
      </w:r>
    </w:p>
    <w:p w:rsidR="00000000" w:rsidDel="00000000" w:rsidP="00000000" w:rsidRDefault="00000000" w:rsidRPr="00000000" w14:paraId="0000003F">
      <w:pPr>
        <w:widowControl w:val="1"/>
        <w:spacing w:after="0" w:before="0" w:lineRule="auto"/>
        <w:jc w:val="both"/>
        <w:rPr>
          <w:sz w:val="20"/>
          <w:szCs w:val="20"/>
        </w:rPr>
      </w:pPr>
      <w:r w:rsidDel="00000000" w:rsidR="00000000" w:rsidRPr="00000000">
        <w:rPr>
          <w:sz w:val="20"/>
          <w:szCs w:val="20"/>
          <w:rtl w:val="0"/>
        </w:rPr>
        <w:t xml:space="preserve">Table 2. Average Diameter at Breast Height - DAP (cm) of hybrid </w:t>
      </w:r>
      <w:r w:rsidDel="00000000" w:rsidR="00000000" w:rsidRPr="00000000">
        <w:rPr>
          <w:i w:val="1"/>
          <w:sz w:val="20"/>
          <w:szCs w:val="20"/>
          <w:rtl w:val="0"/>
        </w:rPr>
        <w:t xml:space="preserve">eucalyptus</w:t>
      </w:r>
      <w:r w:rsidDel="00000000" w:rsidR="00000000" w:rsidRPr="00000000">
        <w:rPr>
          <w:sz w:val="20"/>
          <w:szCs w:val="20"/>
          <w:rtl w:val="0"/>
        </w:rPr>
        <w:t xml:space="preserve"> clones (A and B) under different planting spacings, Macaíba/RN.</w:t>
      </w:r>
    </w:p>
    <w:tbl>
      <w:tblPr>
        <w:tblStyle w:val="Table2"/>
        <w:tblW w:w="9215.0"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316"/>
        <w:gridCol w:w="1316"/>
        <w:gridCol w:w="1316"/>
        <w:gridCol w:w="1316"/>
        <w:gridCol w:w="1317"/>
        <w:gridCol w:w="1317"/>
        <w:gridCol w:w="1317"/>
        <w:tblGridChange w:id="0">
          <w:tblGrid>
            <w:gridCol w:w="1316"/>
            <w:gridCol w:w="1316"/>
            <w:gridCol w:w="1316"/>
            <w:gridCol w:w="1316"/>
            <w:gridCol w:w="1317"/>
            <w:gridCol w:w="1317"/>
            <w:gridCol w:w="1317"/>
          </w:tblGrid>
        </w:tblGridChange>
      </w:tblGrid>
      <w:tr>
        <w:trPr>
          <w:cantSplit w:val="0"/>
          <w:trHeight w:val="804" w:hRule="atLeast"/>
          <w:tblHeader w:val="0"/>
        </w:trPr>
        <w:tc>
          <w:tcPr>
            <w:tcBorders>
              <w:top w:color="000000" w:space="0" w:sz="4" w:val="single"/>
              <w:left w:color="ffffff" w:space="0" w:sz="4" w:val="single"/>
              <w:bottom w:color="000000" w:space="0" w:sz="4" w:val="single"/>
              <w:right w:color="ffffff" w:space="0" w:sz="4" w:val="single"/>
            </w:tcBorders>
          </w:tcPr>
          <w:p w:rsidR="00000000" w:rsidDel="00000000" w:rsidP="00000000" w:rsidRDefault="00000000" w:rsidRPr="00000000" w14:paraId="00000040">
            <w:pPr>
              <w:widowControl w:val="1"/>
              <w:spacing w:after="240" w:before="240" w:lineRule="auto"/>
              <w:jc w:val="both"/>
              <w:rPr>
                <w:sz w:val="20"/>
                <w:szCs w:val="20"/>
              </w:rPr>
            </w:pPr>
            <w:r w:rsidDel="00000000" w:rsidR="00000000" w:rsidRPr="00000000">
              <w:rPr>
                <w:sz w:val="20"/>
                <w:szCs w:val="20"/>
                <w:rtl w:val="0"/>
              </w:rPr>
              <w:t xml:space="preserve">Espaçamento</w:t>
            </w:r>
          </w:p>
        </w:tc>
        <w:tc>
          <w:tcPr>
            <w:tcBorders>
              <w:top w:color="000000" w:space="0" w:sz="4" w:val="single"/>
              <w:left w:color="ffffff" w:space="0" w:sz="4" w:val="single"/>
              <w:bottom w:color="000000" w:space="0" w:sz="4" w:val="single"/>
              <w:right w:color="ffffff" w:space="0" w:sz="4" w:val="single"/>
            </w:tcBorders>
          </w:tcPr>
          <w:p w:rsidR="00000000" w:rsidDel="00000000" w:rsidP="00000000" w:rsidRDefault="00000000" w:rsidRPr="00000000" w14:paraId="00000041">
            <w:pPr>
              <w:widowControl w:val="1"/>
              <w:spacing w:after="240" w:before="240" w:lineRule="auto"/>
              <w:jc w:val="both"/>
              <w:rPr>
                <w:sz w:val="20"/>
                <w:szCs w:val="20"/>
              </w:rPr>
            </w:pPr>
            <w:r w:rsidDel="00000000" w:rsidR="00000000" w:rsidRPr="00000000">
              <w:rPr>
                <w:sz w:val="20"/>
                <w:szCs w:val="20"/>
                <w:rtl w:val="0"/>
              </w:rPr>
              <w:t xml:space="preserve">Clone A 24 meses</w:t>
            </w:r>
          </w:p>
        </w:tc>
        <w:tc>
          <w:tcPr>
            <w:tcBorders>
              <w:top w:color="000000" w:space="0" w:sz="4" w:val="single"/>
              <w:left w:color="ffffff" w:space="0" w:sz="4" w:val="single"/>
              <w:bottom w:color="000000" w:space="0" w:sz="4" w:val="single"/>
              <w:right w:color="ffffff" w:space="0" w:sz="4" w:val="single"/>
            </w:tcBorders>
          </w:tcPr>
          <w:p w:rsidR="00000000" w:rsidDel="00000000" w:rsidP="00000000" w:rsidRDefault="00000000" w:rsidRPr="00000000" w14:paraId="00000042">
            <w:pPr>
              <w:widowControl w:val="1"/>
              <w:spacing w:after="240" w:before="240" w:lineRule="auto"/>
              <w:jc w:val="both"/>
              <w:rPr>
                <w:sz w:val="20"/>
                <w:szCs w:val="20"/>
              </w:rPr>
            </w:pPr>
            <w:r w:rsidDel="00000000" w:rsidR="00000000" w:rsidRPr="00000000">
              <w:rPr>
                <w:sz w:val="20"/>
                <w:szCs w:val="20"/>
                <w:rtl w:val="0"/>
              </w:rPr>
              <w:t xml:space="preserve">Clone A 48 meses</w:t>
            </w:r>
          </w:p>
        </w:tc>
        <w:tc>
          <w:tcPr>
            <w:tcBorders>
              <w:top w:color="000000" w:space="0" w:sz="4" w:val="single"/>
              <w:left w:color="ffffff" w:space="0" w:sz="4" w:val="single"/>
              <w:bottom w:color="000000" w:space="0" w:sz="4" w:val="single"/>
              <w:right w:color="ffffff" w:space="0" w:sz="4" w:val="single"/>
            </w:tcBorders>
          </w:tcPr>
          <w:p w:rsidR="00000000" w:rsidDel="00000000" w:rsidP="00000000" w:rsidRDefault="00000000" w:rsidRPr="00000000" w14:paraId="00000043">
            <w:pPr>
              <w:widowControl w:val="1"/>
              <w:spacing w:after="240" w:before="240" w:lineRule="auto"/>
              <w:jc w:val="both"/>
              <w:rPr>
                <w:sz w:val="20"/>
                <w:szCs w:val="20"/>
              </w:rPr>
            </w:pPr>
            <w:r w:rsidDel="00000000" w:rsidR="00000000" w:rsidRPr="00000000">
              <w:rPr>
                <w:sz w:val="20"/>
                <w:szCs w:val="20"/>
                <w:rtl w:val="0"/>
              </w:rPr>
              <w:t xml:space="preserve">Clone A 66 meses</w:t>
            </w:r>
          </w:p>
        </w:tc>
        <w:tc>
          <w:tcPr>
            <w:tcBorders>
              <w:top w:color="000000" w:space="0" w:sz="4" w:val="single"/>
              <w:left w:color="ffffff" w:space="0" w:sz="4" w:val="single"/>
              <w:bottom w:color="000000" w:space="0" w:sz="4" w:val="single"/>
              <w:right w:color="ffffff" w:space="0" w:sz="4" w:val="single"/>
            </w:tcBorders>
          </w:tcPr>
          <w:p w:rsidR="00000000" w:rsidDel="00000000" w:rsidP="00000000" w:rsidRDefault="00000000" w:rsidRPr="00000000" w14:paraId="00000044">
            <w:pPr>
              <w:widowControl w:val="1"/>
              <w:spacing w:after="240" w:before="240" w:lineRule="auto"/>
              <w:jc w:val="both"/>
              <w:rPr>
                <w:sz w:val="20"/>
                <w:szCs w:val="20"/>
              </w:rPr>
            </w:pPr>
            <w:r w:rsidDel="00000000" w:rsidR="00000000" w:rsidRPr="00000000">
              <w:rPr>
                <w:sz w:val="20"/>
                <w:szCs w:val="20"/>
                <w:rtl w:val="0"/>
              </w:rPr>
              <w:t xml:space="preserve">Clone B 24 meses</w:t>
            </w:r>
          </w:p>
        </w:tc>
        <w:tc>
          <w:tcPr>
            <w:tcBorders>
              <w:top w:color="000000" w:space="0" w:sz="4" w:val="single"/>
              <w:left w:color="ffffff" w:space="0" w:sz="4" w:val="single"/>
              <w:bottom w:color="000000" w:space="0" w:sz="4" w:val="single"/>
              <w:right w:color="ffffff" w:space="0" w:sz="4" w:val="single"/>
            </w:tcBorders>
          </w:tcPr>
          <w:p w:rsidR="00000000" w:rsidDel="00000000" w:rsidP="00000000" w:rsidRDefault="00000000" w:rsidRPr="00000000" w14:paraId="00000045">
            <w:pPr>
              <w:widowControl w:val="1"/>
              <w:spacing w:after="240" w:before="240" w:lineRule="auto"/>
              <w:jc w:val="both"/>
              <w:rPr>
                <w:sz w:val="20"/>
                <w:szCs w:val="20"/>
              </w:rPr>
            </w:pPr>
            <w:r w:rsidDel="00000000" w:rsidR="00000000" w:rsidRPr="00000000">
              <w:rPr>
                <w:sz w:val="20"/>
                <w:szCs w:val="20"/>
                <w:rtl w:val="0"/>
              </w:rPr>
              <w:t xml:space="preserve">Clone B 48 meses</w:t>
            </w:r>
          </w:p>
        </w:tc>
        <w:tc>
          <w:tcPr>
            <w:tcBorders>
              <w:top w:color="000000" w:space="0" w:sz="4" w:val="single"/>
              <w:left w:color="ffffff" w:space="0" w:sz="4" w:val="single"/>
              <w:bottom w:color="000000" w:space="0" w:sz="4" w:val="single"/>
              <w:right w:color="ffffff" w:space="0" w:sz="4" w:val="single"/>
            </w:tcBorders>
          </w:tcPr>
          <w:p w:rsidR="00000000" w:rsidDel="00000000" w:rsidP="00000000" w:rsidRDefault="00000000" w:rsidRPr="00000000" w14:paraId="00000046">
            <w:pPr>
              <w:widowControl w:val="1"/>
              <w:spacing w:after="240" w:before="240" w:lineRule="auto"/>
              <w:jc w:val="both"/>
              <w:rPr>
                <w:sz w:val="20"/>
                <w:szCs w:val="20"/>
              </w:rPr>
            </w:pPr>
            <w:r w:rsidDel="00000000" w:rsidR="00000000" w:rsidRPr="00000000">
              <w:rPr>
                <w:sz w:val="20"/>
                <w:szCs w:val="20"/>
                <w:rtl w:val="0"/>
              </w:rPr>
              <w:t xml:space="preserve">Clone B 66 meses</w:t>
            </w:r>
          </w:p>
        </w:tc>
      </w:tr>
      <w:tr>
        <w:trPr>
          <w:cantSplit w:val="0"/>
          <w:tblHeader w:val="0"/>
        </w:trPr>
        <w:tc>
          <w:tcPr>
            <w:tcBorders>
              <w:top w:color="000000" w:space="0" w:sz="4" w:val="single"/>
            </w:tcBorders>
          </w:tcPr>
          <w:p w:rsidR="00000000" w:rsidDel="00000000" w:rsidP="00000000" w:rsidRDefault="00000000" w:rsidRPr="00000000" w14:paraId="00000047">
            <w:pPr>
              <w:widowControl w:val="1"/>
              <w:spacing w:after="240" w:before="240" w:lineRule="auto"/>
              <w:jc w:val="both"/>
              <w:rPr>
                <w:sz w:val="20"/>
                <w:szCs w:val="20"/>
              </w:rPr>
            </w:pPr>
            <w:r w:rsidDel="00000000" w:rsidR="00000000" w:rsidRPr="00000000">
              <w:rPr>
                <w:sz w:val="20"/>
                <w:szCs w:val="20"/>
                <w:rtl w:val="0"/>
              </w:rPr>
              <w:t xml:space="preserve">1,25 m x 9 m</w:t>
            </w:r>
          </w:p>
        </w:tc>
        <w:tc>
          <w:tcPr>
            <w:tcBorders>
              <w:top w:color="000000" w:space="0" w:sz="4" w:val="single"/>
            </w:tcBorders>
          </w:tcPr>
          <w:p w:rsidR="00000000" w:rsidDel="00000000" w:rsidP="00000000" w:rsidRDefault="00000000" w:rsidRPr="00000000" w14:paraId="00000048">
            <w:pPr>
              <w:widowControl w:val="1"/>
              <w:spacing w:after="240" w:before="240" w:lineRule="auto"/>
              <w:jc w:val="both"/>
              <w:rPr>
                <w:sz w:val="20"/>
                <w:szCs w:val="20"/>
              </w:rPr>
            </w:pPr>
            <w:r w:rsidDel="00000000" w:rsidR="00000000" w:rsidRPr="00000000">
              <w:rPr>
                <w:sz w:val="20"/>
                <w:szCs w:val="20"/>
                <w:rtl w:val="0"/>
              </w:rPr>
              <w:t xml:space="preserve">9,0 c</w:t>
            </w:r>
          </w:p>
        </w:tc>
        <w:tc>
          <w:tcPr>
            <w:tcBorders>
              <w:top w:color="000000" w:space="0" w:sz="4" w:val="single"/>
            </w:tcBorders>
          </w:tcPr>
          <w:p w:rsidR="00000000" w:rsidDel="00000000" w:rsidP="00000000" w:rsidRDefault="00000000" w:rsidRPr="00000000" w14:paraId="00000049">
            <w:pPr>
              <w:widowControl w:val="1"/>
              <w:spacing w:after="240" w:before="240" w:lineRule="auto"/>
              <w:jc w:val="both"/>
              <w:rPr>
                <w:sz w:val="20"/>
                <w:szCs w:val="20"/>
              </w:rPr>
            </w:pPr>
            <w:r w:rsidDel="00000000" w:rsidR="00000000" w:rsidRPr="00000000">
              <w:rPr>
                <w:sz w:val="20"/>
                <w:szCs w:val="20"/>
                <w:rtl w:val="0"/>
              </w:rPr>
              <w:t xml:space="preserve">15,0 b</w:t>
            </w:r>
          </w:p>
        </w:tc>
        <w:tc>
          <w:tcPr>
            <w:tcBorders>
              <w:top w:color="000000" w:space="0" w:sz="4" w:val="single"/>
            </w:tcBorders>
          </w:tcPr>
          <w:p w:rsidR="00000000" w:rsidDel="00000000" w:rsidP="00000000" w:rsidRDefault="00000000" w:rsidRPr="00000000" w14:paraId="0000004A">
            <w:pPr>
              <w:widowControl w:val="1"/>
              <w:spacing w:after="240" w:before="240" w:lineRule="auto"/>
              <w:jc w:val="both"/>
              <w:rPr>
                <w:sz w:val="20"/>
                <w:szCs w:val="20"/>
              </w:rPr>
            </w:pPr>
            <w:r w:rsidDel="00000000" w:rsidR="00000000" w:rsidRPr="00000000">
              <w:rPr>
                <w:sz w:val="20"/>
                <w:szCs w:val="20"/>
                <w:rtl w:val="0"/>
              </w:rPr>
              <w:t xml:space="preserve">16,7 c</w:t>
            </w:r>
          </w:p>
        </w:tc>
        <w:tc>
          <w:tcPr>
            <w:tcBorders>
              <w:top w:color="000000" w:space="0" w:sz="4" w:val="single"/>
            </w:tcBorders>
          </w:tcPr>
          <w:p w:rsidR="00000000" w:rsidDel="00000000" w:rsidP="00000000" w:rsidRDefault="00000000" w:rsidRPr="00000000" w14:paraId="0000004B">
            <w:pPr>
              <w:widowControl w:val="1"/>
              <w:spacing w:after="240" w:before="240" w:lineRule="auto"/>
              <w:jc w:val="both"/>
              <w:rPr>
                <w:sz w:val="20"/>
                <w:szCs w:val="20"/>
              </w:rPr>
            </w:pPr>
            <w:r w:rsidDel="00000000" w:rsidR="00000000" w:rsidRPr="00000000">
              <w:rPr>
                <w:sz w:val="20"/>
                <w:szCs w:val="20"/>
                <w:rtl w:val="0"/>
              </w:rPr>
              <w:t xml:space="preserve">9,8 c</w:t>
            </w:r>
          </w:p>
        </w:tc>
        <w:tc>
          <w:tcPr>
            <w:tcBorders>
              <w:top w:color="000000" w:space="0" w:sz="4" w:val="single"/>
            </w:tcBorders>
          </w:tcPr>
          <w:p w:rsidR="00000000" w:rsidDel="00000000" w:rsidP="00000000" w:rsidRDefault="00000000" w:rsidRPr="00000000" w14:paraId="0000004C">
            <w:pPr>
              <w:widowControl w:val="1"/>
              <w:spacing w:after="240" w:before="240" w:lineRule="auto"/>
              <w:jc w:val="both"/>
              <w:rPr>
                <w:sz w:val="20"/>
                <w:szCs w:val="20"/>
              </w:rPr>
            </w:pPr>
            <w:r w:rsidDel="00000000" w:rsidR="00000000" w:rsidRPr="00000000">
              <w:rPr>
                <w:sz w:val="20"/>
                <w:szCs w:val="20"/>
                <w:rtl w:val="0"/>
              </w:rPr>
              <w:t xml:space="preserve">14,1 c</w:t>
            </w:r>
          </w:p>
        </w:tc>
        <w:tc>
          <w:tcPr>
            <w:tcBorders>
              <w:top w:color="000000" w:space="0" w:sz="4" w:val="single"/>
            </w:tcBorders>
          </w:tcPr>
          <w:p w:rsidR="00000000" w:rsidDel="00000000" w:rsidP="00000000" w:rsidRDefault="00000000" w:rsidRPr="00000000" w14:paraId="0000004D">
            <w:pPr>
              <w:widowControl w:val="1"/>
              <w:spacing w:after="240" w:before="240" w:lineRule="auto"/>
              <w:jc w:val="both"/>
              <w:rPr>
                <w:sz w:val="20"/>
                <w:szCs w:val="20"/>
              </w:rPr>
            </w:pPr>
            <w:r w:rsidDel="00000000" w:rsidR="00000000" w:rsidRPr="00000000">
              <w:rPr>
                <w:sz w:val="20"/>
                <w:szCs w:val="20"/>
                <w:rtl w:val="0"/>
              </w:rPr>
              <w:t xml:space="preserve">15,9 c</w:t>
            </w:r>
          </w:p>
        </w:tc>
      </w:tr>
      <w:tr>
        <w:trPr>
          <w:cantSplit w:val="0"/>
          <w:tblHeader w:val="0"/>
        </w:trPr>
        <w:tc>
          <w:tcPr/>
          <w:p w:rsidR="00000000" w:rsidDel="00000000" w:rsidP="00000000" w:rsidRDefault="00000000" w:rsidRPr="00000000" w14:paraId="0000004E">
            <w:pPr>
              <w:widowControl w:val="1"/>
              <w:spacing w:after="240" w:before="240" w:lineRule="auto"/>
              <w:jc w:val="both"/>
              <w:rPr>
                <w:sz w:val="20"/>
                <w:szCs w:val="20"/>
              </w:rPr>
            </w:pPr>
            <w:r w:rsidDel="00000000" w:rsidR="00000000" w:rsidRPr="00000000">
              <w:rPr>
                <w:sz w:val="20"/>
                <w:szCs w:val="20"/>
                <w:rtl w:val="0"/>
              </w:rPr>
              <w:t xml:space="preserve">1,50 m x 9 m</w:t>
            </w:r>
          </w:p>
        </w:tc>
        <w:tc>
          <w:tcPr/>
          <w:p w:rsidR="00000000" w:rsidDel="00000000" w:rsidP="00000000" w:rsidRDefault="00000000" w:rsidRPr="00000000" w14:paraId="0000004F">
            <w:pPr>
              <w:widowControl w:val="1"/>
              <w:spacing w:after="240" w:before="240" w:lineRule="auto"/>
              <w:jc w:val="both"/>
              <w:rPr>
                <w:sz w:val="20"/>
                <w:szCs w:val="20"/>
              </w:rPr>
            </w:pPr>
            <w:r w:rsidDel="00000000" w:rsidR="00000000" w:rsidRPr="00000000">
              <w:rPr>
                <w:sz w:val="20"/>
                <w:szCs w:val="20"/>
                <w:rtl w:val="0"/>
              </w:rPr>
              <w:t xml:space="preserve">8,9 c</w:t>
            </w:r>
          </w:p>
        </w:tc>
        <w:tc>
          <w:tcPr/>
          <w:p w:rsidR="00000000" w:rsidDel="00000000" w:rsidP="00000000" w:rsidRDefault="00000000" w:rsidRPr="00000000" w14:paraId="00000050">
            <w:pPr>
              <w:widowControl w:val="1"/>
              <w:spacing w:after="240" w:before="240" w:lineRule="auto"/>
              <w:jc w:val="both"/>
              <w:rPr>
                <w:sz w:val="20"/>
                <w:szCs w:val="20"/>
              </w:rPr>
            </w:pPr>
            <w:r w:rsidDel="00000000" w:rsidR="00000000" w:rsidRPr="00000000">
              <w:rPr>
                <w:sz w:val="20"/>
                <w:szCs w:val="20"/>
                <w:rtl w:val="0"/>
              </w:rPr>
              <w:t xml:space="preserve">15,8 c</w:t>
            </w:r>
          </w:p>
        </w:tc>
        <w:tc>
          <w:tcPr/>
          <w:p w:rsidR="00000000" w:rsidDel="00000000" w:rsidP="00000000" w:rsidRDefault="00000000" w:rsidRPr="00000000" w14:paraId="00000051">
            <w:pPr>
              <w:widowControl w:val="1"/>
              <w:spacing w:after="240" w:before="240" w:lineRule="auto"/>
              <w:jc w:val="both"/>
              <w:rPr>
                <w:sz w:val="20"/>
                <w:szCs w:val="20"/>
              </w:rPr>
            </w:pPr>
            <w:r w:rsidDel="00000000" w:rsidR="00000000" w:rsidRPr="00000000">
              <w:rPr>
                <w:sz w:val="20"/>
                <w:szCs w:val="20"/>
                <w:rtl w:val="0"/>
              </w:rPr>
              <w:t xml:space="preserve">17,3 c</w:t>
            </w:r>
          </w:p>
        </w:tc>
        <w:tc>
          <w:tcPr/>
          <w:p w:rsidR="00000000" w:rsidDel="00000000" w:rsidP="00000000" w:rsidRDefault="00000000" w:rsidRPr="00000000" w14:paraId="00000052">
            <w:pPr>
              <w:widowControl w:val="1"/>
              <w:spacing w:after="240" w:before="240" w:lineRule="auto"/>
              <w:jc w:val="both"/>
              <w:rPr>
                <w:sz w:val="20"/>
                <w:szCs w:val="20"/>
              </w:rPr>
            </w:pPr>
            <w:r w:rsidDel="00000000" w:rsidR="00000000" w:rsidRPr="00000000">
              <w:rPr>
                <w:sz w:val="20"/>
                <w:szCs w:val="20"/>
                <w:rtl w:val="0"/>
              </w:rPr>
              <w:t xml:space="preserve">10,3 c</w:t>
            </w:r>
          </w:p>
        </w:tc>
        <w:tc>
          <w:tcPr/>
          <w:p w:rsidR="00000000" w:rsidDel="00000000" w:rsidP="00000000" w:rsidRDefault="00000000" w:rsidRPr="00000000" w14:paraId="00000053">
            <w:pPr>
              <w:widowControl w:val="1"/>
              <w:spacing w:after="240" w:before="240" w:lineRule="auto"/>
              <w:jc w:val="both"/>
              <w:rPr>
                <w:sz w:val="20"/>
                <w:szCs w:val="20"/>
              </w:rPr>
            </w:pPr>
            <w:r w:rsidDel="00000000" w:rsidR="00000000" w:rsidRPr="00000000">
              <w:rPr>
                <w:sz w:val="20"/>
                <w:szCs w:val="20"/>
                <w:rtl w:val="0"/>
              </w:rPr>
              <w:t xml:space="preserve">14,5 c</w:t>
            </w:r>
          </w:p>
        </w:tc>
        <w:tc>
          <w:tcPr/>
          <w:p w:rsidR="00000000" w:rsidDel="00000000" w:rsidP="00000000" w:rsidRDefault="00000000" w:rsidRPr="00000000" w14:paraId="00000054">
            <w:pPr>
              <w:widowControl w:val="1"/>
              <w:spacing w:after="240" w:before="240" w:lineRule="auto"/>
              <w:jc w:val="both"/>
              <w:rPr>
                <w:sz w:val="20"/>
                <w:szCs w:val="20"/>
              </w:rPr>
            </w:pPr>
            <w:r w:rsidDel="00000000" w:rsidR="00000000" w:rsidRPr="00000000">
              <w:rPr>
                <w:sz w:val="20"/>
                <w:szCs w:val="20"/>
                <w:rtl w:val="0"/>
              </w:rPr>
              <w:t xml:space="preserve">16,1 c</w:t>
            </w:r>
          </w:p>
        </w:tc>
      </w:tr>
      <w:tr>
        <w:trPr>
          <w:cantSplit w:val="0"/>
          <w:tblHeader w:val="0"/>
        </w:trPr>
        <w:tc>
          <w:tcPr/>
          <w:p w:rsidR="00000000" w:rsidDel="00000000" w:rsidP="00000000" w:rsidRDefault="00000000" w:rsidRPr="00000000" w14:paraId="00000055">
            <w:pPr>
              <w:widowControl w:val="1"/>
              <w:spacing w:after="240" w:before="240" w:lineRule="auto"/>
              <w:jc w:val="both"/>
              <w:rPr>
                <w:sz w:val="20"/>
                <w:szCs w:val="20"/>
              </w:rPr>
            </w:pPr>
            <w:r w:rsidDel="00000000" w:rsidR="00000000" w:rsidRPr="00000000">
              <w:rPr>
                <w:sz w:val="20"/>
                <w:szCs w:val="20"/>
                <w:rtl w:val="0"/>
              </w:rPr>
              <w:t xml:space="preserve">2,00 m x 9 m</w:t>
            </w:r>
          </w:p>
        </w:tc>
        <w:tc>
          <w:tcPr/>
          <w:p w:rsidR="00000000" w:rsidDel="00000000" w:rsidP="00000000" w:rsidRDefault="00000000" w:rsidRPr="00000000" w14:paraId="00000056">
            <w:pPr>
              <w:widowControl w:val="1"/>
              <w:spacing w:after="240" w:before="240" w:lineRule="auto"/>
              <w:jc w:val="both"/>
              <w:rPr>
                <w:sz w:val="20"/>
                <w:szCs w:val="20"/>
              </w:rPr>
            </w:pPr>
            <w:r w:rsidDel="00000000" w:rsidR="00000000" w:rsidRPr="00000000">
              <w:rPr>
                <w:sz w:val="20"/>
                <w:szCs w:val="20"/>
                <w:rtl w:val="0"/>
              </w:rPr>
              <w:t xml:space="preserve">9,8 b</w:t>
            </w:r>
          </w:p>
        </w:tc>
        <w:tc>
          <w:tcPr/>
          <w:p w:rsidR="00000000" w:rsidDel="00000000" w:rsidP="00000000" w:rsidRDefault="00000000" w:rsidRPr="00000000" w14:paraId="00000057">
            <w:pPr>
              <w:widowControl w:val="1"/>
              <w:spacing w:after="240" w:before="240" w:lineRule="auto"/>
              <w:jc w:val="both"/>
              <w:rPr>
                <w:sz w:val="20"/>
                <w:szCs w:val="20"/>
              </w:rPr>
            </w:pPr>
            <w:r w:rsidDel="00000000" w:rsidR="00000000" w:rsidRPr="00000000">
              <w:rPr>
                <w:sz w:val="20"/>
                <w:szCs w:val="20"/>
                <w:rtl w:val="0"/>
              </w:rPr>
              <w:t xml:space="preserve">18,3 b</w:t>
            </w:r>
          </w:p>
        </w:tc>
        <w:tc>
          <w:tcPr/>
          <w:p w:rsidR="00000000" w:rsidDel="00000000" w:rsidP="00000000" w:rsidRDefault="00000000" w:rsidRPr="00000000" w14:paraId="00000058">
            <w:pPr>
              <w:widowControl w:val="1"/>
              <w:spacing w:after="240" w:before="240" w:lineRule="auto"/>
              <w:jc w:val="both"/>
              <w:rPr>
                <w:sz w:val="20"/>
                <w:szCs w:val="20"/>
              </w:rPr>
            </w:pPr>
            <w:r w:rsidDel="00000000" w:rsidR="00000000" w:rsidRPr="00000000">
              <w:rPr>
                <w:sz w:val="20"/>
                <w:szCs w:val="20"/>
                <w:rtl w:val="0"/>
              </w:rPr>
              <w:t xml:space="preserve">20,0 b</w:t>
            </w:r>
          </w:p>
        </w:tc>
        <w:tc>
          <w:tcPr/>
          <w:p w:rsidR="00000000" w:rsidDel="00000000" w:rsidP="00000000" w:rsidRDefault="00000000" w:rsidRPr="00000000" w14:paraId="00000059">
            <w:pPr>
              <w:widowControl w:val="1"/>
              <w:spacing w:after="240" w:before="240" w:lineRule="auto"/>
              <w:jc w:val="both"/>
              <w:rPr>
                <w:sz w:val="20"/>
                <w:szCs w:val="20"/>
              </w:rPr>
            </w:pPr>
            <w:r w:rsidDel="00000000" w:rsidR="00000000" w:rsidRPr="00000000">
              <w:rPr>
                <w:sz w:val="20"/>
                <w:szCs w:val="20"/>
                <w:rtl w:val="0"/>
              </w:rPr>
              <w:t xml:space="preserve">11,5 b</w:t>
            </w:r>
          </w:p>
        </w:tc>
        <w:tc>
          <w:tcPr/>
          <w:p w:rsidR="00000000" w:rsidDel="00000000" w:rsidP="00000000" w:rsidRDefault="00000000" w:rsidRPr="00000000" w14:paraId="0000005A">
            <w:pPr>
              <w:widowControl w:val="1"/>
              <w:spacing w:after="240" w:before="240" w:lineRule="auto"/>
              <w:jc w:val="both"/>
              <w:rPr>
                <w:sz w:val="20"/>
                <w:szCs w:val="20"/>
              </w:rPr>
            </w:pPr>
            <w:r w:rsidDel="00000000" w:rsidR="00000000" w:rsidRPr="00000000">
              <w:rPr>
                <w:sz w:val="20"/>
                <w:szCs w:val="20"/>
                <w:rtl w:val="0"/>
              </w:rPr>
              <w:t xml:space="preserve">17,3 b</w:t>
            </w:r>
          </w:p>
        </w:tc>
        <w:tc>
          <w:tcPr/>
          <w:p w:rsidR="00000000" w:rsidDel="00000000" w:rsidP="00000000" w:rsidRDefault="00000000" w:rsidRPr="00000000" w14:paraId="0000005B">
            <w:pPr>
              <w:widowControl w:val="1"/>
              <w:spacing w:after="240" w:before="240" w:lineRule="auto"/>
              <w:jc w:val="both"/>
              <w:rPr>
                <w:sz w:val="20"/>
                <w:szCs w:val="20"/>
              </w:rPr>
            </w:pPr>
            <w:r w:rsidDel="00000000" w:rsidR="00000000" w:rsidRPr="00000000">
              <w:rPr>
                <w:sz w:val="20"/>
                <w:szCs w:val="20"/>
                <w:rtl w:val="0"/>
              </w:rPr>
              <w:t xml:space="preserve">19,4 b</w:t>
            </w:r>
          </w:p>
        </w:tc>
      </w:tr>
      <w:tr>
        <w:trPr>
          <w:cantSplit w:val="0"/>
          <w:tblHeader w:val="0"/>
        </w:trPr>
        <w:tc>
          <w:tcPr>
            <w:tcBorders>
              <w:bottom w:color="000000" w:space="0" w:sz="4" w:val="single"/>
            </w:tcBorders>
          </w:tcPr>
          <w:p w:rsidR="00000000" w:rsidDel="00000000" w:rsidP="00000000" w:rsidRDefault="00000000" w:rsidRPr="00000000" w14:paraId="0000005C">
            <w:pPr>
              <w:widowControl w:val="1"/>
              <w:spacing w:after="240" w:before="240" w:lineRule="auto"/>
              <w:jc w:val="both"/>
              <w:rPr>
                <w:sz w:val="20"/>
                <w:szCs w:val="20"/>
              </w:rPr>
            </w:pPr>
            <w:r w:rsidDel="00000000" w:rsidR="00000000" w:rsidRPr="00000000">
              <w:rPr>
                <w:sz w:val="20"/>
                <w:szCs w:val="20"/>
                <w:rtl w:val="0"/>
              </w:rPr>
              <w:t xml:space="preserve">2,50 m x 9 m</w:t>
            </w:r>
          </w:p>
        </w:tc>
        <w:tc>
          <w:tcPr>
            <w:tcBorders>
              <w:bottom w:color="000000" w:space="0" w:sz="4" w:val="single"/>
            </w:tcBorders>
          </w:tcPr>
          <w:p w:rsidR="00000000" w:rsidDel="00000000" w:rsidP="00000000" w:rsidRDefault="00000000" w:rsidRPr="00000000" w14:paraId="0000005D">
            <w:pPr>
              <w:widowControl w:val="1"/>
              <w:spacing w:after="240" w:before="240" w:lineRule="auto"/>
              <w:jc w:val="both"/>
              <w:rPr>
                <w:sz w:val="20"/>
                <w:szCs w:val="20"/>
              </w:rPr>
            </w:pPr>
            <w:r w:rsidDel="00000000" w:rsidR="00000000" w:rsidRPr="00000000">
              <w:rPr>
                <w:sz w:val="20"/>
                <w:szCs w:val="20"/>
                <w:rtl w:val="0"/>
              </w:rPr>
              <w:t xml:space="preserve">10,2 ab</w:t>
            </w:r>
          </w:p>
        </w:tc>
        <w:tc>
          <w:tcPr>
            <w:tcBorders>
              <w:bottom w:color="000000" w:space="0" w:sz="4" w:val="single"/>
            </w:tcBorders>
          </w:tcPr>
          <w:p w:rsidR="00000000" w:rsidDel="00000000" w:rsidP="00000000" w:rsidRDefault="00000000" w:rsidRPr="00000000" w14:paraId="0000005E">
            <w:pPr>
              <w:widowControl w:val="1"/>
              <w:spacing w:after="240" w:before="240" w:lineRule="auto"/>
              <w:jc w:val="both"/>
              <w:rPr>
                <w:sz w:val="20"/>
                <w:szCs w:val="20"/>
              </w:rPr>
            </w:pPr>
            <w:r w:rsidDel="00000000" w:rsidR="00000000" w:rsidRPr="00000000">
              <w:rPr>
                <w:sz w:val="20"/>
                <w:szCs w:val="20"/>
                <w:rtl w:val="0"/>
              </w:rPr>
              <w:t xml:space="preserve">20,3 a</w:t>
            </w:r>
          </w:p>
        </w:tc>
        <w:tc>
          <w:tcPr>
            <w:tcBorders>
              <w:bottom w:color="000000" w:space="0" w:sz="4" w:val="single"/>
            </w:tcBorders>
          </w:tcPr>
          <w:p w:rsidR="00000000" w:rsidDel="00000000" w:rsidP="00000000" w:rsidRDefault="00000000" w:rsidRPr="00000000" w14:paraId="0000005F">
            <w:pPr>
              <w:widowControl w:val="1"/>
              <w:spacing w:after="240" w:before="240" w:lineRule="auto"/>
              <w:jc w:val="both"/>
              <w:rPr>
                <w:sz w:val="20"/>
                <w:szCs w:val="20"/>
              </w:rPr>
            </w:pPr>
            <w:r w:rsidDel="00000000" w:rsidR="00000000" w:rsidRPr="00000000">
              <w:rPr>
                <w:sz w:val="20"/>
                <w:szCs w:val="20"/>
                <w:rtl w:val="0"/>
              </w:rPr>
              <w:t xml:space="preserve">22,0 a</w:t>
            </w:r>
          </w:p>
        </w:tc>
        <w:tc>
          <w:tcPr>
            <w:tcBorders>
              <w:bottom w:color="000000" w:space="0" w:sz="4" w:val="single"/>
            </w:tcBorders>
          </w:tcPr>
          <w:p w:rsidR="00000000" w:rsidDel="00000000" w:rsidP="00000000" w:rsidRDefault="00000000" w:rsidRPr="00000000" w14:paraId="00000060">
            <w:pPr>
              <w:widowControl w:val="1"/>
              <w:spacing w:after="240" w:before="240" w:lineRule="auto"/>
              <w:jc w:val="both"/>
              <w:rPr>
                <w:sz w:val="20"/>
                <w:szCs w:val="20"/>
              </w:rPr>
            </w:pPr>
            <w:r w:rsidDel="00000000" w:rsidR="00000000" w:rsidRPr="00000000">
              <w:rPr>
                <w:sz w:val="20"/>
                <w:szCs w:val="20"/>
                <w:rtl w:val="0"/>
              </w:rPr>
              <w:t xml:space="preserve">11,8 ab</w:t>
            </w:r>
          </w:p>
        </w:tc>
        <w:tc>
          <w:tcPr>
            <w:tcBorders>
              <w:bottom w:color="000000" w:space="0" w:sz="4" w:val="single"/>
            </w:tcBorders>
          </w:tcPr>
          <w:p w:rsidR="00000000" w:rsidDel="00000000" w:rsidP="00000000" w:rsidRDefault="00000000" w:rsidRPr="00000000" w14:paraId="00000061">
            <w:pPr>
              <w:widowControl w:val="1"/>
              <w:spacing w:after="240" w:before="240" w:lineRule="auto"/>
              <w:jc w:val="both"/>
              <w:rPr>
                <w:sz w:val="20"/>
                <w:szCs w:val="20"/>
              </w:rPr>
            </w:pPr>
            <w:r w:rsidDel="00000000" w:rsidR="00000000" w:rsidRPr="00000000">
              <w:rPr>
                <w:sz w:val="20"/>
                <w:szCs w:val="20"/>
                <w:rtl w:val="0"/>
              </w:rPr>
              <w:t xml:space="preserve">20,0 a</w:t>
            </w:r>
          </w:p>
        </w:tc>
        <w:tc>
          <w:tcPr>
            <w:tcBorders>
              <w:bottom w:color="000000" w:space="0" w:sz="4" w:val="single"/>
            </w:tcBorders>
          </w:tcPr>
          <w:p w:rsidR="00000000" w:rsidDel="00000000" w:rsidP="00000000" w:rsidRDefault="00000000" w:rsidRPr="00000000" w14:paraId="00000062">
            <w:pPr>
              <w:widowControl w:val="1"/>
              <w:spacing w:after="240" w:before="240" w:lineRule="auto"/>
              <w:jc w:val="both"/>
              <w:rPr>
                <w:sz w:val="20"/>
                <w:szCs w:val="20"/>
              </w:rPr>
            </w:pPr>
            <w:r w:rsidDel="00000000" w:rsidR="00000000" w:rsidRPr="00000000">
              <w:rPr>
                <w:sz w:val="20"/>
                <w:szCs w:val="20"/>
                <w:rtl w:val="0"/>
              </w:rPr>
              <w:t xml:space="preserve">22,7 a</w:t>
            </w:r>
          </w:p>
        </w:tc>
      </w:tr>
    </w:tbl>
    <w:p w:rsidR="00000000" w:rsidDel="00000000" w:rsidP="00000000" w:rsidRDefault="00000000" w:rsidRPr="00000000" w14:paraId="00000063">
      <w:pPr>
        <w:widowControl w:val="1"/>
        <w:spacing w:after="240" w:lineRule="auto"/>
        <w:jc w:val="both"/>
        <w:rPr>
          <w:sz w:val="16"/>
          <w:szCs w:val="16"/>
        </w:rPr>
      </w:pPr>
      <w:r w:rsidDel="00000000" w:rsidR="00000000" w:rsidRPr="00000000">
        <w:rPr>
          <w:sz w:val="16"/>
          <w:szCs w:val="16"/>
          <w:rtl w:val="0"/>
        </w:rPr>
        <w:t xml:space="preserve">Legenda: Clone A (híbrido de Urograndis A08) e Clone B (EUACA105). As letras seguem a ordem decrescente: “a” para o maior valor, “b” para o intermediário e “c” para o menor, conforme teste de Tukey a 5 % de probabilidade.</w:t>
      </w:r>
    </w:p>
    <w:p w:rsidR="00000000" w:rsidDel="00000000" w:rsidP="00000000" w:rsidRDefault="00000000" w:rsidRPr="00000000" w14:paraId="00000064">
      <w:pPr>
        <w:widowControl w:val="1"/>
        <w:spacing w:after="240" w:lineRule="auto"/>
        <w:ind w:firstLine="720"/>
        <w:jc w:val="both"/>
        <w:rPr>
          <w:sz w:val="20"/>
          <w:szCs w:val="20"/>
        </w:rPr>
      </w:pPr>
      <w:r w:rsidDel="00000000" w:rsidR="00000000" w:rsidRPr="00000000">
        <w:rPr>
          <w:sz w:val="20"/>
          <w:szCs w:val="20"/>
          <w:rtl w:val="0"/>
        </w:rPr>
        <w:t xml:space="preserve">Quando se analisa o volume de madeira por hectare, consta-se uma compensação entre quantidade de árvores e porte individual. Embora o volume médio por árvore tenha sido maximizado em espaçamentos amplos, o maior número de plantas por área nos arranjos densos elevou o volume total por hectare a valores semelhantes (Tabela 3). Essa equivalência volumétrica demonstra que, para sistemas de produção de biomassa ou celulose, densidades maiores podem ser vantajosas, ao passo que, para fins madeireiros de maior valor agregado, espaçamentos reduzidos ou médios se mostram mais eficientes (Simioni </w:t>
      </w:r>
      <w:r w:rsidDel="00000000" w:rsidR="00000000" w:rsidRPr="00000000">
        <w:rPr>
          <w:i w:val="1"/>
          <w:sz w:val="20"/>
          <w:szCs w:val="20"/>
          <w:rtl w:val="0"/>
        </w:rPr>
        <w:t xml:space="preserve">et al.</w:t>
      </w:r>
      <w:r w:rsidDel="00000000" w:rsidR="00000000" w:rsidRPr="00000000">
        <w:rPr>
          <w:sz w:val="20"/>
          <w:szCs w:val="20"/>
          <w:rtl w:val="0"/>
        </w:rPr>
        <w:t xml:space="preserve">, 2018b; Silva, 2008/2009b).</w:t>
      </w:r>
    </w:p>
    <w:p w:rsidR="00000000" w:rsidDel="00000000" w:rsidP="00000000" w:rsidRDefault="00000000" w:rsidRPr="00000000" w14:paraId="00000065">
      <w:pPr>
        <w:widowControl w:val="1"/>
        <w:spacing w:after="0" w:before="0" w:lineRule="auto"/>
        <w:jc w:val="both"/>
        <w:rPr>
          <w:sz w:val="20"/>
          <w:szCs w:val="20"/>
        </w:rPr>
      </w:pPr>
      <w:bookmarkStart w:colFirst="0" w:colLast="0" w:name="_heading=h.j0gent5nil1j" w:id="2"/>
      <w:bookmarkEnd w:id="2"/>
      <w:r w:rsidDel="00000000" w:rsidR="00000000" w:rsidRPr="00000000">
        <w:rPr>
          <w:sz w:val="20"/>
          <w:szCs w:val="20"/>
          <w:rtl w:val="0"/>
        </w:rPr>
        <w:t xml:space="preserve">Tabela 3. Médias de volume (m³/ha) dos clones (A e B) híbridos de </w:t>
      </w:r>
      <w:r w:rsidDel="00000000" w:rsidR="00000000" w:rsidRPr="00000000">
        <w:rPr>
          <w:i w:val="1"/>
          <w:sz w:val="20"/>
          <w:szCs w:val="20"/>
          <w:rtl w:val="0"/>
        </w:rPr>
        <w:t xml:space="preserve">eucalyptus</w:t>
      </w:r>
      <w:r w:rsidDel="00000000" w:rsidR="00000000" w:rsidRPr="00000000">
        <w:rPr>
          <w:sz w:val="20"/>
          <w:szCs w:val="20"/>
          <w:rtl w:val="0"/>
        </w:rPr>
        <w:t xml:space="preserve"> sob diferentes espaçamentos de plantio, Macaíba/RN.</w:t>
        <w:br w:type="textWrapping"/>
        <w:t xml:space="preserve">Table 3 Average volume (m³/ha) of hybrid</w:t>
      </w:r>
      <w:r w:rsidDel="00000000" w:rsidR="00000000" w:rsidRPr="00000000">
        <w:rPr>
          <w:i w:val="1"/>
          <w:sz w:val="20"/>
          <w:szCs w:val="20"/>
          <w:rtl w:val="0"/>
        </w:rPr>
        <w:t xml:space="preserve"> eucalyptus</w:t>
      </w:r>
      <w:r w:rsidDel="00000000" w:rsidR="00000000" w:rsidRPr="00000000">
        <w:rPr>
          <w:sz w:val="20"/>
          <w:szCs w:val="20"/>
          <w:rtl w:val="0"/>
        </w:rPr>
        <w:t xml:space="preserve"> clones (A and B) under different planting spacings, Macaíba/RN.</w:t>
      </w:r>
    </w:p>
    <w:tbl>
      <w:tblPr>
        <w:tblStyle w:val="Table3"/>
        <w:tblW w:w="9260.0"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361"/>
        <w:gridCol w:w="1316"/>
        <w:gridCol w:w="1316"/>
        <w:gridCol w:w="1316"/>
        <w:gridCol w:w="1317"/>
        <w:gridCol w:w="1317"/>
        <w:gridCol w:w="1317"/>
        <w:tblGridChange w:id="0">
          <w:tblGrid>
            <w:gridCol w:w="1361"/>
            <w:gridCol w:w="1316"/>
            <w:gridCol w:w="1316"/>
            <w:gridCol w:w="1316"/>
            <w:gridCol w:w="1317"/>
            <w:gridCol w:w="1317"/>
            <w:gridCol w:w="1317"/>
          </w:tblGrid>
        </w:tblGridChange>
      </w:tblGrid>
      <w:tr>
        <w:trPr>
          <w:cantSplit w:val="0"/>
          <w:trHeight w:val="714.9609375" w:hRule="atLeast"/>
          <w:tblHeader w:val="0"/>
        </w:trPr>
        <w:tc>
          <w:tcPr>
            <w:tcBorders>
              <w:top w:color="000000" w:space="0" w:sz="4" w:val="single"/>
              <w:bottom w:color="000000" w:space="0" w:sz="4" w:val="single"/>
            </w:tcBorders>
          </w:tcPr>
          <w:p w:rsidR="00000000" w:rsidDel="00000000" w:rsidP="00000000" w:rsidRDefault="00000000" w:rsidRPr="00000000" w14:paraId="00000066">
            <w:pPr>
              <w:widowControl w:val="1"/>
              <w:spacing w:after="240" w:before="240" w:lineRule="auto"/>
              <w:jc w:val="left"/>
              <w:rPr>
                <w:sz w:val="20"/>
                <w:szCs w:val="20"/>
              </w:rPr>
            </w:pPr>
            <w:r w:rsidDel="00000000" w:rsidR="00000000" w:rsidRPr="00000000">
              <w:rPr>
                <w:sz w:val="20"/>
                <w:szCs w:val="20"/>
                <w:rtl w:val="0"/>
              </w:rPr>
              <w:t xml:space="preserve">Espaçamentos</w:t>
            </w:r>
          </w:p>
        </w:tc>
        <w:tc>
          <w:tcPr>
            <w:tcBorders>
              <w:top w:color="000000" w:space="0" w:sz="4" w:val="single"/>
              <w:bottom w:color="000000" w:space="0" w:sz="4" w:val="single"/>
            </w:tcBorders>
          </w:tcPr>
          <w:p w:rsidR="00000000" w:rsidDel="00000000" w:rsidP="00000000" w:rsidRDefault="00000000" w:rsidRPr="00000000" w14:paraId="00000067">
            <w:pPr>
              <w:widowControl w:val="1"/>
              <w:spacing w:after="240" w:before="240" w:lineRule="auto"/>
              <w:jc w:val="center"/>
              <w:rPr>
                <w:sz w:val="20"/>
                <w:szCs w:val="20"/>
              </w:rPr>
            </w:pPr>
            <w:r w:rsidDel="00000000" w:rsidR="00000000" w:rsidRPr="00000000">
              <w:rPr>
                <w:sz w:val="20"/>
                <w:szCs w:val="20"/>
                <w:rtl w:val="0"/>
              </w:rPr>
              <w:t xml:space="preserve">Clone A 24 meses</w:t>
            </w:r>
          </w:p>
        </w:tc>
        <w:tc>
          <w:tcPr>
            <w:tcBorders>
              <w:top w:color="000000" w:space="0" w:sz="4" w:val="single"/>
              <w:bottom w:color="000000" w:space="0" w:sz="4" w:val="single"/>
            </w:tcBorders>
          </w:tcPr>
          <w:p w:rsidR="00000000" w:rsidDel="00000000" w:rsidP="00000000" w:rsidRDefault="00000000" w:rsidRPr="00000000" w14:paraId="00000068">
            <w:pPr>
              <w:widowControl w:val="1"/>
              <w:spacing w:after="240" w:before="240" w:lineRule="auto"/>
              <w:jc w:val="center"/>
              <w:rPr>
                <w:sz w:val="20"/>
                <w:szCs w:val="20"/>
              </w:rPr>
            </w:pPr>
            <w:r w:rsidDel="00000000" w:rsidR="00000000" w:rsidRPr="00000000">
              <w:rPr>
                <w:sz w:val="20"/>
                <w:szCs w:val="20"/>
                <w:rtl w:val="0"/>
              </w:rPr>
              <w:t xml:space="preserve">Clone A 48 meses</w:t>
            </w:r>
          </w:p>
        </w:tc>
        <w:tc>
          <w:tcPr>
            <w:tcBorders>
              <w:top w:color="000000" w:space="0" w:sz="4" w:val="single"/>
              <w:bottom w:color="000000" w:space="0" w:sz="4" w:val="single"/>
            </w:tcBorders>
          </w:tcPr>
          <w:p w:rsidR="00000000" w:rsidDel="00000000" w:rsidP="00000000" w:rsidRDefault="00000000" w:rsidRPr="00000000" w14:paraId="00000069">
            <w:pPr>
              <w:widowControl w:val="1"/>
              <w:spacing w:after="240" w:before="240" w:lineRule="auto"/>
              <w:jc w:val="center"/>
              <w:rPr>
                <w:sz w:val="20"/>
                <w:szCs w:val="20"/>
              </w:rPr>
            </w:pPr>
            <w:r w:rsidDel="00000000" w:rsidR="00000000" w:rsidRPr="00000000">
              <w:rPr>
                <w:sz w:val="20"/>
                <w:szCs w:val="20"/>
                <w:rtl w:val="0"/>
              </w:rPr>
              <w:t xml:space="preserve">Clone A 66 meses</w:t>
            </w:r>
          </w:p>
        </w:tc>
        <w:tc>
          <w:tcPr>
            <w:tcBorders>
              <w:top w:color="000000" w:space="0" w:sz="4" w:val="single"/>
              <w:bottom w:color="000000" w:space="0" w:sz="4" w:val="single"/>
            </w:tcBorders>
          </w:tcPr>
          <w:p w:rsidR="00000000" w:rsidDel="00000000" w:rsidP="00000000" w:rsidRDefault="00000000" w:rsidRPr="00000000" w14:paraId="0000006A">
            <w:pPr>
              <w:widowControl w:val="1"/>
              <w:spacing w:after="240" w:before="240" w:lineRule="auto"/>
              <w:jc w:val="center"/>
              <w:rPr>
                <w:sz w:val="20"/>
                <w:szCs w:val="20"/>
              </w:rPr>
            </w:pPr>
            <w:r w:rsidDel="00000000" w:rsidR="00000000" w:rsidRPr="00000000">
              <w:rPr>
                <w:sz w:val="20"/>
                <w:szCs w:val="20"/>
                <w:rtl w:val="0"/>
              </w:rPr>
              <w:t xml:space="preserve">Clone B 24 meses</w:t>
            </w:r>
          </w:p>
        </w:tc>
        <w:tc>
          <w:tcPr>
            <w:tcBorders>
              <w:top w:color="000000" w:space="0" w:sz="4" w:val="single"/>
              <w:bottom w:color="000000" w:space="0" w:sz="4" w:val="single"/>
            </w:tcBorders>
          </w:tcPr>
          <w:p w:rsidR="00000000" w:rsidDel="00000000" w:rsidP="00000000" w:rsidRDefault="00000000" w:rsidRPr="00000000" w14:paraId="0000006B">
            <w:pPr>
              <w:widowControl w:val="1"/>
              <w:spacing w:after="240" w:before="240" w:lineRule="auto"/>
              <w:jc w:val="center"/>
              <w:rPr>
                <w:sz w:val="20"/>
                <w:szCs w:val="20"/>
              </w:rPr>
            </w:pPr>
            <w:r w:rsidDel="00000000" w:rsidR="00000000" w:rsidRPr="00000000">
              <w:rPr>
                <w:sz w:val="20"/>
                <w:szCs w:val="20"/>
                <w:rtl w:val="0"/>
              </w:rPr>
              <w:t xml:space="preserve">Clone B 48 meses</w:t>
            </w:r>
          </w:p>
        </w:tc>
        <w:tc>
          <w:tcPr>
            <w:tcBorders>
              <w:top w:color="000000" w:space="0" w:sz="4" w:val="single"/>
              <w:bottom w:color="000000" w:space="0" w:sz="4" w:val="single"/>
            </w:tcBorders>
          </w:tcPr>
          <w:p w:rsidR="00000000" w:rsidDel="00000000" w:rsidP="00000000" w:rsidRDefault="00000000" w:rsidRPr="00000000" w14:paraId="0000006C">
            <w:pPr>
              <w:widowControl w:val="1"/>
              <w:spacing w:after="240" w:before="240" w:lineRule="auto"/>
              <w:jc w:val="center"/>
              <w:rPr>
                <w:sz w:val="20"/>
                <w:szCs w:val="20"/>
              </w:rPr>
            </w:pPr>
            <w:r w:rsidDel="00000000" w:rsidR="00000000" w:rsidRPr="00000000">
              <w:rPr>
                <w:sz w:val="20"/>
                <w:szCs w:val="20"/>
                <w:rtl w:val="0"/>
              </w:rPr>
              <w:t xml:space="preserve">Clone B 66 meses</w:t>
            </w:r>
          </w:p>
        </w:tc>
      </w:tr>
      <w:tr>
        <w:trPr>
          <w:cantSplit w:val="0"/>
          <w:tblHeader w:val="0"/>
        </w:trPr>
        <w:tc>
          <w:tcPr>
            <w:tcBorders>
              <w:top w:color="000000" w:space="0" w:sz="4" w:val="single"/>
            </w:tcBorders>
          </w:tcPr>
          <w:p w:rsidR="00000000" w:rsidDel="00000000" w:rsidP="00000000" w:rsidRDefault="00000000" w:rsidRPr="00000000" w14:paraId="0000006D">
            <w:pPr>
              <w:widowControl w:val="1"/>
              <w:spacing w:after="240" w:before="240" w:lineRule="auto"/>
              <w:jc w:val="center"/>
              <w:rPr>
                <w:sz w:val="20"/>
                <w:szCs w:val="20"/>
              </w:rPr>
            </w:pPr>
            <w:r w:rsidDel="00000000" w:rsidR="00000000" w:rsidRPr="00000000">
              <w:rPr>
                <w:sz w:val="20"/>
                <w:szCs w:val="20"/>
                <w:rtl w:val="0"/>
              </w:rPr>
              <w:t xml:space="preserve">1,25 m x 9 m</w:t>
            </w:r>
          </w:p>
        </w:tc>
        <w:tc>
          <w:tcPr>
            <w:tcBorders>
              <w:top w:color="000000" w:space="0" w:sz="4" w:val="single"/>
            </w:tcBorders>
          </w:tcPr>
          <w:p w:rsidR="00000000" w:rsidDel="00000000" w:rsidP="00000000" w:rsidRDefault="00000000" w:rsidRPr="00000000" w14:paraId="0000006E">
            <w:pPr>
              <w:widowControl w:val="1"/>
              <w:spacing w:after="240" w:before="240" w:lineRule="auto"/>
              <w:jc w:val="center"/>
              <w:rPr>
                <w:sz w:val="20"/>
                <w:szCs w:val="20"/>
              </w:rPr>
            </w:pPr>
            <w:r w:rsidDel="00000000" w:rsidR="00000000" w:rsidRPr="00000000">
              <w:rPr>
                <w:sz w:val="20"/>
                <w:szCs w:val="20"/>
                <w:rtl w:val="0"/>
              </w:rPr>
              <w:t xml:space="preserve">37,34 a</w:t>
            </w:r>
          </w:p>
        </w:tc>
        <w:tc>
          <w:tcPr>
            <w:tcBorders>
              <w:top w:color="000000" w:space="0" w:sz="4" w:val="single"/>
            </w:tcBorders>
          </w:tcPr>
          <w:p w:rsidR="00000000" w:rsidDel="00000000" w:rsidP="00000000" w:rsidRDefault="00000000" w:rsidRPr="00000000" w14:paraId="0000006F">
            <w:pPr>
              <w:widowControl w:val="1"/>
              <w:spacing w:after="240" w:before="240" w:lineRule="auto"/>
              <w:jc w:val="center"/>
              <w:rPr>
                <w:sz w:val="20"/>
                <w:szCs w:val="20"/>
              </w:rPr>
            </w:pPr>
            <w:r w:rsidDel="00000000" w:rsidR="00000000" w:rsidRPr="00000000">
              <w:rPr>
                <w:sz w:val="20"/>
                <w:szCs w:val="20"/>
                <w:rtl w:val="0"/>
              </w:rPr>
              <w:t xml:space="preserve">178,76 a</w:t>
            </w:r>
          </w:p>
        </w:tc>
        <w:tc>
          <w:tcPr>
            <w:tcBorders>
              <w:top w:color="000000" w:space="0" w:sz="4" w:val="single"/>
            </w:tcBorders>
          </w:tcPr>
          <w:p w:rsidR="00000000" w:rsidDel="00000000" w:rsidP="00000000" w:rsidRDefault="00000000" w:rsidRPr="00000000" w14:paraId="00000070">
            <w:pPr>
              <w:widowControl w:val="1"/>
              <w:spacing w:after="240" w:before="240" w:lineRule="auto"/>
              <w:jc w:val="center"/>
              <w:rPr>
                <w:sz w:val="20"/>
                <w:szCs w:val="20"/>
              </w:rPr>
            </w:pPr>
            <w:r w:rsidDel="00000000" w:rsidR="00000000" w:rsidRPr="00000000">
              <w:rPr>
                <w:sz w:val="20"/>
                <w:szCs w:val="20"/>
                <w:rtl w:val="0"/>
              </w:rPr>
              <w:t xml:space="preserve">224,27 a</w:t>
            </w:r>
          </w:p>
        </w:tc>
        <w:tc>
          <w:tcPr>
            <w:tcBorders>
              <w:top w:color="000000" w:space="0" w:sz="4" w:val="single"/>
            </w:tcBorders>
          </w:tcPr>
          <w:p w:rsidR="00000000" w:rsidDel="00000000" w:rsidP="00000000" w:rsidRDefault="00000000" w:rsidRPr="00000000" w14:paraId="00000071">
            <w:pPr>
              <w:widowControl w:val="1"/>
              <w:spacing w:after="240" w:before="240" w:lineRule="auto"/>
              <w:jc w:val="center"/>
              <w:rPr>
                <w:sz w:val="20"/>
                <w:szCs w:val="20"/>
              </w:rPr>
            </w:pPr>
            <w:r w:rsidDel="00000000" w:rsidR="00000000" w:rsidRPr="00000000">
              <w:rPr>
                <w:sz w:val="20"/>
                <w:szCs w:val="20"/>
                <w:rtl w:val="0"/>
              </w:rPr>
              <w:t xml:space="preserve">52,59 a</w:t>
            </w:r>
          </w:p>
        </w:tc>
        <w:tc>
          <w:tcPr>
            <w:tcBorders>
              <w:top w:color="000000" w:space="0" w:sz="4" w:val="single"/>
            </w:tcBorders>
          </w:tcPr>
          <w:p w:rsidR="00000000" w:rsidDel="00000000" w:rsidP="00000000" w:rsidRDefault="00000000" w:rsidRPr="00000000" w14:paraId="00000072">
            <w:pPr>
              <w:widowControl w:val="1"/>
              <w:spacing w:after="240" w:before="240" w:lineRule="auto"/>
              <w:jc w:val="center"/>
              <w:rPr>
                <w:sz w:val="20"/>
                <w:szCs w:val="20"/>
              </w:rPr>
            </w:pPr>
            <w:r w:rsidDel="00000000" w:rsidR="00000000" w:rsidRPr="00000000">
              <w:rPr>
                <w:sz w:val="20"/>
                <w:szCs w:val="20"/>
                <w:rtl w:val="0"/>
              </w:rPr>
              <w:t xml:space="preserve">162,82 a</w:t>
            </w:r>
          </w:p>
        </w:tc>
        <w:tc>
          <w:tcPr>
            <w:tcBorders>
              <w:top w:color="000000" w:space="0" w:sz="4" w:val="single"/>
            </w:tcBorders>
          </w:tcPr>
          <w:p w:rsidR="00000000" w:rsidDel="00000000" w:rsidP="00000000" w:rsidRDefault="00000000" w:rsidRPr="00000000" w14:paraId="00000073">
            <w:pPr>
              <w:widowControl w:val="1"/>
              <w:spacing w:after="240" w:before="240" w:lineRule="auto"/>
              <w:jc w:val="center"/>
              <w:rPr>
                <w:sz w:val="20"/>
                <w:szCs w:val="20"/>
              </w:rPr>
            </w:pPr>
            <w:r w:rsidDel="00000000" w:rsidR="00000000" w:rsidRPr="00000000">
              <w:rPr>
                <w:sz w:val="20"/>
                <w:szCs w:val="20"/>
                <w:rtl w:val="0"/>
              </w:rPr>
              <w:t xml:space="preserve">209,89 a</w:t>
            </w:r>
          </w:p>
        </w:tc>
      </w:tr>
      <w:tr>
        <w:trPr>
          <w:cantSplit w:val="0"/>
          <w:tblHeader w:val="0"/>
        </w:trPr>
        <w:tc>
          <w:tcPr/>
          <w:p w:rsidR="00000000" w:rsidDel="00000000" w:rsidP="00000000" w:rsidRDefault="00000000" w:rsidRPr="00000000" w14:paraId="00000074">
            <w:pPr>
              <w:widowControl w:val="1"/>
              <w:spacing w:after="240" w:before="240" w:lineRule="auto"/>
              <w:jc w:val="center"/>
              <w:rPr>
                <w:sz w:val="20"/>
                <w:szCs w:val="20"/>
              </w:rPr>
            </w:pPr>
            <w:r w:rsidDel="00000000" w:rsidR="00000000" w:rsidRPr="00000000">
              <w:rPr>
                <w:sz w:val="20"/>
                <w:szCs w:val="20"/>
                <w:rtl w:val="0"/>
              </w:rPr>
              <w:t xml:space="preserve">1,50 m x 9 m</w:t>
            </w:r>
          </w:p>
        </w:tc>
        <w:tc>
          <w:tcPr/>
          <w:p w:rsidR="00000000" w:rsidDel="00000000" w:rsidP="00000000" w:rsidRDefault="00000000" w:rsidRPr="00000000" w14:paraId="00000075">
            <w:pPr>
              <w:widowControl w:val="1"/>
              <w:spacing w:after="240" w:before="240" w:lineRule="auto"/>
              <w:jc w:val="center"/>
              <w:rPr>
                <w:sz w:val="20"/>
                <w:szCs w:val="20"/>
              </w:rPr>
            </w:pPr>
            <w:r w:rsidDel="00000000" w:rsidR="00000000" w:rsidRPr="00000000">
              <w:rPr>
                <w:sz w:val="20"/>
                <w:szCs w:val="20"/>
                <w:rtl w:val="0"/>
              </w:rPr>
              <w:t xml:space="preserve">28,04 a</w:t>
            </w:r>
          </w:p>
        </w:tc>
        <w:tc>
          <w:tcPr/>
          <w:p w:rsidR="00000000" w:rsidDel="00000000" w:rsidP="00000000" w:rsidRDefault="00000000" w:rsidRPr="00000000" w14:paraId="00000076">
            <w:pPr>
              <w:widowControl w:val="1"/>
              <w:spacing w:after="240" w:before="240" w:lineRule="auto"/>
              <w:jc w:val="center"/>
              <w:rPr>
                <w:sz w:val="20"/>
                <w:szCs w:val="20"/>
              </w:rPr>
            </w:pPr>
            <w:r w:rsidDel="00000000" w:rsidR="00000000" w:rsidRPr="00000000">
              <w:rPr>
                <w:sz w:val="20"/>
                <w:szCs w:val="20"/>
                <w:rtl w:val="0"/>
              </w:rPr>
              <w:t xml:space="preserve">166,68 a</w:t>
            </w:r>
          </w:p>
        </w:tc>
        <w:tc>
          <w:tcPr/>
          <w:p w:rsidR="00000000" w:rsidDel="00000000" w:rsidP="00000000" w:rsidRDefault="00000000" w:rsidRPr="00000000" w14:paraId="00000077">
            <w:pPr>
              <w:widowControl w:val="1"/>
              <w:spacing w:after="240" w:before="240" w:lineRule="auto"/>
              <w:jc w:val="center"/>
              <w:rPr>
                <w:sz w:val="20"/>
                <w:szCs w:val="20"/>
              </w:rPr>
            </w:pPr>
            <w:r w:rsidDel="00000000" w:rsidR="00000000" w:rsidRPr="00000000">
              <w:rPr>
                <w:sz w:val="20"/>
                <w:szCs w:val="20"/>
                <w:rtl w:val="0"/>
              </w:rPr>
              <w:t xml:space="preserve">203,67 a</w:t>
            </w:r>
          </w:p>
        </w:tc>
        <w:tc>
          <w:tcPr/>
          <w:p w:rsidR="00000000" w:rsidDel="00000000" w:rsidP="00000000" w:rsidRDefault="00000000" w:rsidRPr="00000000" w14:paraId="00000078">
            <w:pPr>
              <w:widowControl w:val="1"/>
              <w:spacing w:after="240" w:before="240" w:lineRule="auto"/>
              <w:jc w:val="center"/>
              <w:rPr>
                <w:sz w:val="20"/>
                <w:szCs w:val="20"/>
              </w:rPr>
            </w:pPr>
            <w:r w:rsidDel="00000000" w:rsidR="00000000" w:rsidRPr="00000000">
              <w:rPr>
                <w:sz w:val="20"/>
                <w:szCs w:val="20"/>
                <w:rtl w:val="0"/>
              </w:rPr>
              <w:t xml:space="preserve">47,64 a</w:t>
            </w:r>
          </w:p>
        </w:tc>
        <w:tc>
          <w:tcPr/>
          <w:p w:rsidR="00000000" w:rsidDel="00000000" w:rsidP="00000000" w:rsidRDefault="00000000" w:rsidRPr="00000000" w14:paraId="00000079">
            <w:pPr>
              <w:widowControl w:val="1"/>
              <w:spacing w:after="240" w:before="240" w:lineRule="auto"/>
              <w:jc w:val="center"/>
              <w:rPr>
                <w:sz w:val="20"/>
                <w:szCs w:val="20"/>
              </w:rPr>
            </w:pPr>
            <w:r w:rsidDel="00000000" w:rsidR="00000000" w:rsidRPr="00000000">
              <w:rPr>
                <w:sz w:val="20"/>
                <w:szCs w:val="20"/>
                <w:rtl w:val="0"/>
              </w:rPr>
              <w:t xml:space="preserve">150,19 a</w:t>
            </w:r>
          </w:p>
        </w:tc>
        <w:tc>
          <w:tcPr/>
          <w:p w:rsidR="00000000" w:rsidDel="00000000" w:rsidP="00000000" w:rsidRDefault="00000000" w:rsidRPr="00000000" w14:paraId="0000007A">
            <w:pPr>
              <w:widowControl w:val="1"/>
              <w:spacing w:after="240" w:before="240" w:lineRule="auto"/>
              <w:jc w:val="center"/>
              <w:rPr>
                <w:sz w:val="20"/>
                <w:szCs w:val="20"/>
              </w:rPr>
            </w:pPr>
            <w:r w:rsidDel="00000000" w:rsidR="00000000" w:rsidRPr="00000000">
              <w:rPr>
                <w:sz w:val="20"/>
                <w:szCs w:val="20"/>
                <w:rtl w:val="0"/>
              </w:rPr>
              <w:t xml:space="preserve">188,21 a</w:t>
            </w:r>
          </w:p>
        </w:tc>
      </w:tr>
      <w:tr>
        <w:trPr>
          <w:cantSplit w:val="0"/>
          <w:tblHeader w:val="0"/>
        </w:trPr>
        <w:tc>
          <w:tcPr/>
          <w:p w:rsidR="00000000" w:rsidDel="00000000" w:rsidP="00000000" w:rsidRDefault="00000000" w:rsidRPr="00000000" w14:paraId="0000007B">
            <w:pPr>
              <w:widowControl w:val="1"/>
              <w:spacing w:after="240" w:before="240" w:lineRule="auto"/>
              <w:jc w:val="center"/>
              <w:rPr>
                <w:sz w:val="20"/>
                <w:szCs w:val="20"/>
              </w:rPr>
            </w:pPr>
            <w:r w:rsidDel="00000000" w:rsidR="00000000" w:rsidRPr="00000000">
              <w:rPr>
                <w:sz w:val="20"/>
                <w:szCs w:val="20"/>
                <w:rtl w:val="0"/>
              </w:rPr>
              <w:t xml:space="preserve">2,00 m x 9 m</w:t>
            </w:r>
          </w:p>
        </w:tc>
        <w:tc>
          <w:tcPr/>
          <w:p w:rsidR="00000000" w:rsidDel="00000000" w:rsidP="00000000" w:rsidRDefault="00000000" w:rsidRPr="00000000" w14:paraId="0000007C">
            <w:pPr>
              <w:widowControl w:val="1"/>
              <w:spacing w:after="240" w:before="240" w:lineRule="auto"/>
              <w:jc w:val="center"/>
              <w:rPr>
                <w:sz w:val="20"/>
                <w:szCs w:val="20"/>
              </w:rPr>
            </w:pPr>
            <w:r w:rsidDel="00000000" w:rsidR="00000000" w:rsidRPr="00000000">
              <w:rPr>
                <w:sz w:val="20"/>
                <w:szCs w:val="20"/>
                <w:rtl w:val="0"/>
              </w:rPr>
              <w:t xml:space="preserve">24,89 a</w:t>
            </w:r>
          </w:p>
        </w:tc>
        <w:tc>
          <w:tcPr/>
          <w:p w:rsidR="00000000" w:rsidDel="00000000" w:rsidP="00000000" w:rsidRDefault="00000000" w:rsidRPr="00000000" w14:paraId="0000007D">
            <w:pPr>
              <w:widowControl w:val="1"/>
              <w:spacing w:after="240" w:before="240" w:lineRule="auto"/>
              <w:jc w:val="center"/>
              <w:rPr>
                <w:sz w:val="20"/>
                <w:szCs w:val="20"/>
              </w:rPr>
            </w:pPr>
            <w:r w:rsidDel="00000000" w:rsidR="00000000" w:rsidRPr="00000000">
              <w:rPr>
                <w:sz w:val="20"/>
                <w:szCs w:val="20"/>
                <w:rtl w:val="0"/>
              </w:rPr>
              <w:t xml:space="preserve">168,01 a</w:t>
            </w:r>
          </w:p>
        </w:tc>
        <w:tc>
          <w:tcPr/>
          <w:p w:rsidR="00000000" w:rsidDel="00000000" w:rsidP="00000000" w:rsidRDefault="00000000" w:rsidRPr="00000000" w14:paraId="0000007E">
            <w:pPr>
              <w:widowControl w:val="1"/>
              <w:spacing w:after="240" w:before="240" w:lineRule="auto"/>
              <w:jc w:val="center"/>
              <w:rPr>
                <w:sz w:val="20"/>
                <w:szCs w:val="20"/>
              </w:rPr>
            </w:pPr>
            <w:r w:rsidDel="00000000" w:rsidR="00000000" w:rsidRPr="00000000">
              <w:rPr>
                <w:sz w:val="20"/>
                <w:szCs w:val="20"/>
                <w:rtl w:val="0"/>
              </w:rPr>
              <w:t xml:space="preserve">202,26 a</w:t>
            </w:r>
          </w:p>
        </w:tc>
        <w:tc>
          <w:tcPr/>
          <w:p w:rsidR="00000000" w:rsidDel="00000000" w:rsidP="00000000" w:rsidRDefault="00000000" w:rsidRPr="00000000" w14:paraId="0000007F">
            <w:pPr>
              <w:widowControl w:val="1"/>
              <w:spacing w:after="240" w:before="240" w:lineRule="auto"/>
              <w:jc w:val="center"/>
              <w:rPr>
                <w:sz w:val="20"/>
                <w:szCs w:val="20"/>
              </w:rPr>
            </w:pPr>
            <w:r w:rsidDel="00000000" w:rsidR="00000000" w:rsidRPr="00000000">
              <w:rPr>
                <w:sz w:val="20"/>
                <w:szCs w:val="20"/>
                <w:rtl w:val="0"/>
              </w:rPr>
              <w:t xml:space="preserve">46,23 a</w:t>
            </w:r>
          </w:p>
        </w:tc>
        <w:tc>
          <w:tcPr/>
          <w:p w:rsidR="00000000" w:rsidDel="00000000" w:rsidP="00000000" w:rsidRDefault="00000000" w:rsidRPr="00000000" w14:paraId="00000080">
            <w:pPr>
              <w:widowControl w:val="1"/>
              <w:spacing w:after="240" w:before="240" w:lineRule="auto"/>
              <w:jc w:val="center"/>
              <w:rPr>
                <w:sz w:val="20"/>
                <w:szCs w:val="20"/>
              </w:rPr>
            </w:pPr>
            <w:r w:rsidDel="00000000" w:rsidR="00000000" w:rsidRPr="00000000">
              <w:rPr>
                <w:sz w:val="20"/>
                <w:szCs w:val="20"/>
                <w:rtl w:val="0"/>
              </w:rPr>
              <w:t xml:space="preserve">160,20 a</w:t>
            </w:r>
          </w:p>
        </w:tc>
        <w:tc>
          <w:tcPr/>
          <w:p w:rsidR="00000000" w:rsidDel="00000000" w:rsidP="00000000" w:rsidRDefault="00000000" w:rsidRPr="00000000" w14:paraId="00000081">
            <w:pPr>
              <w:widowControl w:val="1"/>
              <w:spacing w:after="240" w:before="240" w:lineRule="auto"/>
              <w:jc w:val="center"/>
              <w:rPr>
                <w:sz w:val="20"/>
                <w:szCs w:val="20"/>
              </w:rPr>
            </w:pPr>
            <w:r w:rsidDel="00000000" w:rsidR="00000000" w:rsidRPr="00000000">
              <w:rPr>
                <w:sz w:val="20"/>
                <w:szCs w:val="20"/>
                <w:rtl w:val="0"/>
              </w:rPr>
              <w:t xml:space="preserve">200,73 a</w:t>
            </w:r>
          </w:p>
        </w:tc>
      </w:tr>
      <w:tr>
        <w:trPr>
          <w:cantSplit w:val="0"/>
          <w:tblHeader w:val="0"/>
        </w:trPr>
        <w:tc>
          <w:tcPr>
            <w:tcBorders>
              <w:bottom w:color="000000" w:space="0" w:sz="4" w:val="single"/>
            </w:tcBorders>
          </w:tcPr>
          <w:p w:rsidR="00000000" w:rsidDel="00000000" w:rsidP="00000000" w:rsidRDefault="00000000" w:rsidRPr="00000000" w14:paraId="00000082">
            <w:pPr>
              <w:widowControl w:val="1"/>
              <w:spacing w:after="240" w:before="240" w:lineRule="auto"/>
              <w:jc w:val="center"/>
              <w:rPr>
                <w:sz w:val="20"/>
                <w:szCs w:val="20"/>
              </w:rPr>
            </w:pPr>
            <w:r w:rsidDel="00000000" w:rsidR="00000000" w:rsidRPr="00000000">
              <w:rPr>
                <w:sz w:val="20"/>
                <w:szCs w:val="20"/>
                <w:rtl w:val="0"/>
              </w:rPr>
              <w:t xml:space="preserve">2,50 m x 9 m</w:t>
            </w:r>
          </w:p>
        </w:tc>
        <w:tc>
          <w:tcPr>
            <w:tcBorders>
              <w:bottom w:color="000000" w:space="0" w:sz="4" w:val="single"/>
            </w:tcBorders>
          </w:tcPr>
          <w:p w:rsidR="00000000" w:rsidDel="00000000" w:rsidP="00000000" w:rsidRDefault="00000000" w:rsidRPr="00000000" w14:paraId="00000083">
            <w:pPr>
              <w:widowControl w:val="1"/>
              <w:spacing w:after="240" w:before="240" w:lineRule="auto"/>
              <w:jc w:val="center"/>
              <w:rPr>
                <w:sz w:val="20"/>
                <w:szCs w:val="20"/>
              </w:rPr>
            </w:pPr>
            <w:r w:rsidDel="00000000" w:rsidR="00000000" w:rsidRPr="00000000">
              <w:rPr>
                <w:sz w:val="20"/>
                <w:szCs w:val="20"/>
                <w:rtl w:val="0"/>
              </w:rPr>
              <w:t xml:space="preserve">20,45 a</w:t>
            </w:r>
          </w:p>
        </w:tc>
        <w:tc>
          <w:tcPr>
            <w:tcBorders>
              <w:bottom w:color="000000" w:space="0" w:sz="4" w:val="single"/>
            </w:tcBorders>
          </w:tcPr>
          <w:p w:rsidR="00000000" w:rsidDel="00000000" w:rsidP="00000000" w:rsidRDefault="00000000" w:rsidRPr="00000000" w14:paraId="00000084">
            <w:pPr>
              <w:widowControl w:val="1"/>
              <w:spacing w:after="240" w:before="240" w:lineRule="auto"/>
              <w:jc w:val="center"/>
              <w:rPr>
                <w:sz w:val="20"/>
                <w:szCs w:val="20"/>
              </w:rPr>
            </w:pPr>
            <w:r w:rsidDel="00000000" w:rsidR="00000000" w:rsidRPr="00000000">
              <w:rPr>
                <w:sz w:val="20"/>
                <w:szCs w:val="20"/>
                <w:rtl w:val="0"/>
              </w:rPr>
              <w:t xml:space="preserve">164,89 a</w:t>
            </w:r>
          </w:p>
        </w:tc>
        <w:tc>
          <w:tcPr>
            <w:tcBorders>
              <w:bottom w:color="000000" w:space="0" w:sz="4" w:val="single"/>
            </w:tcBorders>
          </w:tcPr>
          <w:p w:rsidR="00000000" w:rsidDel="00000000" w:rsidP="00000000" w:rsidRDefault="00000000" w:rsidRPr="00000000" w14:paraId="00000085">
            <w:pPr>
              <w:widowControl w:val="1"/>
              <w:spacing w:after="240" w:before="240" w:lineRule="auto"/>
              <w:jc w:val="center"/>
              <w:rPr>
                <w:sz w:val="20"/>
                <w:szCs w:val="20"/>
              </w:rPr>
            </w:pPr>
            <w:r w:rsidDel="00000000" w:rsidR="00000000" w:rsidRPr="00000000">
              <w:rPr>
                <w:sz w:val="20"/>
                <w:szCs w:val="20"/>
                <w:rtl w:val="0"/>
              </w:rPr>
              <w:t xml:space="preserve">197,25 a</w:t>
            </w:r>
          </w:p>
        </w:tc>
        <w:tc>
          <w:tcPr>
            <w:tcBorders>
              <w:bottom w:color="000000" w:space="0" w:sz="4" w:val="single"/>
            </w:tcBorders>
          </w:tcPr>
          <w:p w:rsidR="00000000" w:rsidDel="00000000" w:rsidP="00000000" w:rsidRDefault="00000000" w:rsidRPr="00000000" w14:paraId="00000086">
            <w:pPr>
              <w:widowControl w:val="1"/>
              <w:spacing w:after="240" w:before="240" w:lineRule="auto"/>
              <w:jc w:val="center"/>
              <w:rPr>
                <w:sz w:val="20"/>
                <w:szCs w:val="20"/>
              </w:rPr>
            </w:pPr>
            <w:r w:rsidDel="00000000" w:rsidR="00000000" w:rsidRPr="00000000">
              <w:rPr>
                <w:sz w:val="20"/>
                <w:szCs w:val="20"/>
                <w:rtl w:val="0"/>
              </w:rPr>
              <w:t xml:space="preserve">38,10 a</w:t>
            </w:r>
          </w:p>
        </w:tc>
        <w:tc>
          <w:tcPr>
            <w:tcBorders>
              <w:bottom w:color="000000" w:space="0" w:sz="4" w:val="single"/>
            </w:tcBorders>
          </w:tcPr>
          <w:p w:rsidR="00000000" w:rsidDel="00000000" w:rsidP="00000000" w:rsidRDefault="00000000" w:rsidRPr="00000000" w14:paraId="00000087">
            <w:pPr>
              <w:widowControl w:val="1"/>
              <w:spacing w:after="240" w:before="240" w:lineRule="auto"/>
              <w:jc w:val="center"/>
              <w:rPr>
                <w:sz w:val="20"/>
                <w:szCs w:val="20"/>
              </w:rPr>
            </w:pPr>
            <w:r w:rsidDel="00000000" w:rsidR="00000000" w:rsidRPr="00000000">
              <w:rPr>
                <w:sz w:val="20"/>
                <w:szCs w:val="20"/>
                <w:rtl w:val="0"/>
              </w:rPr>
              <w:t xml:space="preserve">165,15 a</w:t>
            </w:r>
          </w:p>
        </w:tc>
        <w:tc>
          <w:tcPr>
            <w:tcBorders>
              <w:bottom w:color="000000" w:space="0" w:sz="4" w:val="single"/>
            </w:tcBorders>
          </w:tcPr>
          <w:p w:rsidR="00000000" w:rsidDel="00000000" w:rsidP="00000000" w:rsidRDefault="00000000" w:rsidRPr="00000000" w14:paraId="00000088">
            <w:pPr>
              <w:widowControl w:val="1"/>
              <w:spacing w:after="240" w:before="240" w:lineRule="auto"/>
              <w:jc w:val="center"/>
              <w:rPr>
                <w:sz w:val="20"/>
                <w:szCs w:val="20"/>
              </w:rPr>
            </w:pPr>
            <w:r w:rsidDel="00000000" w:rsidR="00000000" w:rsidRPr="00000000">
              <w:rPr>
                <w:sz w:val="20"/>
                <w:szCs w:val="20"/>
                <w:rtl w:val="0"/>
              </w:rPr>
              <w:t xml:space="preserve">210,71 a</w:t>
            </w:r>
          </w:p>
        </w:tc>
      </w:tr>
    </w:tbl>
    <w:p w:rsidR="00000000" w:rsidDel="00000000" w:rsidP="00000000" w:rsidRDefault="00000000" w:rsidRPr="00000000" w14:paraId="00000089">
      <w:pPr>
        <w:widowControl w:val="1"/>
        <w:pBdr>
          <w:top w:space="0" w:sz="0" w:val="nil"/>
          <w:left w:space="0" w:sz="0" w:val="nil"/>
          <w:bottom w:space="0" w:sz="0" w:val="nil"/>
          <w:right w:space="0" w:sz="0" w:val="nil"/>
          <w:between w:space="0" w:sz="0" w:val="nil"/>
        </w:pBdr>
        <w:spacing w:after="119" w:before="100" w:lineRule="auto"/>
        <w:jc w:val="both"/>
        <w:rPr>
          <w:sz w:val="16"/>
          <w:szCs w:val="16"/>
        </w:rPr>
      </w:pPr>
      <w:r w:rsidDel="00000000" w:rsidR="00000000" w:rsidRPr="00000000">
        <w:rPr>
          <w:sz w:val="16"/>
          <w:szCs w:val="16"/>
          <w:rtl w:val="0"/>
        </w:rPr>
        <w:t xml:space="preserve">Legenda: Clone A (híbrido de Urograndis A08) e Clone B (EUACA105). As letras seguem a ordem decrescente: “a” para o maior valor, “b” para o intermediário e “c” para o menor, conforme teste de Tukey a 5 % de probabilidade.</w:t>
      </w:r>
    </w:p>
    <w:p w:rsidR="00000000" w:rsidDel="00000000" w:rsidP="00000000" w:rsidRDefault="00000000" w:rsidRPr="00000000" w14:paraId="0000008A">
      <w:pPr>
        <w:widowControl w:val="1"/>
        <w:spacing w:after="240" w:before="240" w:lineRule="auto"/>
        <w:jc w:val="both"/>
        <w:rPr>
          <w:sz w:val="20"/>
          <w:szCs w:val="20"/>
        </w:rPr>
      </w:pPr>
      <w:r w:rsidDel="00000000" w:rsidR="00000000" w:rsidRPr="00000000">
        <w:rPr>
          <w:sz w:val="20"/>
          <w:szCs w:val="20"/>
          <w:rtl w:val="0"/>
        </w:rPr>
        <w:tab/>
        <w:t xml:space="preserve">A partir dos cálculos de Incremento Médio Anual (IMA) e Incremento Corrente Anual (ICA), o clone B revelou-se mais produtivo ao longo do ciclo, com picos de crescimento de volume concentrados em espaçamentos de 2,00 × 9 m. A convergência das curvas de IMA e ICA neste arranjo sinaliza um ponto ótimo de colheita, em que a relação entre investimento e retorno volumétrico anual se maximiza, alinhando-se ao observado por Lourenço (2025). Dessa forma, a escolha do arranjo espacial deve considerar, além das características genéticas do clone, o produto final desejado (lenha, mourões ou madeira serrada), de modo a otimizar a eficiência silvicultural em sistemas ILPF.</w:t>
      </w:r>
    </w:p>
    <w:p w:rsidR="00000000" w:rsidDel="00000000" w:rsidP="00000000" w:rsidRDefault="00000000" w:rsidRPr="00000000" w14:paraId="0000008B">
      <w:pPr>
        <w:widowControl w:val="1"/>
        <w:jc w:val="both"/>
        <w:rPr>
          <w:b w:val="1"/>
          <w:sz w:val="20"/>
          <w:szCs w:val="20"/>
        </w:rPr>
      </w:pPr>
      <w:r w:rsidDel="00000000" w:rsidR="00000000" w:rsidRPr="00000000">
        <w:rPr>
          <w:b w:val="1"/>
          <w:sz w:val="20"/>
          <w:szCs w:val="20"/>
          <w:rtl w:val="0"/>
        </w:rPr>
        <w:t xml:space="preserve">CONCLUSÕES </w:t>
      </w:r>
    </w:p>
    <w:p w:rsidR="00000000" w:rsidDel="00000000" w:rsidP="00000000" w:rsidRDefault="00000000" w:rsidRPr="00000000" w14:paraId="0000008C">
      <w:pPr>
        <w:widowControl w:val="1"/>
        <w:numPr>
          <w:ilvl w:val="0"/>
          <w:numId w:val="1"/>
        </w:numPr>
        <w:ind w:left="357" w:hanging="360"/>
        <w:jc w:val="both"/>
        <w:rPr>
          <w:sz w:val="20"/>
          <w:szCs w:val="20"/>
        </w:rPr>
      </w:pPr>
      <w:r w:rsidDel="00000000" w:rsidR="00000000" w:rsidRPr="00000000">
        <w:rPr>
          <w:sz w:val="20"/>
          <w:szCs w:val="20"/>
          <w:rtl w:val="0"/>
        </w:rPr>
        <w:t xml:space="preserve">No espaçamento de 1,25 × 9 m, os híbridos Urograndis A08 e EUCA105 apresentaram as maiores alturas, sendo recomendado para produção de madeira serrada ou lenha de alta qualidade.</w:t>
      </w:r>
    </w:p>
    <w:p w:rsidR="00000000" w:rsidDel="00000000" w:rsidP="00000000" w:rsidRDefault="00000000" w:rsidRPr="00000000" w14:paraId="0000008D">
      <w:pPr>
        <w:widowControl w:val="1"/>
        <w:numPr>
          <w:ilvl w:val="0"/>
          <w:numId w:val="1"/>
        </w:numPr>
        <w:ind w:left="357" w:hanging="360"/>
        <w:jc w:val="both"/>
        <w:rPr>
          <w:sz w:val="20"/>
          <w:szCs w:val="20"/>
        </w:rPr>
      </w:pPr>
      <w:r w:rsidDel="00000000" w:rsidR="00000000" w:rsidRPr="00000000">
        <w:rPr>
          <w:sz w:val="20"/>
          <w:szCs w:val="20"/>
          <w:rtl w:val="0"/>
        </w:rPr>
        <w:t xml:space="preserve">Quando cultivados em arranjos de 2,50 × 9 m, ambos os clones apresentaram o maior diâmetro à altura do peito (DAP), indicando este espaçamento mais adequado para a obtenção de mourões.</w:t>
      </w:r>
    </w:p>
    <w:p w:rsidR="00000000" w:rsidDel="00000000" w:rsidP="00000000" w:rsidRDefault="00000000" w:rsidRPr="00000000" w14:paraId="0000008E">
      <w:pPr>
        <w:widowControl w:val="1"/>
        <w:numPr>
          <w:ilvl w:val="0"/>
          <w:numId w:val="1"/>
        </w:numPr>
        <w:ind w:left="357" w:hanging="360"/>
        <w:jc w:val="both"/>
        <w:rPr>
          <w:sz w:val="20"/>
          <w:szCs w:val="20"/>
        </w:rPr>
      </w:pPr>
      <w:r w:rsidDel="00000000" w:rsidR="00000000" w:rsidRPr="00000000">
        <w:rPr>
          <w:sz w:val="20"/>
          <w:szCs w:val="20"/>
          <w:rtl w:val="0"/>
        </w:rPr>
        <w:t xml:space="preserve">O volume individual das árvores mostrou‐se estatisticamente equivalente entre os diferentes espaçamentos e genótipos, revelando uma compensação entre densidade de plantas e porte de cada indivíduo.</w:t>
      </w:r>
    </w:p>
    <w:p w:rsidR="00000000" w:rsidDel="00000000" w:rsidP="00000000" w:rsidRDefault="00000000" w:rsidRPr="00000000" w14:paraId="0000008F">
      <w:pPr>
        <w:widowControl w:val="1"/>
        <w:numPr>
          <w:ilvl w:val="0"/>
          <w:numId w:val="1"/>
        </w:numPr>
        <w:ind w:left="357" w:hanging="360"/>
        <w:jc w:val="both"/>
        <w:rPr>
          <w:sz w:val="20"/>
          <w:szCs w:val="20"/>
        </w:rPr>
      </w:pPr>
      <w:r w:rsidDel="00000000" w:rsidR="00000000" w:rsidRPr="00000000">
        <w:rPr>
          <w:sz w:val="20"/>
          <w:szCs w:val="20"/>
          <w:rtl w:val="0"/>
        </w:rPr>
        <w:t xml:space="preserve">O clone B (EUCA105) destacou‐se nos incrementos médio (IMA) e corrente anuais (ICA), sobretudo no ICA, o que evidencia seu maior vigor produtivo e melhor adaptação às condições edafoclimáticas da região.</w:t>
      </w:r>
    </w:p>
    <w:p w:rsidR="00000000" w:rsidDel="00000000" w:rsidP="00000000" w:rsidRDefault="00000000" w:rsidRPr="00000000" w14:paraId="00000090">
      <w:pPr>
        <w:widowControl w:val="1"/>
        <w:jc w:val="both"/>
        <w:rPr>
          <w:sz w:val="20"/>
          <w:szCs w:val="20"/>
        </w:rPr>
      </w:pPr>
      <w:r w:rsidDel="00000000" w:rsidR="00000000" w:rsidRPr="00000000">
        <w:rPr>
          <w:rtl w:val="0"/>
        </w:rPr>
      </w:r>
    </w:p>
    <w:p w:rsidR="00000000" w:rsidDel="00000000" w:rsidP="00000000" w:rsidRDefault="00000000" w:rsidRPr="00000000" w14:paraId="00000091">
      <w:pPr>
        <w:widowControl w:val="1"/>
        <w:jc w:val="both"/>
        <w:rPr>
          <w:sz w:val="20"/>
          <w:szCs w:val="20"/>
        </w:rPr>
      </w:pPr>
      <w:r w:rsidDel="00000000" w:rsidR="00000000" w:rsidRPr="00000000">
        <w:rPr>
          <w:b w:val="1"/>
          <w:sz w:val="20"/>
          <w:szCs w:val="20"/>
          <w:rtl w:val="0"/>
        </w:rPr>
        <w:t xml:space="preserve">REFERÊNCIAS </w:t>
      </w:r>
      <w:r w:rsidDel="00000000" w:rsidR="00000000" w:rsidRPr="00000000">
        <w:rPr>
          <w:rtl w:val="0"/>
        </w:rPr>
      </w:r>
    </w:p>
    <w:p w:rsidR="00000000" w:rsidDel="00000000" w:rsidP="00000000" w:rsidRDefault="00000000" w:rsidRPr="00000000" w14:paraId="00000092">
      <w:pPr>
        <w:spacing w:after="120" w:before="120" w:lineRule="auto"/>
        <w:jc w:val="both"/>
        <w:rPr>
          <w:sz w:val="20"/>
          <w:szCs w:val="20"/>
        </w:rPr>
      </w:pPr>
      <w:r w:rsidDel="00000000" w:rsidR="00000000" w:rsidRPr="00000000">
        <w:rPr>
          <w:sz w:val="20"/>
          <w:szCs w:val="20"/>
          <w:rtl w:val="0"/>
        </w:rPr>
        <w:t xml:space="preserve">BRAND, M. A. A silvicultura de espécies nativas na Caatinga: desafios e oportunidades. São Paulo. Revista Brasileira de Ciências Ambientais, n. 45, p. 89–98, 2017.</w:t>
      </w:r>
    </w:p>
    <w:p w:rsidR="00000000" w:rsidDel="00000000" w:rsidP="00000000" w:rsidRDefault="00000000" w:rsidRPr="00000000" w14:paraId="00000093">
      <w:pPr>
        <w:spacing w:after="120" w:before="120" w:lineRule="auto"/>
        <w:jc w:val="both"/>
        <w:rPr>
          <w:sz w:val="20"/>
          <w:szCs w:val="20"/>
        </w:rPr>
      </w:pPr>
      <w:r w:rsidDel="00000000" w:rsidR="00000000" w:rsidRPr="00000000">
        <w:rPr>
          <w:sz w:val="20"/>
          <w:szCs w:val="20"/>
          <w:rtl w:val="0"/>
        </w:rPr>
        <w:t xml:space="preserve">EMBRAPA. Biomassa florestal: principais usos e aproveitamento energético. Colombo: Embrapa Florestas, 2004.</w:t>
      </w:r>
    </w:p>
    <w:p w:rsidR="00000000" w:rsidDel="00000000" w:rsidP="00000000" w:rsidRDefault="00000000" w:rsidRPr="00000000" w14:paraId="00000094">
      <w:pPr>
        <w:spacing w:after="120" w:before="120" w:lineRule="auto"/>
        <w:jc w:val="both"/>
        <w:rPr>
          <w:sz w:val="20"/>
          <w:szCs w:val="20"/>
        </w:rPr>
      </w:pPr>
      <w:r w:rsidDel="00000000" w:rsidR="00000000" w:rsidRPr="00000000">
        <w:rPr>
          <w:sz w:val="20"/>
          <w:szCs w:val="20"/>
          <w:rtl w:val="0"/>
        </w:rPr>
        <w:t xml:space="preserve">EMBRAPA. Potencial produtivo do eucalipto no semiárido brasileiro. Brasília, DF: Embrapa, 2019.</w:t>
      </w:r>
    </w:p>
    <w:p w:rsidR="00000000" w:rsidDel="00000000" w:rsidP="00000000" w:rsidRDefault="00000000" w:rsidRPr="00000000" w14:paraId="00000095">
      <w:pPr>
        <w:spacing w:after="120" w:before="120" w:lineRule="auto"/>
        <w:jc w:val="both"/>
        <w:rPr>
          <w:sz w:val="20"/>
          <w:szCs w:val="20"/>
        </w:rPr>
      </w:pPr>
      <w:r w:rsidDel="00000000" w:rsidR="00000000" w:rsidRPr="00000000">
        <w:rPr>
          <w:sz w:val="20"/>
          <w:szCs w:val="20"/>
          <w:rtl w:val="0"/>
        </w:rPr>
        <w:t xml:space="preserve">IBGE – Instituto Brasileiro de Geografia e Estatística. Produção da extração vegetal e silvicultura 2022. Rio de Janeiro: IBGE, 2022.</w:t>
      </w:r>
    </w:p>
    <w:p w:rsidR="00000000" w:rsidDel="00000000" w:rsidP="00000000" w:rsidRDefault="00000000" w:rsidRPr="00000000" w14:paraId="00000096">
      <w:pPr>
        <w:spacing w:after="120" w:before="120" w:lineRule="auto"/>
        <w:jc w:val="both"/>
        <w:rPr>
          <w:sz w:val="20"/>
          <w:szCs w:val="20"/>
        </w:rPr>
      </w:pPr>
      <w:r w:rsidDel="00000000" w:rsidR="00000000" w:rsidRPr="00000000">
        <w:rPr>
          <w:sz w:val="20"/>
          <w:szCs w:val="20"/>
          <w:rtl w:val="0"/>
        </w:rPr>
        <w:t xml:space="preserve">IBGE – Instituto Brasileiro de Geografia e Estatística. SIDRA – Sistema IBGE de Recuperação Automática. Disponível em:</w:t>
      </w:r>
      <w:hyperlink r:id="rId8">
        <w:r w:rsidDel="00000000" w:rsidR="00000000" w:rsidRPr="00000000">
          <w:rPr>
            <w:sz w:val="20"/>
            <w:szCs w:val="20"/>
            <w:rtl w:val="0"/>
          </w:rPr>
          <w:t xml:space="preserve"> &lt;https://sidra.ibge.gov.br/</w:t>
        </w:r>
      </w:hyperlink>
      <w:r w:rsidDel="00000000" w:rsidR="00000000" w:rsidRPr="00000000">
        <w:rPr>
          <w:sz w:val="20"/>
          <w:szCs w:val="20"/>
          <w:rtl w:val="0"/>
        </w:rPr>
        <w:t xml:space="preserve">&gt;. Acesso em: maio 2024.</w:t>
      </w:r>
    </w:p>
    <w:p w:rsidR="00000000" w:rsidDel="00000000" w:rsidP="00000000" w:rsidRDefault="00000000" w:rsidRPr="00000000" w14:paraId="00000097">
      <w:pPr>
        <w:spacing w:after="120" w:before="120" w:lineRule="auto"/>
        <w:jc w:val="both"/>
        <w:rPr>
          <w:sz w:val="20"/>
          <w:szCs w:val="20"/>
        </w:rPr>
      </w:pPr>
      <w:r w:rsidDel="00000000" w:rsidR="00000000" w:rsidRPr="00000000">
        <w:rPr>
          <w:sz w:val="20"/>
          <w:szCs w:val="20"/>
          <w:rtl w:val="0"/>
        </w:rPr>
        <w:t xml:space="preserve">LOURENÇO, J. H. A. Crescimento e produtividade de clones de eucalipto sob diferentes espaçamentos em Macaíba-RN. 2025. Trabalho de Conclusão de Curso (Graduação em Engenharia Florestal) – Universidade Federal do Rio Grande do Norte, Macaíba, RN.</w:t>
      </w:r>
    </w:p>
    <w:p w:rsidR="00000000" w:rsidDel="00000000" w:rsidP="00000000" w:rsidRDefault="00000000" w:rsidRPr="00000000" w14:paraId="00000098">
      <w:pPr>
        <w:spacing w:after="120" w:before="120" w:lineRule="auto"/>
        <w:jc w:val="both"/>
        <w:rPr>
          <w:sz w:val="20"/>
          <w:szCs w:val="20"/>
        </w:rPr>
      </w:pPr>
      <w:r w:rsidDel="00000000" w:rsidR="00000000" w:rsidRPr="00000000">
        <w:rPr>
          <w:sz w:val="20"/>
          <w:szCs w:val="20"/>
          <w:rtl w:val="0"/>
        </w:rPr>
        <w:t xml:space="preserve">OLIVEIRA, M. L.</w:t>
      </w:r>
      <w:r w:rsidDel="00000000" w:rsidR="00000000" w:rsidRPr="00000000">
        <w:rPr>
          <w:i w:val="1"/>
          <w:sz w:val="20"/>
          <w:szCs w:val="20"/>
          <w:rtl w:val="0"/>
        </w:rPr>
        <w:t xml:space="preserve"> et al</w:t>
      </w:r>
      <w:r w:rsidDel="00000000" w:rsidR="00000000" w:rsidRPr="00000000">
        <w:rPr>
          <w:sz w:val="20"/>
          <w:szCs w:val="20"/>
          <w:rtl w:val="0"/>
        </w:rPr>
        <w:t xml:space="preserve">. Integração Lavoura-Pecuária-Floresta (ILPF) no semiárido: estratégias sustentáveis para o pequeno produtor. Revista Agroecossistemas, v. 13, n. 2, p. 45–56, 2021.</w:t>
      </w:r>
    </w:p>
    <w:p w:rsidR="00000000" w:rsidDel="00000000" w:rsidP="00000000" w:rsidRDefault="00000000" w:rsidRPr="00000000" w14:paraId="00000099">
      <w:pPr>
        <w:spacing w:after="120" w:before="120" w:lineRule="auto"/>
        <w:jc w:val="both"/>
        <w:rPr>
          <w:sz w:val="20"/>
          <w:szCs w:val="20"/>
        </w:rPr>
      </w:pPr>
      <w:r w:rsidDel="00000000" w:rsidR="00000000" w:rsidRPr="00000000">
        <w:rPr>
          <w:sz w:val="20"/>
          <w:szCs w:val="20"/>
          <w:rtl w:val="0"/>
        </w:rPr>
        <w:t xml:space="preserve">SANTAROSA, E. </w:t>
      </w:r>
      <w:r w:rsidDel="00000000" w:rsidR="00000000" w:rsidRPr="00000000">
        <w:rPr>
          <w:i w:val="1"/>
          <w:sz w:val="20"/>
          <w:szCs w:val="20"/>
          <w:rtl w:val="0"/>
        </w:rPr>
        <w:t xml:space="preserve">et al</w:t>
      </w:r>
      <w:r w:rsidDel="00000000" w:rsidR="00000000" w:rsidRPr="00000000">
        <w:rPr>
          <w:sz w:val="20"/>
          <w:szCs w:val="20"/>
          <w:rtl w:val="0"/>
        </w:rPr>
        <w:t xml:space="preserve">. Desempenho de clones de eucalipto em diferentes condições edafoclimáticas no Brasil. Revista Floresta, Curitiba, v. 44, n. 1, p. 21–30, 2014.</w:t>
      </w:r>
    </w:p>
    <w:p w:rsidR="00000000" w:rsidDel="00000000" w:rsidP="00000000" w:rsidRDefault="00000000" w:rsidRPr="00000000" w14:paraId="0000009A">
      <w:pPr>
        <w:spacing w:after="120" w:before="120" w:lineRule="auto"/>
        <w:jc w:val="both"/>
        <w:rPr>
          <w:sz w:val="20"/>
          <w:szCs w:val="20"/>
        </w:rPr>
      </w:pPr>
      <w:r w:rsidDel="00000000" w:rsidR="00000000" w:rsidRPr="00000000">
        <w:rPr>
          <w:sz w:val="20"/>
          <w:szCs w:val="20"/>
          <w:rtl w:val="0"/>
        </w:rPr>
        <w:t xml:space="preserve">SILVA, J. M. Silvicultura como alternativa energética para o semiárido nordestino. In: Anais do Congresso Brasileiro de Energia Renovável, Fortaleza, 2008/2009.</w:t>
      </w:r>
    </w:p>
    <w:p w:rsidR="00000000" w:rsidDel="00000000" w:rsidP="00000000" w:rsidRDefault="00000000" w:rsidRPr="00000000" w14:paraId="0000009B">
      <w:pPr>
        <w:spacing w:after="120" w:before="120" w:lineRule="auto"/>
        <w:jc w:val="both"/>
        <w:rPr>
          <w:sz w:val="20"/>
          <w:szCs w:val="20"/>
        </w:rPr>
      </w:pPr>
      <w:r w:rsidDel="00000000" w:rsidR="00000000" w:rsidRPr="00000000">
        <w:rPr>
          <w:sz w:val="20"/>
          <w:szCs w:val="20"/>
          <w:rtl w:val="0"/>
        </w:rPr>
        <w:t xml:space="preserve">SIMIONI, F. J. </w:t>
      </w:r>
      <w:r w:rsidDel="00000000" w:rsidR="00000000" w:rsidRPr="00000000">
        <w:rPr>
          <w:i w:val="1"/>
          <w:sz w:val="20"/>
          <w:szCs w:val="20"/>
          <w:rtl w:val="0"/>
        </w:rPr>
        <w:t xml:space="preserve">et al.</w:t>
      </w:r>
      <w:r w:rsidDel="00000000" w:rsidR="00000000" w:rsidRPr="00000000">
        <w:rPr>
          <w:sz w:val="20"/>
          <w:szCs w:val="20"/>
          <w:rtl w:val="0"/>
        </w:rPr>
        <w:t xml:space="preserve"> Produção de carvão vegetal e subprodutos do eucalipto: perspectivas e tecnologias. Revista Árvore, Viçosa, v. 42, n. 4, p. 1–10, 2018.</w:t>
      </w:r>
    </w:p>
    <w:p w:rsidR="00000000" w:rsidDel="00000000" w:rsidP="00000000" w:rsidRDefault="00000000" w:rsidRPr="00000000" w14:paraId="0000009C">
      <w:pPr>
        <w:spacing w:after="100" w:lineRule="auto"/>
        <w:jc w:val="both"/>
        <w:rPr>
          <w:sz w:val="20"/>
          <w:szCs w:val="20"/>
          <w:highlight w:val="yellow"/>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10" w:orient="portrait"/>
      <w:pgMar w:bottom="1134" w:top="1909" w:left="1701" w:right="1134" w:header="1418" w:footer="140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drawing>
        <wp:inline distB="0" distT="0" distL="0" distR="0">
          <wp:extent cx="5274310" cy="791210"/>
          <wp:effectExtent b="0" l="0" r="0" t="0"/>
          <wp:docPr descr="Desenho de personagem de desenho animado&#10;&#10;Descrição gerada automaticamente com confiança média" id="43765515" name="image1.png"/>
          <a:graphic>
            <a:graphicData uri="http://schemas.openxmlformats.org/drawingml/2006/picture">
              <pic:pic>
                <pic:nvPicPr>
                  <pic:cNvPr descr="Desenho de personagem de desenho animado&#10;&#10;Descrição gerada automaticamente com confiança média" id="0" name="image1.png"/>
                  <pic:cNvPicPr preferRelativeResize="0"/>
                </pic:nvPicPr>
                <pic:blipFill>
                  <a:blip r:embed="rId1"/>
                  <a:srcRect b="0" l="0" r="0" t="0"/>
                  <a:stretch>
                    <a:fillRect/>
                  </a:stretch>
                </pic:blipFill>
                <pic:spPr>
                  <a:xfrm>
                    <a:off x="0" y="0"/>
                    <a:ext cx="5274310" cy="7912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9" w:hanging="360"/>
      </w:pPr>
      <w:rPr>
        <w:u w:val="none"/>
      </w:rPr>
    </w:lvl>
    <w:lvl w:ilvl="1">
      <w:start w:val="1"/>
      <w:numFmt w:val="bullet"/>
      <w:lvlText w:val="o"/>
      <w:lvlJc w:val="left"/>
      <w:pPr>
        <w:ind w:left="2149" w:hanging="360"/>
      </w:pPr>
      <w:rPr>
        <w:u w:val="none"/>
      </w:rPr>
    </w:lvl>
    <w:lvl w:ilvl="2">
      <w:start w:val="1"/>
      <w:numFmt w:val="bullet"/>
      <w:lvlText w:val="▪"/>
      <w:lvlJc w:val="left"/>
      <w:pPr>
        <w:ind w:left="2869" w:hanging="360"/>
      </w:pPr>
      <w:rPr>
        <w:u w:val="none"/>
      </w:rPr>
    </w:lvl>
    <w:lvl w:ilvl="3">
      <w:start w:val="1"/>
      <w:numFmt w:val="bullet"/>
      <w:lvlText w:val="●"/>
      <w:lvlJc w:val="left"/>
      <w:pPr>
        <w:ind w:left="3589" w:hanging="360"/>
      </w:pPr>
      <w:rPr>
        <w:u w:val="none"/>
      </w:rPr>
    </w:lvl>
    <w:lvl w:ilvl="4">
      <w:start w:val="1"/>
      <w:numFmt w:val="bullet"/>
      <w:lvlText w:val="o"/>
      <w:lvlJc w:val="left"/>
      <w:pPr>
        <w:ind w:left="4309" w:hanging="360"/>
      </w:pPr>
      <w:rPr>
        <w:u w:val="none"/>
      </w:rPr>
    </w:lvl>
    <w:lvl w:ilvl="5">
      <w:start w:val="1"/>
      <w:numFmt w:val="bullet"/>
      <w:lvlText w:val="▪"/>
      <w:lvlJc w:val="left"/>
      <w:pPr>
        <w:ind w:left="5029" w:hanging="360"/>
      </w:pPr>
      <w:rPr>
        <w:u w:val="none"/>
      </w:rPr>
    </w:lvl>
    <w:lvl w:ilvl="6">
      <w:start w:val="1"/>
      <w:numFmt w:val="bullet"/>
      <w:lvlText w:val="●"/>
      <w:lvlJc w:val="left"/>
      <w:pPr>
        <w:ind w:left="5749" w:hanging="360"/>
      </w:pPr>
      <w:rPr>
        <w:u w:val="none"/>
      </w:rPr>
    </w:lvl>
    <w:lvl w:ilvl="7">
      <w:start w:val="1"/>
      <w:numFmt w:val="bullet"/>
      <w:lvlText w:val="o"/>
      <w:lvlJc w:val="left"/>
      <w:pPr>
        <w:ind w:left="6469" w:hanging="360"/>
      </w:pPr>
      <w:rPr>
        <w:u w:val="none"/>
      </w:rPr>
    </w:lvl>
    <w:lvl w:ilvl="8">
      <w:start w:val="1"/>
      <w:numFmt w:val="bullet"/>
      <w:lvlText w:val="▪"/>
      <w:lvlJc w:val="left"/>
      <w:pPr>
        <w:ind w:left="7189"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18" w:lineRule="auto"/>
      <w:ind w:left="107"/>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bidi="pt-BR"/>
    </w:rPr>
  </w:style>
  <w:style w:type="paragraph" w:styleId="Ttulo1">
    <w:name w:val="heading 1"/>
    <w:basedOn w:val="Normal"/>
    <w:uiPriority w:val="9"/>
    <w:qFormat w:val="1"/>
    <w:pPr>
      <w:spacing w:before="18"/>
      <w:ind w:left="107"/>
      <w:outlineLvl w:val="0"/>
    </w:pPr>
    <w:rPr>
      <w:b w:val="1"/>
      <w:bCs w:val="1"/>
      <w:sz w:val="24"/>
      <w:szCs w:val="24"/>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pPr>
      <w:ind w:left="973" w:hanging="355"/>
    </w:pPr>
  </w:style>
  <w:style w:type="paragraph" w:styleId="TableParagraph" w:customStyle="1">
    <w:name w:val="Table Paragraph"/>
    <w:basedOn w:val="Normal"/>
    <w:uiPriority w:val="1"/>
    <w:qFormat w:val="1"/>
    <w:pPr>
      <w:ind w:left="108"/>
      <w:jc w:val="both"/>
    </w:pPr>
  </w:style>
  <w:style w:type="paragraph" w:styleId="Cabealho">
    <w:name w:val="header"/>
    <w:basedOn w:val="Normal"/>
    <w:link w:val="CabealhoChar"/>
    <w:uiPriority w:val="99"/>
    <w:unhideWhenUsed w:val="1"/>
    <w:rsid w:val="00324625"/>
    <w:pPr>
      <w:tabs>
        <w:tab w:val="center" w:pos="4252"/>
        <w:tab w:val="right" w:pos="8504"/>
      </w:tabs>
    </w:pPr>
  </w:style>
  <w:style w:type="character" w:styleId="CabealhoChar" w:customStyle="1">
    <w:name w:val="Cabeçalho Char"/>
    <w:basedOn w:val="Fontepargpadro"/>
    <w:link w:val="Cabealho"/>
    <w:uiPriority w:val="99"/>
    <w:rsid w:val="00324625"/>
    <w:rPr>
      <w:rFonts w:ascii="Times New Roman" w:cs="Times New Roman" w:eastAsia="Times New Roman" w:hAnsi="Times New Roman"/>
      <w:lang w:bidi="pt-BR" w:eastAsia="pt-BR" w:val="pt-BR"/>
    </w:rPr>
  </w:style>
  <w:style w:type="paragraph" w:styleId="Rodap">
    <w:name w:val="footer"/>
    <w:basedOn w:val="Normal"/>
    <w:link w:val="RodapChar"/>
    <w:uiPriority w:val="99"/>
    <w:unhideWhenUsed w:val="1"/>
    <w:rsid w:val="00324625"/>
    <w:pPr>
      <w:tabs>
        <w:tab w:val="center" w:pos="4252"/>
        <w:tab w:val="right" w:pos="8504"/>
      </w:tabs>
    </w:pPr>
  </w:style>
  <w:style w:type="character" w:styleId="RodapChar" w:customStyle="1">
    <w:name w:val="Rodapé Char"/>
    <w:basedOn w:val="Fontepargpadro"/>
    <w:link w:val="Rodap"/>
    <w:uiPriority w:val="99"/>
    <w:rsid w:val="00324625"/>
    <w:rPr>
      <w:rFonts w:ascii="Times New Roman" w:cs="Times New Roman" w:eastAsia="Times New Roman" w:hAnsi="Times New Roman"/>
      <w:lang w:bidi="pt-BR" w:eastAsia="pt-BR" w:val="pt-BR"/>
    </w:rPr>
  </w:style>
  <w:style w:type="paragraph" w:styleId="NormalWeb">
    <w:name w:val="Normal (Web)"/>
    <w:basedOn w:val="Normal"/>
    <w:uiPriority w:val="99"/>
    <w:rsid w:val="00832A03"/>
    <w:pPr>
      <w:widowControl w:val="1"/>
      <w:suppressAutoHyphens w:val="1"/>
      <w:spacing w:after="119" w:before="100"/>
    </w:pPr>
    <w:rPr>
      <w:sz w:val="24"/>
      <w:szCs w:val="24"/>
      <w:lang w:bidi="ar-SA" w:eastAsia="ar-SA" w:val="en-US"/>
    </w:rPr>
  </w:style>
  <w:style w:type="character" w:styleId="nfase">
    <w:name w:val="Emphasis"/>
    <w:uiPriority w:val="20"/>
    <w:qFormat w:val="1"/>
    <w:rsid w:val="00832A03"/>
    <w:rPr>
      <w:i w:val="1"/>
      <w:iCs w:val="1"/>
    </w:rPr>
  </w:style>
  <w:style w:type="character" w:styleId="Hyperlink">
    <w:name w:val="Hyperlink"/>
    <w:basedOn w:val="Fontepargpadro"/>
    <w:uiPriority w:val="99"/>
    <w:unhideWhenUsed w:val="1"/>
    <w:rsid w:val="00085E2B"/>
    <w:rPr>
      <w:color w:val="0000ff"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5"/>
    <w:tblPr>
      <w:tblStyleRowBandSize w:val="1"/>
      <w:tblStyleColBandSize w:val="1"/>
      <w:tblInd w:w="0.0" w:type="dxa"/>
      <w:tblCellMar>
        <w:top w:w="0.0" w:type="dxa"/>
        <w:left w:w="115.0" w:type="dxa"/>
        <w:bottom w:w="0.0" w:type="dxa"/>
        <w:right w:w="115.0" w:type="dxa"/>
      </w:tblCellMar>
    </w:tblPr>
  </w:style>
  <w:style w:type="table" w:styleId="a0" w:customStyle="1">
    <w:basedOn w:val="TableNormal4"/>
    <w:tblPr>
      <w:tblStyleRowBandSize w:val="1"/>
      <w:tblStyleColBandSize w:val="1"/>
      <w:tblCellMar>
        <w:top w:w="0.0" w:type="dxa"/>
        <w:left w:w="108.0" w:type="dxa"/>
        <w:bottom w:w="0.0" w:type="dxa"/>
        <w:right w:w="108.0" w:type="dxa"/>
      </w:tblCellMar>
    </w:tblPr>
  </w:style>
  <w:style w:type="paragraph" w:styleId="Reviso">
    <w:name w:val="Revision"/>
    <w:hidden w:val="1"/>
    <w:uiPriority w:val="99"/>
    <w:semiHidden w:val="1"/>
    <w:rsid w:val="00B84A84"/>
    <w:pPr>
      <w:widowControl w:val="1"/>
    </w:pPr>
    <w:rPr>
      <w:lang w:bidi="pt-BR"/>
    </w:rPr>
  </w:style>
  <w:style w:type="paragraph" w:styleId="Textodebalo">
    <w:name w:val="Balloon Text"/>
    <w:basedOn w:val="Normal"/>
    <w:link w:val="TextodebaloChar"/>
    <w:uiPriority w:val="99"/>
    <w:semiHidden w:val="1"/>
    <w:unhideWhenUsed w:val="1"/>
    <w:rsid w:val="006F798F"/>
    <w:rPr>
      <w:rFonts w:ascii="Tahoma" w:cs="Tahoma" w:hAnsi="Tahoma"/>
      <w:sz w:val="16"/>
      <w:szCs w:val="16"/>
    </w:rPr>
  </w:style>
  <w:style w:type="character" w:styleId="TextodebaloChar" w:customStyle="1">
    <w:name w:val="Texto de balão Char"/>
    <w:basedOn w:val="Fontepargpadro"/>
    <w:link w:val="Textodebalo"/>
    <w:uiPriority w:val="99"/>
    <w:semiHidden w:val="1"/>
    <w:rsid w:val="006F798F"/>
    <w:rPr>
      <w:rFonts w:ascii="Tahoma" w:cs="Tahoma" w:hAnsi="Tahoma"/>
      <w:sz w:val="16"/>
      <w:szCs w:val="16"/>
      <w:lang w:bidi="pt-BR"/>
    </w:rPr>
  </w:style>
  <w:style w:type="table" w:styleId="Tabelacomgrade">
    <w:name w:val="Table Grid"/>
    <w:basedOn w:val="Tabelanormal"/>
    <w:uiPriority w:val="59"/>
    <w:rsid w:val="00B5257E"/>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Forte">
    <w:name w:val="Strong"/>
    <w:basedOn w:val="Fontepargpadro"/>
    <w:uiPriority w:val="22"/>
    <w:qFormat w:val="1"/>
    <w:rsid w:val="00F02376"/>
    <w:rPr>
      <w:b w:val="1"/>
      <w:bCs w:val="1"/>
    </w:rPr>
  </w:style>
  <w:style w:type="table" w:styleId="a1" w:customStyle="1">
    <w:basedOn w:val="TableNormal1"/>
    <w:tblPr>
      <w:tblStyleRowBandSize w:val="1"/>
      <w:tblStyleColBandSize w:val="1"/>
      <w:tblCellMar>
        <w:top w:w="0.0" w:type="dxa"/>
        <w:left w:w="108.0" w:type="dxa"/>
        <w:bottom w:w="0.0" w:type="dxa"/>
        <w:right w:w="108.0" w:type="dxa"/>
      </w:tblCellMar>
    </w:tblPr>
  </w:style>
  <w:style w:type="table" w:styleId="a2" w:customStyle="1">
    <w:basedOn w:val="TableNormal1"/>
    <w:tblPr>
      <w:tblStyleRowBandSize w:val="1"/>
      <w:tblStyleColBandSize w:val="1"/>
      <w:tblCellMar>
        <w:top w:w="0.0" w:type="dxa"/>
        <w:left w:w="108.0" w:type="dxa"/>
        <w:bottom w:w="0.0" w:type="dxa"/>
        <w:right w:w="108.0" w:type="dxa"/>
      </w:tblCellMar>
    </w:tblPr>
  </w:style>
  <w:style w:type="table" w:styleId="a3" w:customStyle="1">
    <w:basedOn w:val="TableNormal1"/>
    <w:tblPr>
      <w:tblStyleRowBandSize w:val="1"/>
      <w:tblStyleColBandSize w:val="1"/>
      <w:tblCellMar>
        <w:top w:w="0.0" w:type="dxa"/>
        <w:left w:w="108.0" w:type="dxa"/>
        <w:bottom w:w="0.0" w:type="dxa"/>
        <w:right w:w="108.0" w:type="dxa"/>
      </w:tblCellMar>
    </w:tblPr>
  </w:style>
  <w:style w:type="paragraph" w:styleId="Textodecomentrio">
    <w:name w:val="annotation text"/>
    <w:basedOn w:val="Normal"/>
    <w:link w:val="TextodecomentrioChar"/>
    <w:uiPriority w:val="99"/>
    <w:semiHidden w:val="1"/>
    <w:unhideWhenUsed w:val="1"/>
    <w:rPr>
      <w:sz w:val="20"/>
      <w:szCs w:val="20"/>
    </w:rPr>
  </w:style>
  <w:style w:type="character" w:styleId="TextodecomentrioChar" w:customStyle="1">
    <w:name w:val="Texto de comentário Char"/>
    <w:basedOn w:val="Fontepargpadro"/>
    <w:link w:val="Textodecomentrio"/>
    <w:uiPriority w:val="99"/>
    <w:semiHidden w:val="1"/>
    <w:rPr>
      <w:sz w:val="20"/>
      <w:szCs w:val="20"/>
      <w:lang w:bidi="pt-BR"/>
    </w:rPr>
  </w:style>
  <w:style w:type="character" w:styleId="Refdecomentrio">
    <w:name w:val="annotation reference"/>
    <w:basedOn w:val="Fontepargpadro"/>
    <w:uiPriority w:val="99"/>
    <w:semiHidden w:val="1"/>
    <w:unhideWhenUsed w:val="1"/>
    <w:rPr>
      <w:sz w:val="16"/>
      <w:szCs w:val="16"/>
    </w:rPr>
  </w:style>
  <w:style w:type="table" w:styleId="a4" w:customStyle="1">
    <w:basedOn w:val="TableNormal0"/>
    <w:tblPr>
      <w:tblStyleRowBandSize w:val="1"/>
      <w:tblStyleColBandSize w:val="1"/>
      <w:tblCellMar>
        <w:top w:w="0.0" w:type="dxa"/>
        <w:left w:w="108.0" w:type="dxa"/>
        <w:bottom w:w="0.0" w:type="dxa"/>
        <w:right w:w="108.0" w:type="dxa"/>
      </w:tblCellMar>
    </w:tblPr>
  </w:style>
  <w:style w:type="table" w:styleId="a5" w:customStyle="1">
    <w:basedOn w:val="TableNormal0"/>
    <w:tblPr>
      <w:tblStyleRowBandSize w:val="1"/>
      <w:tblStyleColBandSize w:val="1"/>
      <w:tblCellMar>
        <w:top w:w="0.0" w:type="dxa"/>
        <w:left w:w="108.0" w:type="dxa"/>
        <w:bottom w:w="0.0" w:type="dxa"/>
        <w:right w:w="108.0" w:type="dxa"/>
      </w:tblCellMar>
    </w:tblPr>
  </w:style>
  <w:style w:type="table" w:styleId="a6" w:customStyle="1">
    <w:basedOn w:val="TableNormal0"/>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iaheloisantos.2005@gmail.com" TargetMode="External"/><Relationship Id="rId8" Type="http://schemas.openxmlformats.org/officeDocument/2006/relationships/hyperlink" Target="https://sidra.ibge.gov.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gUnNuuFCCJsMVK95oaeNcpfHw==">CgMxLjAyDmgueXA5Nml3dTJvN3dnMg5oLnVxdmUzMDU2bGRwbjIOaC5qMGdlbnQ1bmlsMWo4AGojChRzdWdnZXN0LjJzbjFueWcwbzQyaRILTUFSSUEgU0lMVkFyITF2VWU2NXVDc2xjX05WVTN1ZVdySVFtVURyV0NJSkp5bg==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2025-06-18T22:52:00Z</dcterms:created>
  <dc:creator>Liana Oliveira Costa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Microsoft® Word 2016</vt:lpwstr>
  </property>
  <property fmtid="{D5CDD505-2E9C-101B-9397-08002B2CF9AE}" pid="4" name="LastSaved">
    <vt:filetime>2019-09-16T00:00:00Z</vt:filetime>
  </property>
</Properties>
</file>