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85" w:rsidRDefault="00DA4A85">
      <w:pPr>
        <w:widowControl/>
        <w:jc w:val="center"/>
        <w:rPr>
          <w:b/>
          <w:sz w:val="24"/>
          <w:szCs w:val="24"/>
        </w:rPr>
      </w:pPr>
    </w:p>
    <w:p w:rsidR="00331014" w:rsidRDefault="00331014" w:rsidP="00331014">
      <w:pPr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EFEITO DO FRASS DE </w:t>
      </w:r>
      <w:sdt>
        <w:sdtPr>
          <w:tag w:val="goog_rdk_0"/>
          <w:id w:val="640075160"/>
        </w:sdtPr>
        <w:sdtContent/>
      </w:sdt>
      <w:proofErr w:type="spellStart"/>
      <w:r>
        <w:rPr>
          <w:i/>
          <w:sz w:val="24"/>
          <w:szCs w:val="24"/>
        </w:rPr>
        <w:t>Tenebrio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molitor</w:t>
      </w:r>
      <w:proofErr w:type="spellEnd"/>
      <w:r>
        <w:rPr>
          <w:sz w:val="24"/>
          <w:szCs w:val="24"/>
        </w:rPr>
        <w:t xml:space="preserve"> L. </w:t>
      </w:r>
      <w:r>
        <w:rPr>
          <w:b/>
          <w:sz w:val="24"/>
          <w:szCs w:val="24"/>
        </w:rPr>
        <w:t xml:space="preserve">NA PRODUÇÃO DE MUDAS DE </w:t>
      </w:r>
      <w:proofErr w:type="spellStart"/>
      <w:r>
        <w:rPr>
          <w:i/>
          <w:sz w:val="24"/>
          <w:szCs w:val="24"/>
        </w:rPr>
        <w:t>Hancornia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speciosa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Gomes</w:t>
      </w:r>
    </w:p>
    <w:p w:rsidR="00331014" w:rsidRDefault="00331014" w:rsidP="00331014">
      <w:pPr>
        <w:jc w:val="center"/>
        <w:rPr>
          <w:b/>
          <w:sz w:val="24"/>
          <w:szCs w:val="24"/>
        </w:rPr>
      </w:pPr>
      <w:bookmarkStart w:id="0" w:name="_heading=h.jt2dc41q7osu" w:colFirst="0" w:colLast="0"/>
      <w:bookmarkEnd w:id="0"/>
    </w:p>
    <w:p w:rsidR="00331014" w:rsidRDefault="00331014" w:rsidP="00331014">
      <w:pPr>
        <w:ind w:left="221" w:right="214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Tárcyla</w:t>
      </w:r>
      <w:proofErr w:type="spellEnd"/>
      <w:r>
        <w:rPr>
          <w:b/>
          <w:sz w:val="20"/>
          <w:szCs w:val="20"/>
        </w:rPr>
        <w:t xml:space="preserve"> Moura Rezende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Crislaine Costa Calazans</w:t>
      </w:r>
      <w:r>
        <w:rPr>
          <w:b/>
          <w:sz w:val="20"/>
          <w:szCs w:val="20"/>
          <w:vertAlign w:val="superscript"/>
        </w:rPr>
        <w:t>2*</w:t>
      </w:r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Izadora</w:t>
      </w:r>
      <w:proofErr w:type="spellEnd"/>
      <w:r>
        <w:rPr>
          <w:b/>
          <w:sz w:val="20"/>
          <w:szCs w:val="20"/>
        </w:rPr>
        <w:t xml:space="preserve"> Jesus dos Santos</w:t>
      </w:r>
      <w:r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>, Vitor Emanuel dos Santos Azevedo</w:t>
      </w:r>
      <w:r>
        <w:rPr>
          <w:b/>
          <w:sz w:val="20"/>
          <w:szCs w:val="20"/>
          <w:vertAlign w:val="superscript"/>
        </w:rPr>
        <w:t>4</w:t>
      </w:r>
      <w:r>
        <w:rPr>
          <w:b/>
          <w:sz w:val="20"/>
          <w:szCs w:val="20"/>
        </w:rPr>
        <w:t>, Daiana Evangelista dos Santos Rodrigues</w:t>
      </w:r>
      <w:r>
        <w:rPr>
          <w:b/>
          <w:sz w:val="20"/>
          <w:szCs w:val="20"/>
          <w:vertAlign w:val="superscript"/>
        </w:rPr>
        <w:t>5</w:t>
      </w:r>
      <w:r>
        <w:rPr>
          <w:b/>
          <w:sz w:val="20"/>
          <w:szCs w:val="20"/>
        </w:rPr>
        <w:t>, Ana do Carmo Santana Oliveira Neta</w:t>
      </w:r>
      <w:r>
        <w:rPr>
          <w:b/>
          <w:sz w:val="20"/>
          <w:szCs w:val="20"/>
          <w:vertAlign w:val="superscript"/>
        </w:rPr>
        <w:t>6</w:t>
      </w:r>
      <w:r>
        <w:rPr>
          <w:b/>
          <w:sz w:val="20"/>
          <w:szCs w:val="20"/>
        </w:rPr>
        <w:t>, André César Pinheiro</w:t>
      </w:r>
      <w:r>
        <w:rPr>
          <w:b/>
          <w:sz w:val="20"/>
          <w:szCs w:val="20"/>
          <w:vertAlign w:val="superscript"/>
        </w:rPr>
        <w:t>7</w:t>
      </w:r>
      <w:r>
        <w:rPr>
          <w:b/>
          <w:sz w:val="20"/>
          <w:szCs w:val="20"/>
        </w:rPr>
        <w:t>, Laura Jane Gomes</w:t>
      </w:r>
      <w:r>
        <w:rPr>
          <w:b/>
          <w:sz w:val="20"/>
          <w:szCs w:val="20"/>
          <w:vertAlign w:val="superscript"/>
        </w:rPr>
        <w:t>8</w:t>
      </w:r>
    </w:p>
    <w:p w:rsidR="00331014" w:rsidRDefault="00331014" w:rsidP="00331014">
      <w:pPr>
        <w:ind w:left="221" w:right="214"/>
        <w:jc w:val="center"/>
        <w:rPr>
          <w:sz w:val="20"/>
          <w:szCs w:val="20"/>
        </w:rPr>
      </w:pPr>
      <w:bookmarkStart w:id="1" w:name="_heading=h.6tpiew4tdvac" w:colFirst="0" w:colLast="0"/>
      <w:bookmarkEnd w:id="1"/>
      <w:r>
        <w:rPr>
          <w:sz w:val="20"/>
          <w:szCs w:val="20"/>
        </w:rPr>
        <w:t xml:space="preserve">Universidade Federal de Sergipe </w:t>
      </w:r>
    </w:p>
    <w:p w:rsidR="00331014" w:rsidRDefault="00331014" w:rsidP="00331014">
      <w:pPr>
        <w:ind w:left="221" w:right="214"/>
        <w:jc w:val="center"/>
        <w:rPr>
          <w:sz w:val="20"/>
          <w:szCs w:val="20"/>
        </w:rPr>
      </w:pPr>
      <w:bookmarkStart w:id="2" w:name="_heading=h.4gvgrhf8awkn" w:colFirst="0" w:colLast="0"/>
      <w:bookmarkEnd w:id="2"/>
      <w:r>
        <w:rPr>
          <w:sz w:val="20"/>
          <w:szCs w:val="20"/>
        </w:rPr>
        <w:t>*crislainecalazans@academico.ufs.br</w:t>
      </w:r>
    </w:p>
    <w:p w:rsidR="00331014" w:rsidRDefault="00331014" w:rsidP="0033101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331014" w:rsidRDefault="00331014" w:rsidP="00331014">
      <w:pPr>
        <w:jc w:val="both"/>
        <w:rPr>
          <w:sz w:val="20"/>
          <w:szCs w:val="20"/>
        </w:rPr>
      </w:pPr>
    </w:p>
    <w:p w:rsidR="00331014" w:rsidRDefault="00331014" w:rsidP="0033101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:rsidR="00331014" w:rsidRDefault="00331014" w:rsidP="00331014">
      <w:pPr>
        <w:jc w:val="both"/>
        <w:rPr>
          <w:sz w:val="20"/>
          <w:szCs w:val="20"/>
        </w:rPr>
      </w:pPr>
      <w:r w:rsidRPr="0BFEED18">
        <w:rPr>
          <w:sz w:val="20"/>
          <w:szCs w:val="20"/>
        </w:rPr>
        <w:t>Este estudo avali</w:t>
      </w:r>
      <w:sdt>
        <w:sdtPr>
          <w:tag w:val="goog_rdk_1"/>
          <w:id w:val="168452607"/>
        </w:sdtPr>
        <w:sdtContent>
          <w:r w:rsidRPr="0BFEED18">
            <w:rPr>
              <w:sz w:val="20"/>
              <w:szCs w:val="20"/>
            </w:rPr>
            <w:t>ou</w:t>
          </w:r>
        </w:sdtContent>
      </w:sdt>
      <w:r w:rsidRPr="0BFEED18">
        <w:rPr>
          <w:sz w:val="20"/>
          <w:szCs w:val="20"/>
        </w:rPr>
        <w:t xml:space="preserve"> o efeito do </w:t>
      </w:r>
      <w:proofErr w:type="spellStart"/>
      <w:r w:rsidRPr="0BFEED18">
        <w:rPr>
          <w:sz w:val="20"/>
          <w:szCs w:val="20"/>
        </w:rPr>
        <w:t>frass</w:t>
      </w:r>
      <w:proofErr w:type="spellEnd"/>
      <w:r w:rsidRPr="0BFEED18">
        <w:rPr>
          <w:sz w:val="20"/>
          <w:szCs w:val="20"/>
        </w:rPr>
        <w:t xml:space="preserve"> de </w:t>
      </w:r>
      <w:proofErr w:type="spellStart"/>
      <w:r w:rsidRPr="0BFEED18">
        <w:rPr>
          <w:i/>
          <w:iCs/>
          <w:sz w:val="20"/>
          <w:szCs w:val="20"/>
        </w:rPr>
        <w:t>Tenebrio</w:t>
      </w:r>
      <w:proofErr w:type="spellEnd"/>
      <w:r w:rsidRPr="0BFEED18">
        <w:rPr>
          <w:i/>
          <w:iCs/>
          <w:sz w:val="20"/>
          <w:szCs w:val="20"/>
        </w:rPr>
        <w:t xml:space="preserve"> </w:t>
      </w:r>
      <w:proofErr w:type="spellStart"/>
      <w:r w:rsidRPr="0BFEED18">
        <w:rPr>
          <w:i/>
          <w:iCs/>
          <w:sz w:val="20"/>
          <w:szCs w:val="20"/>
        </w:rPr>
        <w:t>molitor</w:t>
      </w:r>
      <w:proofErr w:type="spellEnd"/>
      <w:r w:rsidRPr="0BFEED18">
        <w:rPr>
          <w:sz w:val="20"/>
          <w:szCs w:val="20"/>
        </w:rPr>
        <w:t xml:space="preserve"> na produção de mudas de </w:t>
      </w:r>
      <w:proofErr w:type="spellStart"/>
      <w:r w:rsidRPr="0BFEED18">
        <w:rPr>
          <w:i/>
          <w:iCs/>
          <w:sz w:val="20"/>
          <w:szCs w:val="20"/>
        </w:rPr>
        <w:t>Hancornia</w:t>
      </w:r>
      <w:proofErr w:type="spellEnd"/>
      <w:r w:rsidRPr="0BFEED18">
        <w:rPr>
          <w:i/>
          <w:iCs/>
          <w:sz w:val="20"/>
          <w:szCs w:val="20"/>
        </w:rPr>
        <w:t xml:space="preserve"> </w:t>
      </w:r>
      <w:proofErr w:type="spellStart"/>
      <w:r w:rsidRPr="0BFEED18">
        <w:rPr>
          <w:i/>
          <w:iCs/>
          <w:sz w:val="20"/>
          <w:szCs w:val="20"/>
        </w:rPr>
        <w:t>speciosa</w:t>
      </w:r>
      <w:proofErr w:type="spellEnd"/>
      <w:r w:rsidRPr="0BFEED18">
        <w:rPr>
          <w:sz w:val="20"/>
          <w:szCs w:val="20"/>
        </w:rPr>
        <w:t xml:space="preserve"> (mangab</w:t>
      </w:r>
      <w:sdt>
        <w:sdtPr>
          <w:tag w:val="goog_rdk_3"/>
          <w:id w:val="-115609115"/>
        </w:sdtPr>
        <w:sdtContent>
          <w:r w:rsidRPr="0BFEED18">
            <w:rPr>
              <w:sz w:val="20"/>
              <w:szCs w:val="20"/>
            </w:rPr>
            <w:t>eira</w:t>
          </w:r>
        </w:sdtContent>
      </w:sdt>
      <w:r w:rsidRPr="0BFEED18">
        <w:rPr>
          <w:sz w:val="20"/>
          <w:szCs w:val="20"/>
        </w:rPr>
        <w:t xml:space="preserve">), com foco em sua aplicação na adubação orgânica e no fomento à economia circular em comunidades extrativistas. O experimento foi conduzido com 10 tratamentos, envolvendo cinco substratos com diferentes proporções de </w:t>
      </w:r>
      <w:sdt>
        <w:sdtPr>
          <w:tag w:val="goog_rdk_5"/>
          <w:id w:val="1523972825"/>
        </w:sdtPr>
        <w:sdtContent>
          <w:r w:rsidRPr="0BFEED18">
            <w:rPr>
              <w:sz w:val="20"/>
              <w:szCs w:val="20"/>
            </w:rPr>
            <w:t>terra</w:t>
          </w:r>
          <w:r w:rsidR="007D0512">
            <w:rPr>
              <w:sz w:val="20"/>
              <w:szCs w:val="20"/>
            </w:rPr>
            <w:t xml:space="preserve"> </w:t>
          </w:r>
        </w:sdtContent>
      </w:sdt>
      <w:r w:rsidRPr="0BFEED18">
        <w:rPr>
          <w:sz w:val="20"/>
          <w:szCs w:val="20"/>
        </w:rPr>
        <w:t xml:space="preserve">preta, areia lavada, esterco bovino e </w:t>
      </w:r>
      <w:proofErr w:type="spellStart"/>
      <w:r w:rsidRPr="0BFEED18">
        <w:rPr>
          <w:sz w:val="20"/>
          <w:szCs w:val="20"/>
        </w:rPr>
        <w:t>frass</w:t>
      </w:r>
      <w:proofErr w:type="spellEnd"/>
      <w:r w:rsidRPr="0BFEED18">
        <w:rPr>
          <w:sz w:val="20"/>
          <w:szCs w:val="20"/>
        </w:rPr>
        <w:t xml:space="preserve"> de </w:t>
      </w:r>
      <w:proofErr w:type="spellStart"/>
      <w:r w:rsidRPr="0BFEED18">
        <w:rPr>
          <w:sz w:val="20"/>
          <w:szCs w:val="20"/>
        </w:rPr>
        <w:t>Tenebrio</w:t>
      </w:r>
      <w:proofErr w:type="spellEnd"/>
      <w:r w:rsidRPr="0BFEED18">
        <w:rPr>
          <w:sz w:val="20"/>
          <w:szCs w:val="20"/>
        </w:rPr>
        <w:t xml:space="preserve">, além de dois regimes de fertilização (com e sem adubação química de base). Cada tratamento </w:t>
      </w:r>
      <w:sdt>
        <w:sdtPr>
          <w:tag w:val="goog_rdk_8"/>
          <w:id w:val="-762383824"/>
        </w:sdtPr>
        <w:sdtContent>
          <w:r w:rsidRPr="0BFEED18">
            <w:rPr>
              <w:sz w:val="20"/>
              <w:szCs w:val="20"/>
            </w:rPr>
            <w:t xml:space="preserve">teve </w:t>
          </w:r>
        </w:sdtContent>
      </w:sdt>
      <w:r w:rsidRPr="0BFEED18">
        <w:rPr>
          <w:sz w:val="20"/>
          <w:szCs w:val="20"/>
        </w:rPr>
        <w:t>três repetições</w:t>
      </w:r>
      <w:sdt>
        <w:sdtPr>
          <w:tag w:val="goog_rdk_11"/>
          <w:id w:val="-83694264"/>
        </w:sdtPr>
        <w:sdtContent>
          <w:r w:rsidRPr="0BFEED18">
            <w:rPr>
              <w:sz w:val="20"/>
              <w:szCs w:val="20"/>
            </w:rPr>
            <w:t>, contendo cinco réplicas cada</w:t>
          </w:r>
        </w:sdtContent>
      </w:sdt>
      <w:r w:rsidRPr="0BFEED18">
        <w:rPr>
          <w:sz w:val="20"/>
          <w:szCs w:val="20"/>
        </w:rPr>
        <w:t>, totalizando 150 mudas de mangab</w:t>
      </w:r>
      <w:sdt>
        <w:sdtPr>
          <w:tag w:val="goog_rdk_12"/>
          <w:id w:val="1449280370"/>
        </w:sdtPr>
        <w:sdtContent>
          <w:r w:rsidRPr="0BFEED18">
            <w:rPr>
              <w:sz w:val="20"/>
              <w:szCs w:val="20"/>
            </w:rPr>
            <w:t>eira</w:t>
          </w:r>
        </w:sdtContent>
      </w:sdt>
      <w:r w:rsidRPr="0BFEED18">
        <w:rPr>
          <w:sz w:val="20"/>
          <w:szCs w:val="20"/>
        </w:rPr>
        <w:t xml:space="preserve">. </w:t>
      </w:r>
      <w:sdt>
        <w:sdtPr>
          <w:tag w:val="goog_rdk_14"/>
          <w:id w:val="-816955854"/>
        </w:sdtPr>
        <w:sdtContent>
          <w:r w:rsidRPr="0BFEED18">
            <w:rPr>
              <w:sz w:val="20"/>
              <w:szCs w:val="20"/>
            </w:rPr>
            <w:t>O uso de esterco bovino e, ou adubação de base podem ser benéficos, mas não são essenciais.</w:t>
          </w:r>
        </w:sdtContent>
      </w:sdt>
      <w:r w:rsidRPr="0BFEED18">
        <w:rPr>
          <w:sz w:val="20"/>
          <w:szCs w:val="20"/>
        </w:rPr>
        <w:t xml:space="preserve"> Por outro lado, o uso de </w:t>
      </w:r>
      <w:proofErr w:type="spellStart"/>
      <w:r w:rsidRPr="0BFEED18">
        <w:rPr>
          <w:sz w:val="20"/>
          <w:szCs w:val="20"/>
        </w:rPr>
        <w:t>frass</w:t>
      </w:r>
      <w:proofErr w:type="spellEnd"/>
      <w:r w:rsidRPr="0BFEED18">
        <w:rPr>
          <w:sz w:val="20"/>
          <w:szCs w:val="20"/>
        </w:rPr>
        <w:t xml:space="preserve"> em concentrações elevadas comprometeu a sobrevivência das mudas. Dessa forma, estudos futuros devem investigar doses reduzidas de </w:t>
      </w:r>
      <w:proofErr w:type="spellStart"/>
      <w:r w:rsidRPr="0BFEED18">
        <w:rPr>
          <w:sz w:val="20"/>
          <w:szCs w:val="20"/>
        </w:rPr>
        <w:t>frass</w:t>
      </w:r>
      <w:proofErr w:type="spellEnd"/>
      <w:r w:rsidRPr="0BFEED18">
        <w:rPr>
          <w:sz w:val="20"/>
          <w:szCs w:val="20"/>
        </w:rPr>
        <w:t xml:space="preserve"> e sua influência no desenvolvimento das mudas, com o objetivo de estabelecer estratégias e dosagens ideais para o manejo de substratos na produção de mudas de mangab</w:t>
      </w:r>
      <w:sdt>
        <w:sdtPr>
          <w:tag w:val="goog_rdk_16"/>
          <w:id w:val="230201362"/>
        </w:sdtPr>
        <w:sdtContent>
          <w:r w:rsidRPr="0BFEED18">
            <w:rPr>
              <w:sz w:val="20"/>
              <w:szCs w:val="20"/>
            </w:rPr>
            <w:t>eira</w:t>
          </w:r>
        </w:sdtContent>
      </w:sdt>
      <w:r w:rsidRPr="0BFEED18">
        <w:rPr>
          <w:sz w:val="20"/>
          <w:szCs w:val="20"/>
        </w:rPr>
        <w:t>.</w:t>
      </w:r>
    </w:p>
    <w:p w:rsidR="00331014" w:rsidRDefault="00331014" w:rsidP="00331014">
      <w:pPr>
        <w:jc w:val="both"/>
        <w:rPr>
          <w:sz w:val="20"/>
          <w:szCs w:val="20"/>
        </w:rPr>
      </w:pPr>
      <w:r w:rsidRPr="0BFEED18">
        <w:rPr>
          <w:i/>
          <w:iCs/>
          <w:sz w:val="20"/>
          <w:szCs w:val="20"/>
        </w:rPr>
        <w:t>Palavras-chave</w:t>
      </w:r>
      <w:r w:rsidRPr="0BFEED18">
        <w:rPr>
          <w:sz w:val="20"/>
          <w:szCs w:val="20"/>
        </w:rPr>
        <w:t>: mangaba, extrativismo, adubação orgânica.</w:t>
      </w:r>
      <w:sdt>
        <w:sdtPr>
          <w:tag w:val="goog_rdk_18"/>
          <w:id w:val="-2133015413"/>
          <w:showingPlcHdr/>
        </w:sdtPr>
        <w:sdtContent>
          <w:r>
            <w:t xml:space="preserve">     </w:t>
          </w:r>
        </w:sdtContent>
      </w:sdt>
    </w:p>
    <w:p w:rsidR="00331014" w:rsidRDefault="00331014" w:rsidP="00331014">
      <w:pPr>
        <w:jc w:val="both"/>
        <w:rPr>
          <w:b/>
          <w:bCs/>
          <w:sz w:val="20"/>
          <w:szCs w:val="20"/>
        </w:rPr>
      </w:pPr>
    </w:p>
    <w:p w:rsidR="00331014" w:rsidRDefault="00331014" w:rsidP="00331014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t>INTRODUÇÃO</w:t>
      </w:r>
      <w:sdt>
        <w:sdtPr>
          <w:tag w:val="goog_rdk_19"/>
          <w:id w:val="1767580205"/>
          <w:showingPlcHdr/>
        </w:sdtPr>
        <w:sdtContent>
          <w:r>
            <w:t xml:space="preserve">     </w:t>
          </w:r>
        </w:sdtContent>
      </w:sdt>
    </w:p>
    <w:p w:rsidR="00331014" w:rsidRDefault="00331014" w:rsidP="003310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economia circular tem como princípio converter resíduos em recursos, promovendo a sustentabilidade no sistema produtivo. Nesse contexto, o resíduo de </w:t>
      </w:r>
      <w:proofErr w:type="spellStart"/>
      <w:r>
        <w:rPr>
          <w:i/>
          <w:sz w:val="20"/>
          <w:szCs w:val="20"/>
        </w:rPr>
        <w:t>Tenebrio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i/>
          <w:sz w:val="20"/>
          <w:szCs w:val="20"/>
        </w:rPr>
        <w:t xml:space="preserve"> </w:t>
      </w:r>
      <w:r w:rsidRPr="00D41584">
        <w:rPr>
          <w:sz w:val="20"/>
          <w:szCs w:val="20"/>
        </w:rPr>
        <w:t>L.</w:t>
      </w:r>
      <w:r>
        <w:rPr>
          <w:sz w:val="20"/>
          <w:szCs w:val="20"/>
        </w:rPr>
        <w:t xml:space="preserve"> (larvas-da-farinha) surge como um exemplo promissor de fertilizante orgânico que pode ser incorporado à agricultura de maneira sustentável.</w:t>
      </w:r>
    </w:p>
    <w:p w:rsidR="00331014" w:rsidRDefault="00331014" w:rsidP="00331014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Diferente dos fertilizantes convencionais, o resíduo (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) de </w:t>
      </w:r>
      <w:r>
        <w:rPr>
          <w:i/>
          <w:sz w:val="20"/>
          <w:szCs w:val="20"/>
        </w:rPr>
        <w:t xml:space="preserve">T.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 é um subproduto rico em nutrientes essenciais, como nitrogênio, fósforo e potássio, além de conter microrganismos benéficos que melhoram a saúde do solo (GARCIA et al., 2021). Seu uso não apenas reduz a dependência de insumos industrializados, mas também promove a reciclagem de resíduos, alinhando-se aos princípios da economia circular. Trata-se de uma opção econômica e sustentável, especialmente em um cenário global de crise na oferta de insumos agrícolas (PRYIATELCHUK; NOVAK, 2022). Nesse sentido, na agricultura familiar, o resíduo </w:t>
      </w:r>
      <w:r w:rsidRPr="00D41584">
        <w:rPr>
          <w:sz w:val="20"/>
          <w:szCs w:val="20"/>
        </w:rPr>
        <w:t>de</w:t>
      </w:r>
      <w:r>
        <w:rPr>
          <w:i/>
          <w:sz w:val="20"/>
          <w:szCs w:val="20"/>
        </w:rPr>
        <w:t xml:space="preserve"> T. </w:t>
      </w:r>
      <w:r w:rsidRPr="00D41584">
        <w:rPr>
          <w:i/>
          <w:sz w:val="20"/>
          <w:szCs w:val="20"/>
        </w:rPr>
        <w:t xml:space="preserve"> </w:t>
      </w:r>
      <w:proofErr w:type="spellStart"/>
      <w:proofErr w:type="gramStart"/>
      <w:r w:rsidRPr="00D41584">
        <w:rPr>
          <w:i/>
          <w:sz w:val="20"/>
          <w:szCs w:val="20"/>
        </w:rPr>
        <w:t>molitor</w:t>
      </w:r>
      <w:proofErr w:type="spellEnd"/>
      <w:proofErr w:type="gramEnd"/>
      <w:r w:rsidRPr="00D41584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tem um impacto significativo, por ser um subproduto acessível que possibilita a autossuficiência e diversificação de renda do pequeno produtor, além de promover a sustentabilidade de seu cultivo.</w:t>
      </w:r>
    </w:p>
    <w:p w:rsidR="00331014" w:rsidRDefault="00331014" w:rsidP="003310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produção do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é diretamente associada a práticas sustentáveis, pois utiliza resíduos orgânicos, como restos de alimentos e subprodutos agrícolas, para alimentar as larvas de </w:t>
      </w:r>
      <w:r>
        <w:rPr>
          <w:i/>
          <w:sz w:val="20"/>
          <w:szCs w:val="20"/>
        </w:rPr>
        <w:t xml:space="preserve">T.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. Esse processo reduz o volume de resíduos destinados a aterros sanitários e minimiza impactos ambientais, contribuindo para a meta 12 dos Objetivos de Desenvolvimento Sustentável (ODS 12), que busca reduzir a geração de resíduos por meio da prevenção, reciclagem e reutilização.  </w:t>
      </w:r>
    </w:p>
    <w:p w:rsidR="00331014" w:rsidRDefault="00331014" w:rsidP="003310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 criação de</w:t>
      </w:r>
      <w:r>
        <w:rPr>
          <w:i/>
          <w:sz w:val="20"/>
          <w:szCs w:val="20"/>
        </w:rPr>
        <w:t xml:space="preserve"> T.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 é vantajosa devido a sua alta taxa de reprodução e ao baixo custo de infraestrutura. Esses insetos têm um ciclo de vida curto, permitindo uma produção rápida e eficiente de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(MORUZZO et al., 2021; ZIM et al., 2022). O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pode ser vantajoso para cultivos sensíveis, como a mangab</w:t>
      </w:r>
      <w:sdt>
        <w:sdtPr>
          <w:tag w:val="goog_rdk_20"/>
          <w:id w:val="2030838501"/>
        </w:sdtPr>
        <w:sdtContent>
          <w:r>
            <w:rPr>
              <w:sz w:val="20"/>
              <w:szCs w:val="20"/>
            </w:rPr>
            <w:t>eir</w:t>
          </w:r>
        </w:sdtContent>
      </w:sdt>
      <w:r>
        <w:rPr>
          <w:sz w:val="20"/>
          <w:szCs w:val="20"/>
        </w:rPr>
        <w:t>a</w:t>
      </w:r>
      <w:sdt>
        <w:sdtPr>
          <w:tag w:val="goog_rdk_21"/>
          <w:id w:val="155882808"/>
          <w:showingPlcHdr/>
        </w:sdtPr>
        <w:sdtContent>
          <w:r>
            <w:t xml:space="preserve">     </w:t>
          </w:r>
        </w:sdtContent>
      </w:sdt>
      <w:r>
        <w:rPr>
          <w:sz w:val="20"/>
          <w:szCs w:val="20"/>
        </w:rPr>
        <w:t xml:space="preserve">, uma espécie frutífera nativa do </w:t>
      </w:r>
      <w:sdt>
        <w:sdtPr>
          <w:tag w:val="goog_rdk_22"/>
          <w:id w:val="-594023028"/>
        </w:sdtPr>
        <w:sdtContent>
          <w:r>
            <w:rPr>
              <w:sz w:val="20"/>
              <w:szCs w:val="20"/>
            </w:rPr>
            <w:t>C</w:t>
          </w:r>
        </w:sdtContent>
      </w:sdt>
      <w:r>
        <w:rPr>
          <w:sz w:val="20"/>
          <w:szCs w:val="20"/>
        </w:rPr>
        <w:t>errado e da Caatinga, que apresenta boa aptidão para solos pobres, mas requer manejo nutricional equilibrado, pois é sensível a altas concentrações de nutrientes (LIMA et al.,</w:t>
      </w:r>
      <w:sdt>
        <w:sdtPr>
          <w:tag w:val="goog_rdk_24"/>
          <w:id w:val="-207186033"/>
        </w:sdtPr>
        <w:sdtContent>
          <w:r>
            <w:rPr>
              <w:sz w:val="20"/>
              <w:szCs w:val="20"/>
            </w:rPr>
            <w:t xml:space="preserve"> </w:t>
          </w:r>
        </w:sdtContent>
      </w:sdt>
      <w:r>
        <w:rPr>
          <w:sz w:val="20"/>
          <w:szCs w:val="20"/>
        </w:rPr>
        <w:t>2021).</w:t>
      </w:r>
    </w:p>
    <w:p w:rsidR="00331014" w:rsidRDefault="00331014" w:rsidP="003310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uso do farelo de </w:t>
      </w:r>
      <w:r>
        <w:rPr>
          <w:i/>
          <w:sz w:val="20"/>
          <w:szCs w:val="20"/>
        </w:rPr>
        <w:t xml:space="preserve">T.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 como fertilizante orgânico apresenta-se como uma alternativa viável e promissora, com potencial para melhorar o desenvolvimento das plantas, reciclar nutrientes e aprimorar a qualidade do solo (ANTONIADIS et al., 2023).</w:t>
      </w:r>
    </w:p>
    <w:p w:rsidR="00331014" w:rsidRDefault="00331014" w:rsidP="00331014">
      <w:pPr>
        <w:ind w:firstLine="708"/>
        <w:jc w:val="both"/>
        <w:rPr>
          <w:i/>
          <w:sz w:val="20"/>
          <w:szCs w:val="20"/>
        </w:rPr>
      </w:pPr>
      <w:r w:rsidRPr="0BFEED18">
        <w:rPr>
          <w:sz w:val="20"/>
          <w:szCs w:val="20"/>
        </w:rPr>
        <w:t xml:space="preserve">Assim, este estudo busca avaliar o efeito da adubação orgânica com </w:t>
      </w:r>
      <w:proofErr w:type="spellStart"/>
      <w:r w:rsidRPr="0BFEED18">
        <w:rPr>
          <w:sz w:val="20"/>
          <w:szCs w:val="20"/>
        </w:rPr>
        <w:t>frass</w:t>
      </w:r>
      <w:proofErr w:type="spellEnd"/>
      <w:r w:rsidRPr="0BFEED18">
        <w:rPr>
          <w:sz w:val="20"/>
          <w:szCs w:val="20"/>
        </w:rPr>
        <w:t xml:space="preserve"> na produção de mudas de mangab</w:t>
      </w:r>
      <w:sdt>
        <w:sdtPr>
          <w:tag w:val="goog_rdk_27"/>
          <w:id w:val="-9991423"/>
        </w:sdtPr>
        <w:sdtContent>
          <w:r w:rsidRPr="0BFEED18">
            <w:rPr>
              <w:sz w:val="20"/>
              <w:szCs w:val="20"/>
            </w:rPr>
            <w:t>eira</w:t>
          </w:r>
        </w:sdtContent>
      </w:sdt>
      <w:r w:rsidRPr="0BFEED18">
        <w:rPr>
          <w:i/>
          <w:iCs/>
          <w:sz w:val="20"/>
          <w:szCs w:val="20"/>
        </w:rPr>
        <w:t xml:space="preserve"> </w:t>
      </w:r>
      <w:sdt>
        <w:sdtPr>
          <w:tag w:val="goog_rdk_28"/>
          <w:id w:val="-251818978"/>
        </w:sdtPr>
        <w:sdtContent>
          <w:r w:rsidRPr="0BFEED18">
            <w:rPr>
              <w:sz w:val="20"/>
              <w:szCs w:val="20"/>
            </w:rPr>
            <w:t>(</w:t>
          </w:r>
          <w:proofErr w:type="spellStart"/>
        </w:sdtContent>
      </w:sdt>
      <w:r w:rsidRPr="0BFEED18">
        <w:rPr>
          <w:i/>
          <w:iCs/>
          <w:sz w:val="20"/>
          <w:szCs w:val="20"/>
        </w:rPr>
        <w:t>Hancornia</w:t>
      </w:r>
      <w:proofErr w:type="spellEnd"/>
      <w:r w:rsidRPr="0BFEED18">
        <w:rPr>
          <w:i/>
          <w:iCs/>
          <w:sz w:val="20"/>
          <w:szCs w:val="20"/>
        </w:rPr>
        <w:t xml:space="preserve"> </w:t>
      </w:r>
      <w:proofErr w:type="spellStart"/>
      <w:r w:rsidRPr="0BFEED18">
        <w:rPr>
          <w:i/>
          <w:iCs/>
          <w:sz w:val="20"/>
          <w:szCs w:val="20"/>
        </w:rPr>
        <w:t>speciosa</w:t>
      </w:r>
      <w:proofErr w:type="spellEnd"/>
      <w:sdt>
        <w:sdtPr>
          <w:tag w:val="goog_rdk_29"/>
          <w:id w:val="-1033877669"/>
        </w:sdtPr>
        <w:sdtContent>
          <w:r w:rsidRPr="0BFEED18">
            <w:rPr>
              <w:sz w:val="20"/>
              <w:szCs w:val="20"/>
            </w:rPr>
            <w:t>)</w:t>
          </w:r>
        </w:sdtContent>
      </w:sdt>
      <w:r w:rsidRPr="0BFEED18">
        <w:rPr>
          <w:i/>
          <w:iCs/>
          <w:sz w:val="20"/>
          <w:szCs w:val="20"/>
        </w:rPr>
        <w:t xml:space="preserve">, </w:t>
      </w:r>
      <w:r w:rsidRPr="0BFEED18">
        <w:rPr>
          <w:sz w:val="20"/>
          <w:szCs w:val="20"/>
        </w:rPr>
        <w:t>fomentando a economia circular em comunidades extrativistas .</w:t>
      </w:r>
      <w:r w:rsidRPr="0BFEED18">
        <w:rPr>
          <w:i/>
          <w:iCs/>
          <w:sz w:val="20"/>
          <w:szCs w:val="20"/>
        </w:rPr>
        <w:t xml:space="preserve"> </w:t>
      </w:r>
    </w:p>
    <w:p w:rsidR="00331014" w:rsidRDefault="00331014" w:rsidP="00331014">
      <w:pPr>
        <w:jc w:val="both"/>
        <w:rPr>
          <w:color w:val="3069B0"/>
          <w:sz w:val="20"/>
          <w:szCs w:val="20"/>
        </w:rPr>
      </w:pPr>
    </w:p>
    <w:p w:rsidR="007D0512" w:rsidRDefault="007D0512" w:rsidP="00331014">
      <w:pPr>
        <w:jc w:val="both"/>
        <w:rPr>
          <w:b/>
          <w:sz w:val="20"/>
          <w:szCs w:val="20"/>
        </w:rPr>
      </w:pPr>
    </w:p>
    <w:p w:rsidR="00331014" w:rsidRDefault="00331014" w:rsidP="0033101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MATERIAL E MÉTODOS</w:t>
      </w:r>
    </w:p>
    <w:p w:rsidR="007D0512" w:rsidRPr="007D0512" w:rsidRDefault="007D0512" w:rsidP="007D0512">
      <w:pPr>
        <w:ind w:firstLine="720"/>
        <w:jc w:val="both"/>
        <w:rPr>
          <w:sz w:val="20"/>
          <w:szCs w:val="20"/>
        </w:rPr>
      </w:pPr>
      <w:r w:rsidRPr="007D0512">
        <w:rPr>
          <w:sz w:val="20"/>
          <w:szCs w:val="20"/>
        </w:rPr>
        <w:t xml:space="preserve">O experimento foi conduzido em delineamento inteiramente </w:t>
      </w:r>
      <w:proofErr w:type="spellStart"/>
      <w:r w:rsidRPr="007D0512">
        <w:rPr>
          <w:sz w:val="20"/>
          <w:szCs w:val="20"/>
        </w:rPr>
        <w:t>casualizado</w:t>
      </w:r>
      <w:proofErr w:type="spellEnd"/>
      <w:r w:rsidRPr="007D0512">
        <w:rPr>
          <w:sz w:val="20"/>
          <w:szCs w:val="20"/>
        </w:rPr>
        <w:t xml:space="preserve">, com distribuição fatorial 5 × 2, totalizando 10 tratamentos. Foram testados cinco substratos formulados a partir de diferentes proporções de terra preta, areia lavada, esterco bovino e </w:t>
      </w:r>
      <w:proofErr w:type="spellStart"/>
      <w:r w:rsidRPr="007D0512">
        <w:rPr>
          <w:sz w:val="20"/>
          <w:szCs w:val="20"/>
        </w:rPr>
        <w:t>frass</w:t>
      </w:r>
      <w:proofErr w:type="spellEnd"/>
      <w:r w:rsidRPr="007D0512">
        <w:rPr>
          <w:sz w:val="20"/>
          <w:szCs w:val="20"/>
        </w:rPr>
        <w:t xml:space="preserve"> de </w:t>
      </w:r>
      <w:proofErr w:type="spellStart"/>
      <w:r w:rsidRPr="007D0512">
        <w:rPr>
          <w:sz w:val="20"/>
          <w:szCs w:val="20"/>
        </w:rPr>
        <w:t>Tenebrio</w:t>
      </w:r>
      <w:proofErr w:type="spellEnd"/>
      <w:r w:rsidRPr="007D0512">
        <w:rPr>
          <w:sz w:val="20"/>
          <w:szCs w:val="20"/>
        </w:rPr>
        <w:t xml:space="preserve"> </w:t>
      </w:r>
      <w:proofErr w:type="spellStart"/>
      <w:r w:rsidRPr="007D0512">
        <w:rPr>
          <w:sz w:val="20"/>
          <w:szCs w:val="20"/>
        </w:rPr>
        <w:t>molit</w:t>
      </w:r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>, conforme descrito a seguir:</w:t>
      </w:r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T1: 50% terra preta + 30% areia lavada + 20% esterco bovino</w:t>
      </w:r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T2: 50% terra preta + 30% areia l</w:t>
      </w:r>
      <w:r>
        <w:rPr>
          <w:sz w:val="20"/>
          <w:szCs w:val="20"/>
        </w:rPr>
        <w:t xml:space="preserve">avada + 20%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de T. </w:t>
      </w:r>
      <w:proofErr w:type="spellStart"/>
      <w:r>
        <w:rPr>
          <w:sz w:val="20"/>
          <w:szCs w:val="20"/>
        </w:rPr>
        <w:t>molitor</w:t>
      </w:r>
      <w:proofErr w:type="spellEnd"/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T3: 40% terra preta + 30% areia lavada +</w:t>
      </w:r>
      <w:r>
        <w:rPr>
          <w:sz w:val="20"/>
          <w:szCs w:val="20"/>
        </w:rPr>
        <w:t xml:space="preserve"> 20% esterco bovino + 10% </w:t>
      </w:r>
      <w:proofErr w:type="spellStart"/>
      <w:r>
        <w:rPr>
          <w:sz w:val="20"/>
          <w:szCs w:val="20"/>
        </w:rPr>
        <w:t>frass</w:t>
      </w:r>
      <w:proofErr w:type="spellEnd"/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T4: 40% terra preta</w:t>
      </w:r>
      <w:r>
        <w:rPr>
          <w:sz w:val="20"/>
          <w:szCs w:val="20"/>
        </w:rPr>
        <w:t xml:space="preserve"> + 40% areia lavada + 20% </w:t>
      </w:r>
      <w:proofErr w:type="spellStart"/>
      <w:r>
        <w:rPr>
          <w:sz w:val="20"/>
          <w:szCs w:val="20"/>
        </w:rPr>
        <w:t>frass</w:t>
      </w:r>
      <w:proofErr w:type="spellEnd"/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T5: 60% terra preta</w:t>
      </w:r>
      <w:r>
        <w:rPr>
          <w:sz w:val="20"/>
          <w:szCs w:val="20"/>
        </w:rPr>
        <w:t xml:space="preserve"> + 20% areia lavada + 20% </w:t>
      </w:r>
      <w:proofErr w:type="spellStart"/>
      <w:r>
        <w:rPr>
          <w:sz w:val="20"/>
          <w:szCs w:val="20"/>
        </w:rPr>
        <w:t>frass</w:t>
      </w:r>
      <w:proofErr w:type="spellEnd"/>
    </w:p>
    <w:p w:rsidR="007D0512" w:rsidRPr="007D0512" w:rsidRDefault="007D0512" w:rsidP="007D0512">
      <w:pPr>
        <w:jc w:val="both"/>
        <w:rPr>
          <w:sz w:val="20"/>
          <w:szCs w:val="20"/>
        </w:rPr>
      </w:pPr>
      <w:r w:rsidRPr="007D0512">
        <w:rPr>
          <w:sz w:val="20"/>
          <w:szCs w:val="20"/>
        </w:rPr>
        <w:t>Além dos substratos, foram avaliados dois regimes de fertilização: com e sem adubação química. O experimento contou com três repetições e cinco réplicas por tratamento, totalizando 150 mudas de mangabeira (</w:t>
      </w:r>
      <w:proofErr w:type="spellStart"/>
      <w:r w:rsidRPr="007D0512">
        <w:rPr>
          <w:sz w:val="20"/>
          <w:szCs w:val="20"/>
        </w:rPr>
        <w:t>Hancornia</w:t>
      </w:r>
      <w:proofErr w:type="spellEnd"/>
      <w:r w:rsidRPr="007D0512">
        <w:rPr>
          <w:sz w:val="20"/>
          <w:szCs w:val="20"/>
        </w:rPr>
        <w:t xml:space="preserve"> </w:t>
      </w:r>
      <w:proofErr w:type="spellStart"/>
      <w:r w:rsidRPr="007D0512">
        <w:rPr>
          <w:sz w:val="20"/>
          <w:szCs w:val="20"/>
        </w:rPr>
        <w:t>speciosa</w:t>
      </w:r>
      <w:proofErr w:type="spellEnd"/>
      <w:r w:rsidRPr="007D0512">
        <w:rPr>
          <w:sz w:val="20"/>
          <w:szCs w:val="20"/>
        </w:rPr>
        <w:t xml:space="preserve"> Gomes).</w:t>
      </w:r>
    </w:p>
    <w:p w:rsidR="007D0512" w:rsidRPr="007D0512" w:rsidRDefault="007D0512" w:rsidP="007D0512">
      <w:pPr>
        <w:ind w:firstLine="720"/>
        <w:jc w:val="both"/>
        <w:rPr>
          <w:sz w:val="20"/>
          <w:szCs w:val="20"/>
        </w:rPr>
      </w:pPr>
      <w:r w:rsidRPr="007D0512">
        <w:rPr>
          <w:sz w:val="20"/>
          <w:szCs w:val="20"/>
        </w:rPr>
        <w:t>Os substratos foram preparados de acordo com as proporções estabelecidas, distribuídos em saquinhos plásticos individuais (15 por tratamento), devidamente identificados com palitos de picolé e grafite. As mudas foram organizadas em 15 fileiras com 10 unidades cada, totalizando as 150 plantas. Os tratamentos foram aleatoriamente distribuídos nas fileiras a fim de assegurar a validade estatística, promover uniformidade no desenvolvimento das mudas e minimizar interferências ambientais.</w:t>
      </w:r>
    </w:p>
    <w:p w:rsidR="00331014" w:rsidRDefault="007D0512" w:rsidP="007D0512">
      <w:pPr>
        <w:ind w:firstLine="720"/>
        <w:jc w:val="both"/>
        <w:rPr>
          <w:sz w:val="20"/>
          <w:szCs w:val="20"/>
        </w:rPr>
      </w:pPr>
      <w:r w:rsidRPr="007D0512">
        <w:rPr>
          <w:sz w:val="20"/>
          <w:szCs w:val="20"/>
        </w:rPr>
        <w:t xml:space="preserve">As mudas foram monitoradas regularmente para observação do crescimento, desenvolvimento e ocorrência de pragas ou doenças, com o auxílio de registros fotográficos. A coleta de dados foi realizada quinzenalmente, ao longo de um período de 60 dias após o repique, considerando os seguintes parâmetros: altura da planta, mensurada com régua graduada (Figura 1); e diâmetro do caule, </w:t>
      </w:r>
      <w:r>
        <w:rPr>
          <w:sz w:val="20"/>
          <w:szCs w:val="20"/>
        </w:rPr>
        <w:t>aferido com paquímetro digital.</w:t>
      </w:r>
    </w:p>
    <w:p w:rsidR="00331014" w:rsidRDefault="00331014" w:rsidP="00331014">
      <w:pPr>
        <w:ind w:firstLine="720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FD502A9" wp14:editId="19D3E523">
            <wp:extent cx="2238375" cy="2114550"/>
            <wp:effectExtent l="0" t="0" r="9525" b="0"/>
            <wp:docPr id="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961" cy="2115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1014" w:rsidRPr="00D41584" w:rsidRDefault="00331014" w:rsidP="00331014">
      <w:pPr>
        <w:ind w:firstLine="720"/>
        <w:jc w:val="both"/>
        <w:rPr>
          <w:sz w:val="20"/>
          <w:szCs w:val="20"/>
        </w:rPr>
      </w:pPr>
    </w:p>
    <w:p w:rsidR="00331014" w:rsidRPr="00D41584" w:rsidRDefault="00331014" w:rsidP="0033101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Figura 1</w:t>
      </w:r>
      <w:r w:rsidRPr="00D41584">
        <w:rPr>
          <w:sz w:val="20"/>
          <w:szCs w:val="20"/>
        </w:rPr>
        <w:t>. Medição da altura das mudas, viveiro florestal da Universidade Federal de Sergipe.</w:t>
      </w:r>
    </w:p>
    <w:p w:rsidR="00331014" w:rsidRDefault="00331014" w:rsidP="0033101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Devido à mortalidade de 100% das mudas nos tratamentos 4, 5, 9 e 10, que continham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de </w:t>
      </w:r>
      <w:sdt>
        <w:sdtPr>
          <w:tag w:val="goog_rdk_46"/>
          <w:id w:val="1194038934"/>
        </w:sdtPr>
        <w:sdtContent>
          <w:proofErr w:type="spellStart"/>
          <w:r w:rsidRPr="00EB7469">
            <w:rPr>
              <w:i/>
              <w:sz w:val="20"/>
              <w:szCs w:val="20"/>
            </w:rPr>
            <w:t>Tenebrio</w:t>
          </w:r>
          <w:proofErr w:type="spellEnd"/>
          <w:r w:rsidRPr="00EB7469">
            <w:rPr>
              <w:i/>
              <w:sz w:val="20"/>
              <w:szCs w:val="20"/>
            </w:rPr>
            <w:t xml:space="preserve"> </w:t>
          </w:r>
          <w:proofErr w:type="spellStart"/>
          <w:r w:rsidRPr="00EB7469">
            <w:rPr>
              <w:i/>
              <w:sz w:val="20"/>
              <w:szCs w:val="20"/>
            </w:rPr>
            <w:t>molitor</w:t>
          </w:r>
          <w:proofErr w:type="spellEnd"/>
        </w:sdtContent>
      </w:sdt>
      <w:r>
        <w:rPr>
          <w:sz w:val="20"/>
          <w:szCs w:val="20"/>
        </w:rPr>
        <w:t xml:space="preserve"> em diferentes proporções, esses tratamentos foram excluídos das análises. Os dados coletados foram submetidos à análise estatística para verificar a influência dos diferentes tratamentos na produção das mudas. Foi utilizado um teste de análise de variância (ANOVA) para comparação dos grupos, seguido pelo teste de </w:t>
      </w:r>
      <w:proofErr w:type="spellStart"/>
      <w:r>
        <w:rPr>
          <w:sz w:val="20"/>
          <w:szCs w:val="20"/>
        </w:rPr>
        <w:t>Tukey</w:t>
      </w:r>
      <w:proofErr w:type="spellEnd"/>
      <w:r>
        <w:rPr>
          <w:sz w:val="20"/>
          <w:szCs w:val="20"/>
        </w:rPr>
        <w:t xml:space="preserve"> (p &lt; 0,05) para comparação das médias, quando necessário.</w:t>
      </w:r>
    </w:p>
    <w:p w:rsidR="00331014" w:rsidRDefault="00331014" w:rsidP="00331014">
      <w:pPr>
        <w:jc w:val="both"/>
        <w:rPr>
          <w:sz w:val="20"/>
          <w:szCs w:val="20"/>
        </w:rPr>
      </w:pPr>
    </w:p>
    <w:p w:rsidR="00331014" w:rsidRDefault="00331014" w:rsidP="0033101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:rsidR="00331014" w:rsidRDefault="00331014" w:rsidP="00331014">
      <w:pPr>
        <w:jc w:val="both"/>
        <w:rPr>
          <w:b/>
          <w:sz w:val="20"/>
          <w:szCs w:val="20"/>
          <w:highlight w:val="yellow"/>
        </w:rPr>
      </w:pPr>
    </w:p>
    <w:p w:rsidR="007D0512" w:rsidRDefault="007D0512" w:rsidP="00331014">
      <w:pPr>
        <w:ind w:firstLine="708"/>
        <w:jc w:val="both"/>
        <w:rPr>
          <w:sz w:val="20"/>
          <w:szCs w:val="20"/>
        </w:rPr>
      </w:pPr>
      <w:r w:rsidRPr="007D0512">
        <w:rPr>
          <w:sz w:val="20"/>
          <w:szCs w:val="20"/>
        </w:rPr>
        <w:t>Na primeira medição do experimento, realizada 15 dias após o repique da</w:t>
      </w:r>
      <w:r>
        <w:rPr>
          <w:sz w:val="20"/>
          <w:szCs w:val="20"/>
        </w:rPr>
        <w:t xml:space="preserve">s mudas, os tratamentos 1 e 3, </w:t>
      </w:r>
      <w:r w:rsidRPr="007D0512">
        <w:rPr>
          <w:sz w:val="20"/>
          <w:szCs w:val="20"/>
        </w:rPr>
        <w:t>que utilizaram, respectivamente, substrato sem compostos orgânicos e substrato com adição moderada de esterco bovin</w:t>
      </w:r>
      <w:r>
        <w:rPr>
          <w:sz w:val="20"/>
          <w:szCs w:val="20"/>
        </w:rPr>
        <w:t>o,</w:t>
      </w:r>
      <w:r w:rsidRPr="007D0512">
        <w:rPr>
          <w:sz w:val="20"/>
          <w:szCs w:val="20"/>
        </w:rPr>
        <w:t xml:space="preserve"> apresentaram 100% de sobrevivência das mudas de mangabeira. Esse resultado indica que a espécie possui boa capacidade de adaptação e desenvolvimento inicial mesmo em substratos de baixa fertilidade, o que está de acordo com as recomendações da Embrapa (2025).</w:t>
      </w:r>
    </w:p>
    <w:p w:rsidR="00331014" w:rsidRDefault="00331014" w:rsidP="0033101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Por outro lado, os tratamentos com maiores quantidades de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(4, 5, 9 e 10) tiveram baixa sobrevivência (inferiores a 40%), especialmente o tratamento 5, com apenas 6,7%. Esse resultado sugere que o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em excesso pode ser tóxico para as mudas, exigindo cuidado com a dosagem.</w:t>
      </w:r>
    </w:p>
    <w:p w:rsidR="00331014" w:rsidRDefault="00331014" w:rsidP="0033101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Na avaliação do diâmetro do caule (Figura </w:t>
      </w:r>
      <w:sdt>
        <w:sdtPr>
          <w:tag w:val="goog_rdk_50"/>
          <w:id w:val="536481381"/>
        </w:sdtPr>
        <w:sdtContent>
          <w:r>
            <w:rPr>
              <w:sz w:val="20"/>
              <w:szCs w:val="20"/>
            </w:rPr>
            <w:t>1</w:t>
          </w:r>
        </w:sdtContent>
      </w:sdt>
      <w:r>
        <w:rPr>
          <w:sz w:val="20"/>
          <w:szCs w:val="20"/>
        </w:rPr>
        <w:t>), não houve diferença significativa entre os tratamentos.</w:t>
      </w:r>
      <w:sdt>
        <w:sdtPr>
          <w:tag w:val="goog_rdk_57"/>
          <w:id w:val="949132334"/>
        </w:sdtPr>
        <w:sdtContent>
          <w:sdt>
            <w:sdtPr>
              <w:tag w:val="goog_rdk_58"/>
              <w:id w:val="194904904"/>
            </w:sdtPr>
            <w:sdtContent/>
          </w:sdt>
        </w:sdtContent>
      </w:sdt>
      <w:sdt>
        <w:sdtPr>
          <w:tag w:val="goog_rdk_59"/>
          <w:id w:val="2069294943"/>
        </w:sdtPr>
        <w:sdtContent>
          <w:sdt>
            <w:sdtPr>
              <w:tag w:val="goog_rdk_60"/>
              <w:id w:val="-21212114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61"/>
          <w:id w:val="-1893271655"/>
          <w:showingPlcHdr/>
        </w:sdtPr>
        <w:sdtContent>
          <w:r>
            <w:t xml:space="preserve">     </w:t>
          </w:r>
        </w:sdtContent>
      </w:sdt>
      <w:sdt>
        <w:sdtPr>
          <w:tag w:val="goog_rdk_62"/>
          <w:id w:val="-1909991657"/>
        </w:sdtPr>
        <w:sdtContent>
          <w:sdt>
            <w:sdtPr>
              <w:tag w:val="goog_rdk_63"/>
              <w:id w:val="45375517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64"/>
          <w:id w:val="-1899276464"/>
          <w:showingPlcHdr/>
        </w:sdtPr>
        <w:sdtContent>
          <w:r>
            <w:t xml:space="preserve">     </w:t>
          </w:r>
        </w:sdtContent>
      </w:sdt>
    </w:p>
    <w:p w:rsidR="00331014" w:rsidRDefault="00331014" w:rsidP="00331014">
      <w:pPr>
        <w:ind w:firstLine="720"/>
        <w:jc w:val="both"/>
        <w:rPr>
          <w:sz w:val="20"/>
          <w:szCs w:val="20"/>
        </w:rPr>
      </w:pPr>
    </w:p>
    <w:p w:rsidR="00331014" w:rsidRDefault="00331014" w:rsidP="00331014">
      <w:pPr>
        <w:ind w:firstLine="720"/>
        <w:jc w:val="both"/>
        <w:rPr>
          <w:sz w:val="20"/>
          <w:szCs w:val="20"/>
        </w:rPr>
      </w:pPr>
    </w:p>
    <w:p w:rsidR="00331014" w:rsidRDefault="00331014" w:rsidP="00331014">
      <w:pPr>
        <w:ind w:firstLine="720"/>
        <w:jc w:val="both"/>
        <w:rPr>
          <w:sz w:val="20"/>
          <w:szCs w:val="20"/>
        </w:rPr>
      </w:pPr>
    </w:p>
    <w:p w:rsidR="00331014" w:rsidRDefault="00331014" w:rsidP="00331014">
      <w:pPr>
        <w:jc w:val="center"/>
        <w:rPr>
          <w:sz w:val="20"/>
          <w:szCs w:val="20"/>
        </w:rPr>
      </w:pPr>
      <w:r>
        <w:rPr>
          <w:noProof/>
          <w:sz w:val="24"/>
          <w:szCs w:val="24"/>
        </w:rPr>
        <w:drawing>
          <wp:inline distT="0" distB="0" distL="0" distR="0" wp14:anchorId="710A3E16" wp14:editId="30FCD20C">
            <wp:extent cx="3562034" cy="2181225"/>
            <wp:effectExtent l="0" t="0" r="635" b="0"/>
            <wp:docPr id="16887828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82850" name="Imagem 168878285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7"/>
                    <a:stretch/>
                  </pic:blipFill>
                  <pic:spPr bwMode="auto">
                    <a:xfrm>
                      <a:off x="0" y="0"/>
                      <a:ext cx="3568380" cy="21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014" w:rsidRDefault="00331014" w:rsidP="007D0512">
      <w:pPr>
        <w:ind w:left="850"/>
        <w:jc w:val="both"/>
        <w:rPr>
          <w:sz w:val="20"/>
          <w:szCs w:val="20"/>
        </w:rPr>
      </w:pPr>
      <w:r w:rsidRPr="0BFEED18">
        <w:rPr>
          <w:sz w:val="20"/>
          <w:szCs w:val="20"/>
        </w:rPr>
        <w:t xml:space="preserve">Figura </w:t>
      </w:r>
      <w:sdt>
        <w:sdtPr>
          <w:tag w:val="goog_rdk_68"/>
          <w:id w:val="2072225343"/>
        </w:sdtPr>
        <w:sdtContent>
          <w:r w:rsidRPr="0BFEED18">
            <w:rPr>
              <w:sz w:val="20"/>
              <w:szCs w:val="20"/>
            </w:rPr>
            <w:t>1</w:t>
          </w:r>
        </w:sdtContent>
      </w:sdt>
      <w:r w:rsidRPr="0BFEED18">
        <w:rPr>
          <w:sz w:val="20"/>
          <w:szCs w:val="20"/>
        </w:rPr>
        <w:t xml:space="preserve">. </w:t>
      </w:r>
      <w:r w:rsidR="007D0512" w:rsidRPr="007D0512">
        <w:rPr>
          <w:sz w:val="20"/>
          <w:szCs w:val="20"/>
        </w:rPr>
        <w:t>Diâmetro das mudas de mangaba (</w:t>
      </w:r>
      <w:proofErr w:type="spellStart"/>
      <w:r w:rsidR="007D0512" w:rsidRPr="007D0512">
        <w:rPr>
          <w:i/>
          <w:sz w:val="20"/>
          <w:szCs w:val="20"/>
        </w:rPr>
        <w:t>Hancornia</w:t>
      </w:r>
      <w:proofErr w:type="spellEnd"/>
      <w:r w:rsidR="007D0512" w:rsidRPr="007D0512">
        <w:rPr>
          <w:i/>
          <w:sz w:val="20"/>
          <w:szCs w:val="20"/>
        </w:rPr>
        <w:t xml:space="preserve"> </w:t>
      </w:r>
      <w:proofErr w:type="spellStart"/>
      <w:r w:rsidR="007D0512" w:rsidRPr="007D0512">
        <w:rPr>
          <w:i/>
          <w:sz w:val="20"/>
          <w:szCs w:val="20"/>
        </w:rPr>
        <w:t>speciosa</w:t>
      </w:r>
      <w:proofErr w:type="spellEnd"/>
      <w:r w:rsidR="007D0512" w:rsidRPr="007D0512">
        <w:rPr>
          <w:sz w:val="20"/>
          <w:szCs w:val="20"/>
        </w:rPr>
        <w:t>) por tratamento, medido aos 15 dias após o repique das mudas.</w:t>
      </w:r>
    </w:p>
    <w:p w:rsidR="007D0512" w:rsidRDefault="007D0512" w:rsidP="007D0512">
      <w:pPr>
        <w:ind w:left="850"/>
        <w:jc w:val="both"/>
        <w:rPr>
          <w:sz w:val="20"/>
          <w:szCs w:val="20"/>
        </w:rPr>
      </w:pPr>
    </w:p>
    <w:p w:rsidR="00331014" w:rsidRDefault="00331014" w:rsidP="00331014">
      <w:pPr>
        <w:ind w:firstLine="705"/>
        <w:jc w:val="both"/>
        <w:rPr>
          <w:sz w:val="20"/>
          <w:szCs w:val="20"/>
        </w:rPr>
      </w:pPr>
      <w:r w:rsidRPr="0BFEED18">
        <w:rPr>
          <w:sz w:val="20"/>
          <w:szCs w:val="20"/>
        </w:rPr>
        <w:t xml:space="preserve">Embora a análise estatística não tenha apontado diferenças significativas entre os tratamentos em altura </w:t>
      </w:r>
      <w:r>
        <w:t>(</w:t>
      </w:r>
      <w:r w:rsidRPr="0BFEED18">
        <w:rPr>
          <w:sz w:val="20"/>
          <w:szCs w:val="20"/>
        </w:rPr>
        <w:t xml:space="preserve">Figura 2), os dados indicam que o substrato básico de </w:t>
      </w:r>
      <w:sdt>
        <w:sdtPr>
          <w:tag w:val="goog_rdk_70"/>
          <w:id w:val="-1130857379"/>
        </w:sdtPr>
        <w:sdtContent/>
      </w:sdt>
      <w:r w:rsidRPr="0BFEED18">
        <w:rPr>
          <w:sz w:val="20"/>
          <w:szCs w:val="20"/>
        </w:rPr>
        <w:t>terra preta e areia lavada, na proporção 3:1 é suficiente para o desenvolvimento inicial da mangabeira, sem a necessidade de adição de adubos orgânicos</w:t>
      </w:r>
      <w:sdt>
        <w:sdtPr>
          <w:tag w:val="goog_rdk_72"/>
          <w:id w:val="-2111655270"/>
        </w:sdtPr>
        <w:sdtContent>
          <w:r w:rsidRPr="0BFEED18">
            <w:rPr>
              <w:sz w:val="20"/>
              <w:szCs w:val="20"/>
            </w:rPr>
            <w:t xml:space="preserve"> ou químicos</w:t>
          </w:r>
        </w:sdtContent>
      </w:sdt>
      <w:r w:rsidRPr="0BFEED18">
        <w:rPr>
          <w:sz w:val="20"/>
          <w:szCs w:val="20"/>
        </w:rPr>
        <w:t>.</w:t>
      </w:r>
    </w:p>
    <w:p w:rsidR="00331014" w:rsidRDefault="00331014" w:rsidP="0033101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E12DA2B" wp14:editId="64488C38">
            <wp:extent cx="3400425" cy="20788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31" cy="2083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512" w:rsidRDefault="00331014" w:rsidP="007D0512">
      <w:pPr>
        <w:ind w:left="850"/>
        <w:jc w:val="both"/>
        <w:rPr>
          <w:sz w:val="20"/>
          <w:szCs w:val="20"/>
        </w:rPr>
      </w:pPr>
      <w:r w:rsidRPr="0BFEED18">
        <w:rPr>
          <w:sz w:val="20"/>
          <w:szCs w:val="20"/>
        </w:rPr>
        <w:t>Figura 2. Altura das mudas de mangaba (</w:t>
      </w:r>
      <w:proofErr w:type="spellStart"/>
      <w:r w:rsidRPr="0BFEED18">
        <w:rPr>
          <w:i/>
          <w:iCs/>
          <w:sz w:val="20"/>
          <w:szCs w:val="20"/>
        </w:rPr>
        <w:t>Hancornia</w:t>
      </w:r>
      <w:proofErr w:type="spellEnd"/>
      <w:r w:rsidRPr="0BFEED18">
        <w:rPr>
          <w:i/>
          <w:iCs/>
          <w:sz w:val="20"/>
          <w:szCs w:val="20"/>
        </w:rPr>
        <w:t xml:space="preserve"> </w:t>
      </w:r>
      <w:proofErr w:type="spellStart"/>
      <w:r w:rsidRPr="0BFEED18">
        <w:rPr>
          <w:i/>
          <w:iCs/>
          <w:sz w:val="20"/>
          <w:szCs w:val="20"/>
        </w:rPr>
        <w:t>speciosa</w:t>
      </w:r>
      <w:proofErr w:type="spellEnd"/>
      <w:r w:rsidR="007D0512">
        <w:rPr>
          <w:sz w:val="20"/>
          <w:szCs w:val="20"/>
        </w:rPr>
        <w:t>) por tratamento,</w:t>
      </w:r>
      <w:r w:rsidR="007D0512" w:rsidRPr="007D0512">
        <w:rPr>
          <w:sz w:val="20"/>
          <w:szCs w:val="20"/>
        </w:rPr>
        <w:t xml:space="preserve"> medido aos 15 dias após o repique das mudas.</w:t>
      </w:r>
    </w:p>
    <w:p w:rsidR="00331014" w:rsidRDefault="00331014" w:rsidP="00331014">
      <w:pPr>
        <w:spacing w:before="240" w:after="240"/>
        <w:jc w:val="both"/>
        <w:rPr>
          <w:sz w:val="20"/>
          <w:szCs w:val="20"/>
        </w:rPr>
      </w:pPr>
    </w:p>
    <w:p w:rsidR="00331014" w:rsidRPr="00076436" w:rsidRDefault="00076436" w:rsidP="00076436">
      <w:pPr>
        <w:spacing w:before="240" w:after="240"/>
        <w:ind w:firstLine="720"/>
        <w:jc w:val="both"/>
        <w:rPr>
          <w:sz w:val="20"/>
          <w:szCs w:val="20"/>
          <w:lang w:val="en-US"/>
        </w:rPr>
      </w:pPr>
      <w:proofErr w:type="spellStart"/>
      <w:r w:rsidRPr="00076436">
        <w:rPr>
          <w:sz w:val="20"/>
          <w:szCs w:val="20"/>
          <w:lang w:val="en-US"/>
        </w:rPr>
        <w:t>Diante</w:t>
      </w:r>
      <w:proofErr w:type="spellEnd"/>
      <w:r w:rsidRPr="00076436">
        <w:rPr>
          <w:sz w:val="20"/>
          <w:szCs w:val="20"/>
          <w:lang w:val="en-US"/>
        </w:rPr>
        <w:t xml:space="preserve"> dos </w:t>
      </w:r>
      <w:proofErr w:type="spellStart"/>
      <w:r w:rsidRPr="00076436">
        <w:rPr>
          <w:sz w:val="20"/>
          <w:szCs w:val="20"/>
          <w:lang w:val="en-US"/>
        </w:rPr>
        <w:t>efeitos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negativos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observados</w:t>
      </w:r>
      <w:proofErr w:type="spellEnd"/>
      <w:r w:rsidRPr="00076436">
        <w:rPr>
          <w:sz w:val="20"/>
          <w:szCs w:val="20"/>
          <w:lang w:val="en-US"/>
        </w:rPr>
        <w:t xml:space="preserve"> com o </w:t>
      </w:r>
      <w:proofErr w:type="spellStart"/>
      <w:r w:rsidRPr="00076436">
        <w:rPr>
          <w:sz w:val="20"/>
          <w:szCs w:val="20"/>
          <w:lang w:val="en-US"/>
        </w:rPr>
        <w:t>uso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excessivo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frass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r w:rsidRPr="00076436">
        <w:rPr>
          <w:i/>
          <w:iCs/>
          <w:sz w:val="20"/>
          <w:szCs w:val="20"/>
          <w:lang w:val="en-US"/>
        </w:rPr>
        <w:t xml:space="preserve">Tenebrio </w:t>
      </w:r>
      <w:proofErr w:type="spellStart"/>
      <w:r w:rsidRPr="00076436">
        <w:rPr>
          <w:i/>
          <w:iCs/>
          <w:sz w:val="20"/>
          <w:szCs w:val="20"/>
          <w:lang w:val="en-US"/>
        </w:rPr>
        <w:t>molitor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tratamentos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iniciais</w:t>
      </w:r>
      <w:proofErr w:type="spellEnd"/>
      <w:r>
        <w:rPr>
          <w:sz w:val="20"/>
          <w:szCs w:val="20"/>
          <w:lang w:val="en-US"/>
        </w:rPr>
        <w:t xml:space="preserve">, </w:t>
      </w:r>
      <w:r w:rsidRPr="00076436">
        <w:rPr>
          <w:sz w:val="20"/>
          <w:szCs w:val="20"/>
          <w:lang w:val="en-US"/>
        </w:rPr>
        <w:t xml:space="preserve">que </w:t>
      </w:r>
      <w:proofErr w:type="spellStart"/>
      <w:r w:rsidRPr="00076436">
        <w:rPr>
          <w:sz w:val="20"/>
          <w:szCs w:val="20"/>
          <w:lang w:val="en-US"/>
        </w:rPr>
        <w:t>incluíram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proporções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até</w:t>
      </w:r>
      <w:proofErr w:type="spellEnd"/>
      <w:r w:rsidRPr="00076436">
        <w:rPr>
          <w:sz w:val="20"/>
          <w:szCs w:val="20"/>
          <w:lang w:val="en-US"/>
        </w:rPr>
        <w:t xml:space="preserve"> 40%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desse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composto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substratos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optou</w:t>
      </w:r>
      <w:proofErr w:type="spellEnd"/>
      <w:r w:rsidRPr="00076436">
        <w:rPr>
          <w:sz w:val="20"/>
          <w:szCs w:val="20"/>
          <w:lang w:val="en-US"/>
        </w:rPr>
        <w:t xml:space="preserve">-se </w:t>
      </w:r>
      <w:proofErr w:type="spellStart"/>
      <w:r w:rsidRPr="00076436">
        <w:rPr>
          <w:sz w:val="20"/>
          <w:szCs w:val="20"/>
          <w:lang w:val="en-US"/>
        </w:rPr>
        <w:t>por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repetir</w:t>
      </w:r>
      <w:proofErr w:type="spellEnd"/>
      <w:r w:rsidRPr="00076436">
        <w:rPr>
          <w:sz w:val="20"/>
          <w:szCs w:val="20"/>
          <w:lang w:val="en-US"/>
        </w:rPr>
        <w:t xml:space="preserve"> o </w:t>
      </w:r>
      <w:proofErr w:type="spellStart"/>
      <w:r w:rsidRPr="00076436">
        <w:rPr>
          <w:sz w:val="20"/>
          <w:szCs w:val="20"/>
          <w:lang w:val="en-US"/>
        </w:rPr>
        <w:t>experimento</w:t>
      </w:r>
      <w:proofErr w:type="spellEnd"/>
      <w:r w:rsidRPr="00076436">
        <w:rPr>
          <w:sz w:val="20"/>
          <w:szCs w:val="20"/>
          <w:lang w:val="en-US"/>
        </w:rPr>
        <w:t xml:space="preserve"> com </w:t>
      </w:r>
      <w:proofErr w:type="spellStart"/>
      <w:r w:rsidRPr="00076436">
        <w:rPr>
          <w:sz w:val="20"/>
          <w:szCs w:val="20"/>
          <w:lang w:val="en-US"/>
        </w:rPr>
        <w:t>concentrações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reduzidas</w:t>
      </w:r>
      <w:proofErr w:type="spellEnd"/>
      <w:r w:rsidRPr="00076436">
        <w:rPr>
          <w:sz w:val="20"/>
          <w:szCs w:val="20"/>
          <w:lang w:val="en-US"/>
        </w:rPr>
        <w:t xml:space="preserve">. No novo </w:t>
      </w:r>
      <w:proofErr w:type="spellStart"/>
      <w:r w:rsidRPr="00076436">
        <w:rPr>
          <w:sz w:val="20"/>
          <w:szCs w:val="20"/>
          <w:lang w:val="en-US"/>
        </w:rPr>
        <w:t>delineamento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foram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testadas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proporções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máximas</w:t>
      </w:r>
      <w:proofErr w:type="spellEnd"/>
      <w:r w:rsidRPr="00076436">
        <w:rPr>
          <w:sz w:val="20"/>
          <w:szCs w:val="20"/>
          <w:lang w:val="en-US"/>
        </w:rPr>
        <w:t xml:space="preserve"> de 10% de </w:t>
      </w:r>
      <w:proofErr w:type="spellStart"/>
      <w:r w:rsidRPr="00076436">
        <w:rPr>
          <w:sz w:val="20"/>
          <w:szCs w:val="20"/>
          <w:lang w:val="en-US"/>
        </w:rPr>
        <w:t>frass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associadas</w:t>
      </w:r>
      <w:proofErr w:type="spellEnd"/>
      <w:r w:rsidRPr="00076436">
        <w:rPr>
          <w:sz w:val="20"/>
          <w:szCs w:val="20"/>
          <w:lang w:val="en-US"/>
        </w:rPr>
        <w:t xml:space="preserve"> a terra </w:t>
      </w:r>
      <w:proofErr w:type="spellStart"/>
      <w:r w:rsidRPr="00076436">
        <w:rPr>
          <w:sz w:val="20"/>
          <w:szCs w:val="20"/>
          <w:lang w:val="en-US"/>
        </w:rPr>
        <w:t>preta</w:t>
      </w:r>
      <w:proofErr w:type="spellEnd"/>
      <w:r w:rsidRPr="00076436">
        <w:rPr>
          <w:sz w:val="20"/>
          <w:szCs w:val="20"/>
          <w:lang w:val="en-US"/>
        </w:rPr>
        <w:t xml:space="preserve"> e </w:t>
      </w:r>
      <w:proofErr w:type="spellStart"/>
      <w:r w:rsidRPr="00076436">
        <w:rPr>
          <w:sz w:val="20"/>
          <w:szCs w:val="20"/>
          <w:lang w:val="en-US"/>
        </w:rPr>
        <w:t>areia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lavada</w:t>
      </w:r>
      <w:proofErr w:type="spellEnd"/>
      <w:r w:rsidRPr="00076436">
        <w:rPr>
          <w:sz w:val="20"/>
          <w:szCs w:val="20"/>
          <w:lang w:val="en-US"/>
        </w:rPr>
        <w:t xml:space="preserve">. </w:t>
      </w:r>
      <w:proofErr w:type="spellStart"/>
      <w:r w:rsidRPr="00076436">
        <w:rPr>
          <w:sz w:val="20"/>
          <w:szCs w:val="20"/>
          <w:lang w:val="en-US"/>
        </w:rPr>
        <w:t>Embora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os</w:t>
      </w:r>
      <w:proofErr w:type="spellEnd"/>
      <w:r w:rsidRPr="00076436">
        <w:rPr>
          <w:sz w:val="20"/>
          <w:szCs w:val="20"/>
          <w:lang w:val="en-US"/>
        </w:rPr>
        <w:t xml:space="preserve"> dados </w:t>
      </w:r>
      <w:proofErr w:type="spellStart"/>
      <w:r w:rsidRPr="00076436">
        <w:rPr>
          <w:sz w:val="20"/>
          <w:szCs w:val="20"/>
          <w:lang w:val="en-US"/>
        </w:rPr>
        <w:t>ainda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não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tenham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sido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publicados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observou</w:t>
      </w:r>
      <w:proofErr w:type="spellEnd"/>
      <w:r w:rsidRPr="00076436">
        <w:rPr>
          <w:sz w:val="20"/>
          <w:szCs w:val="20"/>
          <w:lang w:val="en-US"/>
        </w:rPr>
        <w:t xml:space="preserve">-se um </w:t>
      </w:r>
      <w:proofErr w:type="spellStart"/>
      <w:r w:rsidRPr="00076436">
        <w:rPr>
          <w:sz w:val="20"/>
          <w:szCs w:val="20"/>
          <w:lang w:val="en-US"/>
        </w:rPr>
        <w:t>aumento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significativo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na</w:t>
      </w:r>
      <w:proofErr w:type="spellEnd"/>
      <w:r w:rsidRPr="00076436">
        <w:rPr>
          <w:sz w:val="20"/>
          <w:szCs w:val="20"/>
          <w:lang w:val="en-US"/>
        </w:rPr>
        <w:t xml:space="preserve"> taxa de </w:t>
      </w:r>
      <w:proofErr w:type="spellStart"/>
      <w:r w:rsidRPr="00076436">
        <w:rPr>
          <w:sz w:val="20"/>
          <w:szCs w:val="20"/>
          <w:lang w:val="en-US"/>
        </w:rPr>
        <w:t>sobrevivência</w:t>
      </w:r>
      <w:proofErr w:type="spellEnd"/>
      <w:r w:rsidRPr="00076436">
        <w:rPr>
          <w:sz w:val="20"/>
          <w:szCs w:val="20"/>
          <w:lang w:val="en-US"/>
        </w:rPr>
        <w:t xml:space="preserve"> das </w:t>
      </w:r>
      <w:proofErr w:type="spellStart"/>
      <w:r w:rsidRPr="00076436">
        <w:rPr>
          <w:sz w:val="20"/>
          <w:szCs w:val="20"/>
          <w:lang w:val="en-US"/>
        </w:rPr>
        <w:t>mudas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passando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cerca</w:t>
      </w:r>
      <w:proofErr w:type="spellEnd"/>
      <w:r w:rsidRPr="00076436">
        <w:rPr>
          <w:sz w:val="20"/>
          <w:szCs w:val="20"/>
          <w:lang w:val="en-US"/>
        </w:rPr>
        <w:t xml:space="preserve"> de 60% </w:t>
      </w:r>
      <w:proofErr w:type="spellStart"/>
      <w:r w:rsidRPr="00076436">
        <w:rPr>
          <w:sz w:val="20"/>
          <w:szCs w:val="20"/>
          <w:lang w:val="en-US"/>
        </w:rPr>
        <w:t>nos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tratamentos</w:t>
      </w:r>
      <w:proofErr w:type="spellEnd"/>
      <w:r w:rsidRPr="00076436">
        <w:rPr>
          <w:sz w:val="20"/>
          <w:szCs w:val="20"/>
          <w:lang w:val="en-US"/>
        </w:rPr>
        <w:t xml:space="preserve"> com </w:t>
      </w:r>
      <w:proofErr w:type="spellStart"/>
      <w:r w:rsidRPr="00076436">
        <w:rPr>
          <w:sz w:val="20"/>
          <w:szCs w:val="20"/>
          <w:lang w:val="en-US"/>
        </w:rPr>
        <w:t>altas</w:t>
      </w:r>
      <w:proofErr w:type="spellEnd"/>
      <w:r w:rsidRPr="00076436">
        <w:rPr>
          <w:sz w:val="20"/>
          <w:szCs w:val="20"/>
          <w:lang w:val="en-US"/>
        </w:rPr>
        <w:t xml:space="preserve"> doses para </w:t>
      </w:r>
      <w:proofErr w:type="spellStart"/>
      <w:r w:rsidRPr="00076436">
        <w:rPr>
          <w:sz w:val="20"/>
          <w:szCs w:val="20"/>
          <w:lang w:val="en-US"/>
        </w:rPr>
        <w:t>até</w:t>
      </w:r>
      <w:proofErr w:type="spellEnd"/>
      <w:r w:rsidRPr="00076436">
        <w:rPr>
          <w:sz w:val="20"/>
          <w:szCs w:val="20"/>
          <w:lang w:val="en-US"/>
        </w:rPr>
        <w:t xml:space="preserve"> 95% </w:t>
      </w:r>
      <w:proofErr w:type="spellStart"/>
      <w:r w:rsidRPr="00076436">
        <w:rPr>
          <w:sz w:val="20"/>
          <w:szCs w:val="20"/>
          <w:lang w:val="en-US"/>
        </w:rPr>
        <w:t>nas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formulações</w:t>
      </w:r>
      <w:proofErr w:type="spellEnd"/>
      <w:r w:rsidRPr="00076436">
        <w:rPr>
          <w:sz w:val="20"/>
          <w:szCs w:val="20"/>
          <w:lang w:val="en-US"/>
        </w:rPr>
        <w:t xml:space="preserve"> com </w:t>
      </w:r>
      <w:proofErr w:type="spellStart"/>
      <w:r w:rsidRPr="00076436">
        <w:rPr>
          <w:sz w:val="20"/>
          <w:szCs w:val="20"/>
          <w:lang w:val="en-US"/>
        </w:rPr>
        <w:t>menor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teor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frass</w:t>
      </w:r>
      <w:proofErr w:type="spellEnd"/>
      <w:r w:rsidRPr="00076436">
        <w:rPr>
          <w:sz w:val="20"/>
          <w:szCs w:val="20"/>
          <w:lang w:val="en-US"/>
        </w:rPr>
        <w:t xml:space="preserve">. </w:t>
      </w:r>
      <w:proofErr w:type="spellStart"/>
      <w:r w:rsidRPr="00076436">
        <w:rPr>
          <w:sz w:val="20"/>
          <w:szCs w:val="20"/>
          <w:lang w:val="en-US"/>
        </w:rPr>
        <w:t>Esses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resultados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preliminares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reforçam</w:t>
      </w:r>
      <w:proofErr w:type="spellEnd"/>
      <w:r w:rsidRPr="00076436">
        <w:rPr>
          <w:sz w:val="20"/>
          <w:szCs w:val="20"/>
          <w:lang w:val="en-US"/>
        </w:rPr>
        <w:t xml:space="preserve"> a </w:t>
      </w:r>
      <w:proofErr w:type="spellStart"/>
      <w:r w:rsidRPr="00076436">
        <w:rPr>
          <w:sz w:val="20"/>
          <w:szCs w:val="20"/>
          <w:lang w:val="en-US"/>
        </w:rPr>
        <w:t>hipótese</w:t>
      </w:r>
      <w:proofErr w:type="spellEnd"/>
      <w:r w:rsidRPr="00076436">
        <w:rPr>
          <w:sz w:val="20"/>
          <w:szCs w:val="20"/>
          <w:lang w:val="en-US"/>
        </w:rPr>
        <w:t xml:space="preserve"> de que a dose </w:t>
      </w:r>
      <w:proofErr w:type="spellStart"/>
      <w:r w:rsidRPr="00076436">
        <w:rPr>
          <w:sz w:val="20"/>
          <w:szCs w:val="20"/>
          <w:lang w:val="en-US"/>
        </w:rPr>
        <w:t>inicialmente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aplicada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foi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excessiva</w:t>
      </w:r>
      <w:proofErr w:type="spellEnd"/>
      <w:r w:rsidRPr="00076436">
        <w:rPr>
          <w:sz w:val="20"/>
          <w:szCs w:val="20"/>
          <w:lang w:val="en-US"/>
        </w:rPr>
        <w:t xml:space="preserve">. </w:t>
      </w:r>
      <w:proofErr w:type="spellStart"/>
      <w:r w:rsidRPr="00076436">
        <w:rPr>
          <w:sz w:val="20"/>
          <w:szCs w:val="20"/>
          <w:lang w:val="en-US"/>
        </w:rPr>
        <w:t>Contudo</w:t>
      </w:r>
      <w:proofErr w:type="spellEnd"/>
      <w:r w:rsidRPr="00076436">
        <w:rPr>
          <w:sz w:val="20"/>
          <w:szCs w:val="20"/>
          <w:lang w:val="en-US"/>
        </w:rPr>
        <w:t xml:space="preserve">, </w:t>
      </w:r>
      <w:proofErr w:type="spellStart"/>
      <w:r w:rsidRPr="00076436">
        <w:rPr>
          <w:sz w:val="20"/>
          <w:szCs w:val="20"/>
          <w:lang w:val="en-US"/>
        </w:rPr>
        <w:t>novas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avaliações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em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diferentes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fases</w:t>
      </w:r>
      <w:proofErr w:type="spellEnd"/>
      <w:r w:rsidRPr="00076436">
        <w:rPr>
          <w:sz w:val="20"/>
          <w:szCs w:val="20"/>
          <w:lang w:val="en-US"/>
        </w:rPr>
        <w:t xml:space="preserve"> do </w:t>
      </w:r>
      <w:proofErr w:type="spellStart"/>
      <w:r w:rsidRPr="00076436">
        <w:rPr>
          <w:sz w:val="20"/>
          <w:szCs w:val="20"/>
          <w:lang w:val="en-US"/>
        </w:rPr>
        <w:t>desenvolvimento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são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necessárias</w:t>
      </w:r>
      <w:proofErr w:type="spellEnd"/>
      <w:r w:rsidRPr="00076436">
        <w:rPr>
          <w:sz w:val="20"/>
          <w:szCs w:val="20"/>
          <w:lang w:val="en-US"/>
        </w:rPr>
        <w:t xml:space="preserve"> para </w:t>
      </w:r>
      <w:proofErr w:type="spellStart"/>
      <w:r w:rsidRPr="00076436">
        <w:rPr>
          <w:sz w:val="20"/>
          <w:szCs w:val="20"/>
          <w:lang w:val="en-US"/>
        </w:rPr>
        <w:t>validar</w:t>
      </w:r>
      <w:proofErr w:type="spellEnd"/>
      <w:r w:rsidRPr="00076436">
        <w:rPr>
          <w:sz w:val="20"/>
          <w:szCs w:val="20"/>
          <w:lang w:val="en-US"/>
        </w:rPr>
        <w:t xml:space="preserve"> o </w:t>
      </w:r>
      <w:proofErr w:type="spellStart"/>
      <w:r w:rsidRPr="00076436">
        <w:rPr>
          <w:sz w:val="20"/>
          <w:szCs w:val="20"/>
          <w:lang w:val="en-US"/>
        </w:rPr>
        <w:t>potencial</w:t>
      </w:r>
      <w:proofErr w:type="spellEnd"/>
      <w:r w:rsidRPr="00076436">
        <w:rPr>
          <w:sz w:val="20"/>
          <w:szCs w:val="20"/>
          <w:lang w:val="en-US"/>
        </w:rPr>
        <w:t xml:space="preserve"> do </w:t>
      </w:r>
      <w:proofErr w:type="spellStart"/>
      <w:r w:rsidRPr="00076436">
        <w:rPr>
          <w:sz w:val="20"/>
          <w:szCs w:val="20"/>
          <w:lang w:val="en-US"/>
        </w:rPr>
        <w:t>uso</w:t>
      </w:r>
      <w:proofErr w:type="spellEnd"/>
      <w:r w:rsidRPr="00076436">
        <w:rPr>
          <w:sz w:val="20"/>
          <w:szCs w:val="20"/>
          <w:lang w:val="en-US"/>
        </w:rPr>
        <w:t xml:space="preserve"> do </w:t>
      </w:r>
      <w:proofErr w:type="spellStart"/>
      <w:r w:rsidRPr="00076436">
        <w:rPr>
          <w:sz w:val="20"/>
          <w:szCs w:val="20"/>
          <w:lang w:val="en-US"/>
        </w:rPr>
        <w:t>frass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em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baixas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concentrações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como</w:t>
      </w:r>
      <w:proofErr w:type="spellEnd"/>
      <w:r w:rsidRPr="00076436">
        <w:rPr>
          <w:sz w:val="20"/>
          <w:szCs w:val="20"/>
          <w:lang w:val="en-US"/>
        </w:rPr>
        <w:t xml:space="preserve"> </w:t>
      </w:r>
      <w:proofErr w:type="spellStart"/>
      <w:r w:rsidRPr="00076436">
        <w:rPr>
          <w:sz w:val="20"/>
          <w:szCs w:val="20"/>
          <w:lang w:val="en-US"/>
        </w:rPr>
        <w:t>componente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substratos</w:t>
      </w:r>
      <w:proofErr w:type="spellEnd"/>
      <w:r w:rsidRPr="00076436">
        <w:rPr>
          <w:sz w:val="20"/>
          <w:szCs w:val="20"/>
          <w:lang w:val="en-US"/>
        </w:rPr>
        <w:t xml:space="preserve"> para </w:t>
      </w:r>
      <w:proofErr w:type="spellStart"/>
      <w:r w:rsidRPr="00076436">
        <w:rPr>
          <w:sz w:val="20"/>
          <w:szCs w:val="20"/>
          <w:lang w:val="en-US"/>
        </w:rPr>
        <w:t>produção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mudas</w:t>
      </w:r>
      <w:proofErr w:type="spellEnd"/>
      <w:r w:rsidRPr="00076436">
        <w:rPr>
          <w:sz w:val="20"/>
          <w:szCs w:val="20"/>
          <w:lang w:val="en-US"/>
        </w:rPr>
        <w:t xml:space="preserve"> de </w:t>
      </w:r>
      <w:proofErr w:type="spellStart"/>
      <w:r w:rsidRPr="00076436">
        <w:rPr>
          <w:sz w:val="20"/>
          <w:szCs w:val="20"/>
          <w:lang w:val="en-US"/>
        </w:rPr>
        <w:t>mangabeira</w:t>
      </w:r>
      <w:proofErr w:type="spellEnd"/>
      <w:r w:rsidRPr="00076436">
        <w:rPr>
          <w:sz w:val="20"/>
          <w:szCs w:val="20"/>
          <w:lang w:val="en-US"/>
        </w:rPr>
        <w:t>.</w:t>
      </w:r>
    </w:p>
    <w:p w:rsidR="00331014" w:rsidRDefault="00331014" w:rsidP="00331014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lastRenderedPageBreak/>
        <w:t xml:space="preserve">CONCLUSÕES </w:t>
      </w:r>
    </w:p>
    <w:p w:rsidR="00331014" w:rsidRDefault="00331014" w:rsidP="00331014">
      <w:pPr>
        <w:ind w:firstLine="720"/>
        <w:jc w:val="both"/>
        <w:rPr>
          <w:sz w:val="20"/>
          <w:szCs w:val="20"/>
        </w:rPr>
      </w:pPr>
      <w:r w:rsidRPr="00EB7469">
        <w:rPr>
          <w:sz w:val="20"/>
          <w:szCs w:val="20"/>
        </w:rPr>
        <w:t>O substrato padrão, composto por terra preta e areia lavada na proporção de 3:1, apresentou-se como o mais adequado para a fase inicial da mangabeira (</w:t>
      </w:r>
      <w:r>
        <w:rPr>
          <w:i/>
          <w:sz w:val="20"/>
          <w:szCs w:val="20"/>
        </w:rPr>
        <w:t>H.</w:t>
      </w:r>
      <w:r w:rsidRPr="00EB7469">
        <w:rPr>
          <w:i/>
          <w:sz w:val="20"/>
          <w:szCs w:val="20"/>
        </w:rPr>
        <w:t xml:space="preserve"> </w:t>
      </w:r>
      <w:proofErr w:type="spellStart"/>
      <w:r w:rsidRPr="00EB7469">
        <w:rPr>
          <w:i/>
          <w:sz w:val="20"/>
          <w:szCs w:val="20"/>
        </w:rPr>
        <w:t>speciosa</w:t>
      </w:r>
      <w:proofErr w:type="spellEnd"/>
      <w:r w:rsidRPr="00EB7469">
        <w:rPr>
          <w:sz w:val="20"/>
          <w:szCs w:val="20"/>
        </w:rPr>
        <w:t xml:space="preserve">), promovendo elevada taxa de sobrevivência e bom desenvolvimento das mudas. A incorporação de esterco bovino, ainda que em pequenas quantidades, pode contribuir positivamente, embora não seja essencial para o cultivo inicial da espécie. Em contrapartida, o uso excessivo de </w:t>
      </w:r>
      <w:proofErr w:type="spellStart"/>
      <w:r w:rsidRPr="00EB7469">
        <w:rPr>
          <w:sz w:val="20"/>
          <w:szCs w:val="20"/>
        </w:rPr>
        <w:t>frass</w:t>
      </w:r>
      <w:proofErr w:type="spellEnd"/>
      <w:r w:rsidRPr="00EB7469">
        <w:rPr>
          <w:sz w:val="20"/>
          <w:szCs w:val="20"/>
        </w:rPr>
        <w:t xml:space="preserve"> demonstrou efeitos negativos sobre o desempenho das mudas, evidenciando a necessidade de cautela em sua aplicação. Estudos futuros devem priorizar o teste de doses reduzidas desse insumo, acompanhando seus efeitos ao longo do tempo, a fim de estabelecer práticas seguras e eficazes para sua utilização no cultivo da espécie</w:t>
      </w:r>
      <w:sdt>
        <w:sdtPr>
          <w:tag w:val="goog_rdk_85"/>
          <w:id w:val="-1392799972"/>
          <w:showingPlcHdr/>
        </w:sdtPr>
        <w:sdtContent>
          <w:r w:rsidRPr="00EB7469">
            <w:t xml:space="preserve">     </w:t>
          </w:r>
        </w:sdtContent>
      </w:sdt>
      <w:sdt>
        <w:sdtPr>
          <w:tag w:val="goog_rdk_86"/>
          <w:id w:val="-353505145"/>
        </w:sdtPr>
        <w:sdtContent>
          <w:sdt>
            <w:sdtPr>
              <w:tag w:val="goog_rdk_87"/>
              <w:id w:val="2072314594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88"/>
          <w:id w:val="-382951702"/>
          <w:showingPlcHdr/>
        </w:sdtPr>
        <w:sdtContent>
          <w:r>
            <w:t xml:space="preserve">     </w:t>
          </w:r>
        </w:sdtContent>
      </w:sdt>
      <w:r>
        <w:rPr>
          <w:sz w:val="20"/>
          <w:szCs w:val="20"/>
        </w:rPr>
        <w:t>.</w:t>
      </w:r>
    </w:p>
    <w:p w:rsidR="00331014" w:rsidRDefault="00331014" w:rsidP="00331014">
      <w:pPr>
        <w:ind w:firstLine="720"/>
        <w:jc w:val="both"/>
        <w:rPr>
          <w:sz w:val="20"/>
          <w:szCs w:val="20"/>
        </w:rPr>
      </w:pPr>
    </w:p>
    <w:p w:rsidR="00331014" w:rsidRDefault="00331014" w:rsidP="00331014">
      <w:pPr>
        <w:jc w:val="both"/>
        <w:rPr>
          <w:color w:val="4F81BD" w:themeColor="accent1"/>
          <w:sz w:val="20"/>
          <w:szCs w:val="20"/>
        </w:rPr>
      </w:pPr>
      <w:r w:rsidRPr="0BFEED18">
        <w:rPr>
          <w:b/>
          <w:bCs/>
          <w:sz w:val="20"/>
          <w:szCs w:val="20"/>
        </w:rPr>
        <w:t xml:space="preserve">REFERÊNCIAS </w:t>
      </w:r>
    </w:p>
    <w:p w:rsidR="00331014" w:rsidRDefault="00331014" w:rsidP="00331014">
      <w:pPr>
        <w:jc w:val="both"/>
        <w:rPr>
          <w:sz w:val="20"/>
          <w:szCs w:val="20"/>
        </w:rPr>
      </w:pPr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ANTONIADIS, V. et al. </w:t>
      </w:r>
      <w:proofErr w:type="spellStart"/>
      <w:r>
        <w:rPr>
          <w:sz w:val="20"/>
          <w:szCs w:val="20"/>
        </w:rPr>
        <w:t>Insect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as a Novel </w:t>
      </w:r>
      <w:proofErr w:type="spellStart"/>
      <w:r>
        <w:rPr>
          <w:sz w:val="20"/>
          <w:szCs w:val="20"/>
        </w:rPr>
        <w:t>Organic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Fertilizer</w:t>
      </w:r>
      <w:proofErr w:type="spellEnd"/>
      <w:r>
        <w:rPr>
          <w:sz w:val="20"/>
          <w:szCs w:val="20"/>
        </w:rPr>
        <w:t xml:space="preserve"> for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Cultivation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Spinach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Spinacia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oleracea</w:t>
      </w:r>
      <w:proofErr w:type="spellEnd"/>
      <w:r>
        <w:rPr>
          <w:sz w:val="20"/>
          <w:szCs w:val="20"/>
        </w:rPr>
        <w:t xml:space="preserve">): </w:t>
      </w:r>
      <w:proofErr w:type="spellStart"/>
      <w:r>
        <w:rPr>
          <w:sz w:val="20"/>
          <w:szCs w:val="20"/>
        </w:rPr>
        <w:t>Effects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Properties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Physiological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Parameters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Nutrient</w:t>
      </w:r>
      <w:proofErr w:type="spellEnd"/>
      <w:r>
        <w:rPr>
          <w:sz w:val="20"/>
          <w:szCs w:val="20"/>
        </w:rPr>
        <w:t xml:space="preserve"> Status. </w:t>
      </w:r>
      <w:proofErr w:type="spellStart"/>
      <w:r w:rsidRPr="001767A3">
        <w:rPr>
          <w:b/>
          <w:sz w:val="20"/>
          <w:szCs w:val="20"/>
        </w:rPr>
        <w:t>Journal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of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Soil</w:t>
      </w:r>
      <w:proofErr w:type="spellEnd"/>
      <w:r w:rsidRPr="001767A3">
        <w:rPr>
          <w:b/>
          <w:sz w:val="20"/>
          <w:szCs w:val="20"/>
        </w:rPr>
        <w:t xml:space="preserve"> Science </w:t>
      </w:r>
      <w:proofErr w:type="spellStart"/>
      <w:r w:rsidRPr="001767A3">
        <w:rPr>
          <w:b/>
          <w:sz w:val="20"/>
          <w:szCs w:val="20"/>
        </w:rPr>
        <w:t>and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Plant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Nutrition</w:t>
      </w:r>
      <w:proofErr w:type="spellEnd"/>
      <w:r>
        <w:rPr>
          <w:sz w:val="20"/>
          <w:szCs w:val="20"/>
        </w:rPr>
        <w:t xml:space="preserve">, 23(4), 5935–5944. 2023. </w:t>
      </w:r>
      <w:hyperlink r:id="rId11">
        <w:r>
          <w:rPr>
            <w:color w:val="1155CC"/>
            <w:sz w:val="20"/>
            <w:szCs w:val="20"/>
            <w:u w:val="single"/>
          </w:rPr>
          <w:t>https://doi.org/10.1007/s42729-023-01451-9</w:t>
        </w:r>
      </w:hyperlink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GARCIA, L. F. et al. Composição química e aplicações do </w:t>
      </w:r>
      <w:proofErr w:type="spellStart"/>
      <w:r>
        <w:rPr>
          <w:sz w:val="20"/>
          <w:szCs w:val="20"/>
        </w:rPr>
        <w:t>frass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Tenebrio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. </w:t>
      </w:r>
      <w:proofErr w:type="spellStart"/>
      <w:r w:rsidRPr="001767A3">
        <w:rPr>
          <w:b/>
          <w:sz w:val="20"/>
          <w:szCs w:val="20"/>
        </w:rPr>
        <w:t>Journal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of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Sustainable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Agriculture</w:t>
      </w:r>
      <w:proofErr w:type="spellEnd"/>
      <w:r>
        <w:rPr>
          <w:sz w:val="20"/>
          <w:szCs w:val="20"/>
        </w:rPr>
        <w:t>, v. 25, n. 3, p. 112-125, 2021.</w:t>
      </w:r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LIMA, R. S. et al. Efeito de diferentes substratos no desenvolvimento de mudas de mangaba. </w:t>
      </w:r>
      <w:r w:rsidRPr="001767A3">
        <w:rPr>
          <w:b/>
          <w:sz w:val="20"/>
          <w:szCs w:val="20"/>
        </w:rPr>
        <w:t>Revista Brasileira de Fruticultura</w:t>
      </w:r>
      <w:r>
        <w:rPr>
          <w:sz w:val="20"/>
          <w:szCs w:val="20"/>
        </w:rPr>
        <w:t>, v. 43, n. 2, p. 89-97, 2021.</w:t>
      </w:r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EMBRAPA. Cultivo de mangaba: recomendações técnicas. Disponível em: https://www.embrapa.br/agencia-de-informacao-tecnologica/cultivos/mangaba Acesso em: 15 fev. 2025.</w:t>
      </w:r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MORUZZO, R. et al. </w:t>
      </w:r>
      <w:proofErr w:type="spellStart"/>
      <w:r>
        <w:rPr>
          <w:sz w:val="20"/>
          <w:szCs w:val="20"/>
        </w:rPr>
        <w:t>Mealworm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Tenebrio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): </w:t>
      </w:r>
      <w:proofErr w:type="spellStart"/>
      <w:r>
        <w:rPr>
          <w:sz w:val="20"/>
          <w:szCs w:val="20"/>
        </w:rPr>
        <w:t>Potential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Challenges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Promote</w:t>
      </w:r>
      <w:proofErr w:type="spellEnd"/>
      <w:r>
        <w:rPr>
          <w:sz w:val="20"/>
          <w:szCs w:val="20"/>
        </w:rPr>
        <w:t xml:space="preserve"> Circular </w:t>
      </w:r>
      <w:proofErr w:type="spellStart"/>
      <w:r>
        <w:rPr>
          <w:sz w:val="20"/>
          <w:szCs w:val="20"/>
        </w:rPr>
        <w:t>Economy</w:t>
      </w:r>
      <w:proofErr w:type="spellEnd"/>
      <w:r>
        <w:rPr>
          <w:sz w:val="20"/>
          <w:szCs w:val="20"/>
        </w:rPr>
        <w:t xml:space="preserve">. </w:t>
      </w:r>
      <w:proofErr w:type="spellStart"/>
      <w:r w:rsidRPr="001767A3">
        <w:rPr>
          <w:b/>
          <w:sz w:val="20"/>
          <w:szCs w:val="20"/>
        </w:rPr>
        <w:t>Animals</w:t>
      </w:r>
      <w:proofErr w:type="spellEnd"/>
      <w:r>
        <w:rPr>
          <w:sz w:val="20"/>
          <w:szCs w:val="20"/>
        </w:rPr>
        <w:t>, 11(9), 2568. 2021.</w:t>
      </w:r>
      <w:hyperlink r:id="rId12">
        <w:r>
          <w:rPr>
            <w:sz w:val="20"/>
            <w:szCs w:val="20"/>
          </w:rPr>
          <w:t xml:space="preserve"> </w:t>
        </w:r>
      </w:hyperlink>
      <w:hyperlink r:id="rId13">
        <w:r>
          <w:rPr>
            <w:color w:val="1155CC"/>
            <w:sz w:val="20"/>
            <w:szCs w:val="20"/>
            <w:u w:val="single"/>
          </w:rPr>
          <w:t>https://doi.org/10.3390/ani11092568</w:t>
        </w:r>
      </w:hyperlink>
      <w:r>
        <w:rPr>
          <w:sz w:val="20"/>
          <w:szCs w:val="20"/>
        </w:rPr>
        <w:t xml:space="preserve"> </w:t>
      </w:r>
    </w:p>
    <w:p w:rsidR="00331014" w:rsidRDefault="00331014" w:rsidP="0033101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PRYIATELCHUK, O.; NOVAK, O. </w:t>
      </w:r>
      <w:proofErr w:type="spellStart"/>
      <w:r>
        <w:rPr>
          <w:sz w:val="20"/>
          <w:szCs w:val="20"/>
        </w:rPr>
        <w:t>Russia‟s</w:t>
      </w:r>
      <w:proofErr w:type="spellEnd"/>
      <w:r>
        <w:rPr>
          <w:sz w:val="20"/>
          <w:szCs w:val="20"/>
        </w:rPr>
        <w:t xml:space="preserve"> War </w:t>
      </w:r>
      <w:proofErr w:type="spellStart"/>
      <w:r>
        <w:rPr>
          <w:sz w:val="20"/>
          <w:szCs w:val="20"/>
        </w:rPr>
        <w:t>Against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Ukraine</w:t>
      </w:r>
      <w:proofErr w:type="spellEnd"/>
      <w:r>
        <w:rPr>
          <w:sz w:val="20"/>
          <w:szCs w:val="20"/>
        </w:rPr>
        <w:t xml:space="preserve"> As A Global </w:t>
      </w:r>
      <w:proofErr w:type="spellStart"/>
      <w:r>
        <w:rPr>
          <w:sz w:val="20"/>
          <w:szCs w:val="20"/>
        </w:rPr>
        <w:t>Threat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Food</w:t>
      </w:r>
      <w:proofErr w:type="spellEnd"/>
      <w:r>
        <w:rPr>
          <w:sz w:val="20"/>
          <w:szCs w:val="20"/>
        </w:rPr>
        <w:t xml:space="preserve"> Security: Short-</w:t>
      </w:r>
      <w:proofErr w:type="spellStart"/>
      <w:r>
        <w:rPr>
          <w:sz w:val="20"/>
          <w:szCs w:val="20"/>
        </w:rPr>
        <w:t>Term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Effects</w:t>
      </w:r>
      <w:proofErr w:type="spellEnd"/>
      <w:r>
        <w:rPr>
          <w:sz w:val="20"/>
          <w:szCs w:val="20"/>
        </w:rPr>
        <w:t xml:space="preserve">. </w:t>
      </w:r>
      <w:proofErr w:type="spellStart"/>
      <w:r w:rsidRPr="001767A3">
        <w:rPr>
          <w:b/>
          <w:sz w:val="20"/>
          <w:szCs w:val="20"/>
        </w:rPr>
        <w:t>Actual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Problems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of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International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Relations</w:t>
      </w:r>
      <w:proofErr w:type="spellEnd"/>
      <w:r>
        <w:rPr>
          <w:sz w:val="20"/>
          <w:szCs w:val="20"/>
        </w:rPr>
        <w:t>, 153, 55–68. 2022.</w:t>
      </w:r>
      <w:hyperlink r:id="rId14">
        <w:r>
          <w:rPr>
            <w:sz w:val="20"/>
            <w:szCs w:val="20"/>
          </w:rPr>
          <w:t xml:space="preserve"> </w:t>
        </w:r>
      </w:hyperlink>
      <w:hyperlink r:id="rId15">
        <w:r>
          <w:rPr>
            <w:color w:val="1155CC"/>
            <w:sz w:val="20"/>
            <w:szCs w:val="20"/>
            <w:u w:val="single"/>
          </w:rPr>
          <w:t>https://doi.org/10.17721/apmv.2022.153.1.55-68</w:t>
        </w:r>
      </w:hyperlink>
    </w:p>
    <w:p w:rsidR="00331014" w:rsidRDefault="00331014" w:rsidP="00331014">
      <w:pPr>
        <w:spacing w:after="12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ZIM, J. et al. </w:t>
      </w:r>
      <w:proofErr w:type="spellStart"/>
      <w:r>
        <w:rPr>
          <w:sz w:val="20"/>
          <w:szCs w:val="20"/>
        </w:rPr>
        <w:t>Effect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population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density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photoperiod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larval </w:t>
      </w:r>
      <w:proofErr w:type="spellStart"/>
      <w:r>
        <w:rPr>
          <w:sz w:val="20"/>
          <w:szCs w:val="20"/>
        </w:rPr>
        <w:t>growth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reproduction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Tenebrio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molitor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Coleoptera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Tenebrionidae</w:t>
      </w:r>
      <w:proofErr w:type="spellEnd"/>
      <w:r>
        <w:rPr>
          <w:sz w:val="20"/>
          <w:szCs w:val="20"/>
        </w:rPr>
        <w:t xml:space="preserve">). </w:t>
      </w:r>
      <w:proofErr w:type="spellStart"/>
      <w:r w:rsidRPr="001767A3">
        <w:rPr>
          <w:b/>
          <w:sz w:val="20"/>
          <w:szCs w:val="20"/>
        </w:rPr>
        <w:t>International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Journal</w:t>
      </w:r>
      <w:proofErr w:type="spellEnd"/>
      <w:r w:rsidRPr="001767A3">
        <w:rPr>
          <w:b/>
          <w:sz w:val="20"/>
          <w:szCs w:val="20"/>
        </w:rPr>
        <w:t xml:space="preserve"> </w:t>
      </w:r>
      <w:proofErr w:type="spellStart"/>
      <w:r w:rsidRPr="001767A3">
        <w:rPr>
          <w:b/>
          <w:sz w:val="20"/>
          <w:szCs w:val="20"/>
        </w:rPr>
        <w:t>of</w:t>
      </w:r>
      <w:proofErr w:type="spellEnd"/>
      <w:r w:rsidRPr="001767A3">
        <w:rPr>
          <w:b/>
          <w:sz w:val="20"/>
          <w:szCs w:val="20"/>
        </w:rPr>
        <w:t xml:space="preserve"> Tropical </w:t>
      </w:r>
      <w:proofErr w:type="spellStart"/>
      <w:r w:rsidRPr="001767A3">
        <w:rPr>
          <w:b/>
          <w:sz w:val="20"/>
          <w:szCs w:val="20"/>
        </w:rPr>
        <w:t>Insect</w:t>
      </w:r>
      <w:proofErr w:type="spellEnd"/>
      <w:r w:rsidRPr="001767A3">
        <w:rPr>
          <w:b/>
          <w:sz w:val="20"/>
          <w:szCs w:val="20"/>
        </w:rPr>
        <w:t xml:space="preserve"> Science</w:t>
      </w:r>
      <w:r>
        <w:rPr>
          <w:sz w:val="20"/>
          <w:szCs w:val="20"/>
        </w:rPr>
        <w:t>, 42(2), 1795–1801. 2022. https://doi.org/10.1007/s42690-021-00707-0</w:t>
      </w:r>
    </w:p>
    <w:p w:rsidR="00331014" w:rsidRDefault="00331014" w:rsidP="00331014"/>
    <w:p w:rsidR="00DA4A85" w:rsidRDefault="00DA4A85" w:rsidP="00331014">
      <w:pPr>
        <w:widowControl/>
        <w:jc w:val="center"/>
        <w:rPr>
          <w:sz w:val="24"/>
          <w:szCs w:val="24"/>
        </w:rPr>
      </w:pPr>
      <w:bookmarkStart w:id="3" w:name="_GoBack"/>
      <w:bookmarkEnd w:id="3"/>
    </w:p>
    <w:sectPr w:rsidR="00DA4A85">
      <w:headerReference w:type="default" r:id="rId16"/>
      <w:footerReference w:type="default" r:id="rId17"/>
      <w:pgSz w:w="11910" w:h="16840"/>
      <w:pgMar w:top="1701" w:right="1134" w:bottom="1134" w:left="1701" w:header="453" w:footer="1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32" w:rsidRDefault="003B7232">
      <w:r>
        <w:separator/>
      </w:r>
    </w:p>
  </w:endnote>
  <w:endnote w:type="continuationSeparator" w:id="0">
    <w:p w:rsidR="003B7232" w:rsidRDefault="003B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32" w:rsidRDefault="003B7232">
      <w:r>
        <w:separator/>
      </w:r>
    </w:p>
  </w:footnote>
  <w:footnote w:type="continuationSeparator" w:id="0">
    <w:p w:rsidR="003B7232" w:rsidRDefault="003B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85" w:rsidRDefault="003B7232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bidi="ar-SA"/>
      </w:rPr>
      <w:drawing>
        <wp:inline distT="114300" distB="114300" distL="114300" distR="114300">
          <wp:extent cx="4479135" cy="1697251"/>
          <wp:effectExtent l="0" t="0" r="0" b="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3383" r="23867"/>
                  <a:stretch>
                    <a:fillRect/>
                  </a:stretch>
                </pic:blipFill>
                <pic:spPr>
                  <a:xfrm>
                    <a:off x="0" y="0"/>
                    <a:ext cx="4479135" cy="1697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DA4A85" w:rsidRDefault="00DA4A85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Oswald" w:eastAsia="Oswald" w:hAnsi="Oswald" w:cs="Oswald"/>
        <w:b/>
        <w:color w:val="3D6D38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8720A"/>
    <w:multiLevelType w:val="multilevel"/>
    <w:tmpl w:val="657A557E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85"/>
    <w:rsid w:val="00076436"/>
    <w:rsid w:val="00331014"/>
    <w:rsid w:val="003B7232"/>
    <w:rsid w:val="007D0512"/>
    <w:rsid w:val="00CE5F13"/>
    <w:rsid w:val="00D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7887"/>
  <w15:docId w15:val="{DB94A12E-851A-4A3C-B778-C6A72D6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i.org/10.3390/ani1109256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ani1109256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42729-023-01451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7721/apmv.2022.153.1.55-68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17721/apmv.2022.153.1.55-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zw/HMgmwNS3NGWIOOC4RROsdg==">CgMxLjAaHwoBMBIaChgICVIUChJ0YWJsZS5jbTF2MGc4Y3Zhc3IyCGguZ2pkZ3hzMg5oLnlwOTZpd3Uybzd3ZzgAciExMFZGeWhGWlpyakg1bkVBMW56VzNPcUNCZDhQNFR1Wl8=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1802</Words>
  <Characters>9732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Crislaine Costa Calazans</cp:lastModifiedBy>
  <cp:revision>3</cp:revision>
  <dcterms:created xsi:type="dcterms:W3CDTF">2025-06-20T13:47:00Z</dcterms:created>
  <dcterms:modified xsi:type="dcterms:W3CDTF">2025-06-20T14:03:00Z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